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134"/>
          <w:tab w:val="left" w:pos="5481"/>
          <w:tab w:val="left" w:pos="5859"/>
        </w:tabs>
        <w:jc w:val="left"/>
        <w:rPr>
          <w:rFonts w:ascii="宋体" w:hAnsi="宋体"/>
          <w:b/>
          <w:sz w:val="52"/>
        </w:rPr>
      </w:pPr>
      <w:r>
        <w:rPr>
          <w:rFonts w:ascii="宋体" w:hAnsi="宋体"/>
          <w:b/>
          <w:sz w:val="52"/>
        </w:rPr>
        <w:drawing>
          <wp:anchor distT="0" distB="0" distL="114300" distR="114300" simplePos="0" relativeHeight="251660288" behindDoc="0" locked="0" layoutInCell="1" allowOverlap="1">
            <wp:simplePos x="0" y="0"/>
            <wp:positionH relativeFrom="column">
              <wp:posOffset>-466090</wp:posOffset>
            </wp:positionH>
            <wp:positionV relativeFrom="paragraph">
              <wp:posOffset>-70485</wp:posOffset>
            </wp:positionV>
            <wp:extent cx="2085975" cy="1945640"/>
            <wp:effectExtent l="19050" t="0" r="9525" b="0"/>
            <wp:wrapNone/>
            <wp:docPr id="5" name="图片 1" descr="QQ图片2018072609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QQ图片20180726095421"/>
                    <pic:cNvPicPr>
                      <a:picLocks noChangeAspect="1" noChangeArrowheads="1"/>
                    </pic:cNvPicPr>
                  </pic:nvPicPr>
                  <pic:blipFill>
                    <a:blip r:embed="rId10" cstate="print"/>
                    <a:srcRect l="23070" t="12045" r="23070" b="10628"/>
                    <a:stretch>
                      <a:fillRect/>
                    </a:stretch>
                  </pic:blipFill>
                  <pic:spPr>
                    <a:xfrm>
                      <a:off x="0" y="0"/>
                      <a:ext cx="2085975" cy="1945640"/>
                    </a:xfrm>
                    <a:prstGeom prst="rect">
                      <a:avLst/>
                    </a:prstGeom>
                    <a:noFill/>
                    <a:ln w="9525" cmpd="sng">
                      <a:noFill/>
                      <a:miter lim="800000"/>
                      <a:headEnd/>
                      <a:tailEnd/>
                    </a:ln>
                  </pic:spPr>
                </pic:pic>
              </a:graphicData>
            </a:graphic>
          </wp:anchor>
        </w:drawing>
      </w:r>
    </w:p>
    <w:p>
      <w:pPr>
        <w:tabs>
          <w:tab w:val="left" w:pos="1134"/>
          <w:tab w:val="left" w:pos="5481"/>
          <w:tab w:val="left" w:pos="5859"/>
        </w:tabs>
        <w:jc w:val="left"/>
        <w:rPr>
          <w:rFonts w:ascii="宋体" w:hAnsi="宋体"/>
          <w:b/>
          <w:sz w:val="52"/>
        </w:rPr>
      </w:pPr>
    </w:p>
    <w:p>
      <w:pPr>
        <w:tabs>
          <w:tab w:val="left" w:pos="1134"/>
          <w:tab w:val="left" w:pos="5481"/>
          <w:tab w:val="left" w:pos="5859"/>
        </w:tabs>
        <w:jc w:val="left"/>
        <w:rPr>
          <w:rFonts w:ascii="宋体" w:hAnsi="宋体"/>
          <w:b/>
          <w:sz w:val="52"/>
        </w:rPr>
      </w:pPr>
    </w:p>
    <w:p>
      <w:pPr>
        <w:tabs>
          <w:tab w:val="left" w:pos="1134"/>
          <w:tab w:val="left" w:pos="5481"/>
          <w:tab w:val="left" w:pos="5859"/>
        </w:tabs>
        <w:jc w:val="left"/>
        <w:rPr>
          <w:rFonts w:ascii="宋体" w:hAnsi="宋体"/>
          <w:b/>
          <w:sz w:val="52"/>
        </w:rPr>
      </w:pPr>
      <w:r>
        <w:rPr>
          <w:rFonts w:ascii="宋体" w:hAnsi="宋体"/>
          <w:b/>
          <w:sz w:val="52"/>
        </w:rPr>
        <w:fldChar w:fldCharType="begin"/>
      </w:r>
      <w:r>
        <w:rPr>
          <w:rFonts w:ascii="宋体" w:hAnsi="宋体"/>
          <w:b/>
          <w:sz w:val="52"/>
        </w:rPr>
        <w:instrText xml:space="preserve">ADDIN CNKISM.UserStyle</w:instrText>
      </w:r>
      <w:r>
        <w:rPr>
          <w:rFonts w:ascii="宋体" w:hAnsi="宋体"/>
          <w:b/>
          <w:sz w:val="52"/>
        </w:rPr>
        <w:fldChar w:fldCharType="end"/>
      </w:r>
    </w:p>
    <w:p>
      <w:pPr>
        <w:tabs>
          <w:tab w:val="left" w:pos="1134"/>
          <w:tab w:val="left" w:pos="5481"/>
          <w:tab w:val="left" w:pos="5859"/>
        </w:tabs>
        <w:rPr>
          <w:rFonts w:ascii="宋体" w:hAnsi="宋体"/>
          <w:b/>
          <w:sz w:val="24"/>
        </w:rPr>
      </w:pPr>
    </w:p>
    <w:p>
      <w:pPr>
        <w:tabs>
          <w:tab w:val="left" w:pos="1134"/>
          <w:tab w:val="left" w:pos="5481"/>
          <w:tab w:val="left" w:pos="5859"/>
        </w:tabs>
        <w:spacing w:line="360" w:lineRule="auto"/>
        <w:jc w:val="center"/>
        <w:rPr>
          <w:rFonts w:ascii="宋体" w:hAnsi="宋体"/>
          <w:b/>
          <w:sz w:val="52"/>
          <w:szCs w:val="52"/>
        </w:rPr>
      </w:pPr>
      <w:r>
        <w:rPr>
          <w:rFonts w:hint="eastAsia" w:ascii="宋体" w:hAnsi="宋体"/>
          <w:b/>
          <w:sz w:val="52"/>
          <w:szCs w:val="52"/>
          <w:lang w:eastAsia="zh-CN"/>
        </w:rPr>
        <w:t>山东大学齐鲁医院（青岛）零星工程结算等第三方审计服务项目（二次）</w:t>
      </w:r>
    </w:p>
    <w:p>
      <w:pPr>
        <w:tabs>
          <w:tab w:val="left" w:pos="1134"/>
          <w:tab w:val="left" w:pos="5481"/>
          <w:tab w:val="left" w:pos="5859"/>
        </w:tabs>
        <w:jc w:val="center"/>
        <w:rPr>
          <w:rFonts w:ascii="宋体" w:hAnsi="宋体"/>
          <w:b/>
          <w:sz w:val="56"/>
          <w:szCs w:val="56"/>
          <w:u w:val="single"/>
        </w:rPr>
      </w:pPr>
    </w:p>
    <w:p>
      <w:pPr>
        <w:pStyle w:val="2"/>
      </w:pPr>
    </w:p>
    <w:p>
      <w:pPr>
        <w:tabs>
          <w:tab w:val="left" w:pos="1134"/>
          <w:tab w:val="left" w:pos="5481"/>
          <w:tab w:val="left" w:pos="5859"/>
        </w:tabs>
        <w:jc w:val="center"/>
        <w:rPr>
          <w:rFonts w:ascii="宋体" w:hAnsi="宋体"/>
          <w:b/>
          <w:sz w:val="56"/>
          <w:szCs w:val="56"/>
        </w:rPr>
      </w:pPr>
      <w:r>
        <w:rPr>
          <w:rFonts w:hint="eastAsia" w:ascii="宋体" w:hAnsi="宋体"/>
          <w:b/>
          <w:sz w:val="56"/>
          <w:szCs w:val="56"/>
        </w:rPr>
        <w:t>竞争性磋商采购文件</w:t>
      </w:r>
    </w:p>
    <w:p>
      <w:pPr>
        <w:pStyle w:val="32"/>
        <w:spacing w:line="240" w:lineRule="auto"/>
        <w:ind w:left="0" w:leftChars="0" w:right="-42" w:firstLine="0" w:firstLineChars="0"/>
        <w:rPr>
          <w:rFonts w:ascii="宋体" w:hAnsi="宋体"/>
          <w:b/>
          <w:sz w:val="52"/>
          <w:szCs w:val="52"/>
        </w:rPr>
      </w:pPr>
    </w:p>
    <w:p>
      <w:pPr>
        <w:pStyle w:val="32"/>
        <w:spacing w:line="360" w:lineRule="auto"/>
        <w:ind w:left="0" w:leftChars="0" w:right="-42" w:firstLine="0" w:firstLineChars="0"/>
        <w:jc w:val="center"/>
        <w:rPr>
          <w:rFonts w:ascii="宋体" w:hAnsi="宋体"/>
          <w:b/>
          <w:sz w:val="28"/>
          <w:szCs w:val="36"/>
        </w:rPr>
      </w:pPr>
      <w:r>
        <w:rPr>
          <w:rFonts w:hint="eastAsia" w:ascii="宋体" w:hAnsi="宋体"/>
          <w:b/>
          <w:sz w:val="28"/>
          <w:szCs w:val="36"/>
        </w:rPr>
        <w:t>项目编号：HYHAQD2022-0318</w:t>
      </w:r>
    </w:p>
    <w:p>
      <w:pPr>
        <w:tabs>
          <w:tab w:val="left" w:pos="1134"/>
          <w:tab w:val="left" w:pos="5481"/>
          <w:tab w:val="left" w:pos="5859"/>
        </w:tabs>
        <w:jc w:val="center"/>
        <w:rPr>
          <w:rFonts w:ascii="宋体" w:hAnsi="宋体"/>
          <w:b/>
          <w:sz w:val="32"/>
        </w:rPr>
      </w:pPr>
    </w:p>
    <w:p>
      <w:pPr>
        <w:pStyle w:val="2"/>
      </w:pPr>
    </w:p>
    <w:p>
      <w:pPr>
        <w:tabs>
          <w:tab w:val="left" w:pos="1134"/>
          <w:tab w:val="left" w:pos="5481"/>
          <w:tab w:val="left" w:pos="5859"/>
        </w:tabs>
        <w:spacing w:line="360" w:lineRule="auto"/>
        <w:jc w:val="center"/>
        <w:rPr>
          <w:rFonts w:ascii="宋体" w:hAnsi="宋体"/>
          <w:b/>
          <w:sz w:val="32"/>
          <w:szCs w:val="32"/>
        </w:rPr>
      </w:pPr>
    </w:p>
    <w:p>
      <w:pPr>
        <w:tabs>
          <w:tab w:val="left" w:pos="1134"/>
          <w:tab w:val="left" w:pos="5481"/>
          <w:tab w:val="left" w:pos="5859"/>
        </w:tabs>
        <w:spacing w:line="360" w:lineRule="auto"/>
        <w:jc w:val="center"/>
        <w:rPr>
          <w:rFonts w:ascii="宋体" w:hAnsi="宋体"/>
          <w:b/>
          <w:sz w:val="32"/>
          <w:szCs w:val="32"/>
        </w:rPr>
      </w:pPr>
    </w:p>
    <w:p>
      <w:pPr>
        <w:tabs>
          <w:tab w:val="left" w:pos="1134"/>
          <w:tab w:val="left" w:pos="5481"/>
          <w:tab w:val="left" w:pos="5859"/>
        </w:tabs>
        <w:spacing w:line="480" w:lineRule="auto"/>
        <w:jc w:val="center"/>
        <w:rPr>
          <w:rFonts w:ascii="宋体" w:hAnsi="宋体"/>
          <w:b/>
          <w:sz w:val="32"/>
          <w:szCs w:val="32"/>
        </w:rPr>
      </w:pPr>
      <w:r>
        <w:rPr>
          <w:rFonts w:hint="eastAsia" w:ascii="宋体" w:hAnsi="宋体"/>
          <w:b/>
          <w:sz w:val="32"/>
          <w:szCs w:val="32"/>
        </w:rPr>
        <w:t>采购人：山东大学齐鲁医院（青岛）</w:t>
      </w:r>
    </w:p>
    <w:p>
      <w:pPr>
        <w:tabs>
          <w:tab w:val="left" w:pos="1134"/>
          <w:tab w:val="left" w:pos="5481"/>
          <w:tab w:val="left" w:pos="5859"/>
        </w:tabs>
        <w:spacing w:line="480" w:lineRule="auto"/>
        <w:jc w:val="center"/>
        <w:rPr>
          <w:rFonts w:ascii="宋体" w:hAnsi="宋体"/>
          <w:b/>
          <w:sz w:val="32"/>
          <w:szCs w:val="32"/>
        </w:rPr>
      </w:pPr>
      <w:r>
        <w:rPr>
          <w:rFonts w:hint="eastAsia" w:ascii="宋体" w:hAnsi="宋体"/>
          <w:b/>
          <w:sz w:val="32"/>
          <w:szCs w:val="32"/>
        </w:rPr>
        <w:t>采购代理机构：海逸恒安项目管理有限公司</w:t>
      </w:r>
    </w:p>
    <w:p>
      <w:pPr>
        <w:tabs>
          <w:tab w:val="left" w:pos="1134"/>
          <w:tab w:val="left" w:pos="5481"/>
          <w:tab w:val="left" w:pos="5859"/>
        </w:tabs>
        <w:spacing w:line="360" w:lineRule="auto"/>
        <w:jc w:val="center"/>
        <w:rPr>
          <w:rFonts w:ascii="宋体" w:hAnsi="宋体"/>
          <w:b/>
          <w:sz w:val="32"/>
          <w:szCs w:val="32"/>
        </w:rPr>
      </w:pPr>
    </w:p>
    <w:p>
      <w:pPr>
        <w:tabs>
          <w:tab w:val="left" w:pos="1134"/>
          <w:tab w:val="left" w:pos="5481"/>
          <w:tab w:val="left" w:pos="5859"/>
        </w:tabs>
        <w:spacing w:line="360" w:lineRule="auto"/>
        <w:jc w:val="center"/>
        <w:rPr>
          <w:rFonts w:ascii="宋体" w:hAnsi="宋体"/>
          <w:b/>
          <w:sz w:val="32"/>
          <w:szCs w:val="32"/>
        </w:rPr>
      </w:pPr>
      <w:r>
        <w:rPr>
          <w:rFonts w:hint="eastAsia" w:ascii="宋体" w:hAnsi="宋体"/>
          <w:b/>
          <w:sz w:val="32"/>
          <w:szCs w:val="32"/>
        </w:rPr>
        <w:t>2022年7</w:t>
      </w:r>
      <w:r>
        <w:rPr>
          <w:rFonts w:ascii="宋体" w:hAnsi="宋体"/>
          <w:b/>
          <w:sz w:val="32"/>
          <w:szCs w:val="32"/>
        </w:rPr>
        <w:t>月</w:t>
      </w:r>
    </w:p>
    <w:p>
      <w:pPr>
        <w:pStyle w:val="2"/>
        <w:sectPr>
          <w:headerReference r:id="rId3" w:type="default"/>
          <w:footerReference r:id="rId4" w:type="default"/>
          <w:footerReference r:id="rId5" w:type="even"/>
          <w:pgSz w:w="11907" w:h="16840"/>
          <w:pgMar w:top="1418" w:right="1418" w:bottom="1418" w:left="1418" w:header="851" w:footer="823" w:gutter="0"/>
          <w:cols w:space="720" w:num="1"/>
          <w:docGrid w:linePitch="290" w:charSpace="-3931"/>
        </w:sectPr>
      </w:pPr>
    </w:p>
    <w:p>
      <w:pPr>
        <w:pStyle w:val="2"/>
      </w:pPr>
    </w:p>
    <w:p>
      <w:pPr>
        <w:pStyle w:val="32"/>
        <w:spacing w:line="240" w:lineRule="auto"/>
        <w:ind w:left="0" w:leftChars="0" w:firstLine="0" w:firstLineChars="0"/>
        <w:jc w:val="center"/>
        <w:rPr>
          <w:rFonts w:ascii="宋体" w:hAnsi="宋体"/>
          <w:b/>
          <w:sz w:val="36"/>
        </w:rPr>
      </w:pPr>
      <w:r>
        <w:rPr>
          <w:rFonts w:hint="eastAsia" w:ascii="宋体" w:hAnsi="宋体"/>
          <w:b/>
          <w:sz w:val="36"/>
        </w:rPr>
        <w:t>目录</w:t>
      </w:r>
    </w:p>
    <w:p>
      <w:pPr>
        <w:pStyle w:val="54"/>
        <w:tabs>
          <w:tab w:val="right" w:leader="dot" w:pos="9071"/>
        </w:tabs>
      </w:pPr>
      <w:r>
        <w:rPr>
          <w:rFonts w:ascii="宋体" w:hAnsi="宋体"/>
          <w:caps w:val="0"/>
        </w:rPr>
        <w:fldChar w:fldCharType="begin"/>
      </w:r>
      <w:r>
        <w:rPr>
          <w:rFonts w:ascii="宋体" w:hAnsi="宋体"/>
          <w:caps w:val="0"/>
        </w:rPr>
        <w:instrText xml:space="preserve"> TOC \o "1-2" \h \z \u </w:instrText>
      </w:r>
      <w:r>
        <w:rPr>
          <w:rFonts w:ascii="宋体" w:hAnsi="宋体"/>
          <w:caps w:val="0"/>
        </w:rPr>
        <w:fldChar w:fldCharType="separate"/>
      </w:r>
      <w:r>
        <w:rPr>
          <w:rFonts w:ascii="宋体" w:hAnsi="宋体"/>
          <w:caps/>
          <w:kern w:val="2"/>
          <w:szCs w:val="20"/>
        </w:rPr>
        <w:fldChar w:fldCharType="begin"/>
      </w:r>
      <w:r>
        <w:rPr>
          <w:rFonts w:ascii="宋体" w:hAnsi="宋体"/>
          <w:caps/>
          <w:kern w:val="2"/>
          <w:szCs w:val="20"/>
        </w:rPr>
        <w:instrText xml:space="preserve"> HYPERLINK \l _Toc8043 </w:instrText>
      </w:r>
      <w:r>
        <w:rPr>
          <w:rFonts w:ascii="宋体" w:hAnsi="宋体"/>
          <w:caps/>
          <w:kern w:val="2"/>
          <w:szCs w:val="20"/>
        </w:rPr>
        <w:fldChar w:fldCharType="separate"/>
      </w:r>
      <w:r>
        <w:rPr>
          <w:rFonts w:hint="eastAsia" w:ascii="宋体" w:hAnsi="宋体"/>
          <w:kern w:val="2"/>
        </w:rPr>
        <w:t>第一章竞争性磋商公告</w:t>
      </w:r>
      <w:r>
        <w:tab/>
      </w:r>
      <w:r>
        <w:fldChar w:fldCharType="begin"/>
      </w:r>
      <w:r>
        <w:instrText xml:space="preserve"> PAGEREF _Toc8043 \h </w:instrText>
      </w:r>
      <w:r>
        <w:fldChar w:fldCharType="separate"/>
      </w:r>
      <w:r>
        <w:t>2</w:t>
      </w:r>
      <w:r>
        <w:fldChar w:fldCharType="end"/>
      </w:r>
      <w:r>
        <w:rPr>
          <w:rFonts w:ascii="宋体" w:hAnsi="宋体"/>
          <w:caps/>
          <w:kern w:val="2"/>
          <w:szCs w:val="20"/>
        </w:rPr>
        <w:fldChar w:fldCharType="end"/>
      </w:r>
    </w:p>
    <w:p>
      <w:pPr>
        <w:pStyle w:val="63"/>
        <w:tabs>
          <w:tab w:val="right" w:leader="dot" w:pos="9071"/>
          <w:tab w:val="clear" w:pos="8597"/>
        </w:tabs>
      </w:pPr>
      <w:r>
        <w:rPr>
          <w:rFonts w:ascii="宋体" w:hAnsi="宋体"/>
          <w:caps/>
          <w:kern w:val="2"/>
          <w:szCs w:val="20"/>
        </w:rPr>
        <w:fldChar w:fldCharType="begin"/>
      </w:r>
      <w:r>
        <w:rPr>
          <w:rFonts w:ascii="宋体" w:hAnsi="宋体"/>
          <w:caps/>
          <w:kern w:val="2"/>
          <w:szCs w:val="20"/>
        </w:rPr>
        <w:instrText xml:space="preserve"> HYPERLINK \l _Toc29512 </w:instrText>
      </w:r>
      <w:r>
        <w:rPr>
          <w:rFonts w:ascii="宋体" w:hAnsi="宋体"/>
          <w:caps/>
          <w:kern w:val="2"/>
          <w:szCs w:val="20"/>
        </w:rPr>
        <w:fldChar w:fldCharType="separate"/>
      </w:r>
      <w:r>
        <w:rPr>
          <w:rFonts w:hint="eastAsia" w:ascii="宋体" w:hAnsi="宋体" w:cs="仿宋"/>
          <w:kern w:val="0"/>
        </w:rPr>
        <w:t>1.采购人信息</w:t>
      </w:r>
      <w:r>
        <w:tab/>
      </w:r>
      <w:r>
        <w:fldChar w:fldCharType="begin"/>
      </w:r>
      <w:r>
        <w:instrText xml:space="preserve"> PAGEREF _Toc29512 \h </w:instrText>
      </w:r>
      <w:r>
        <w:fldChar w:fldCharType="separate"/>
      </w:r>
      <w:r>
        <w:t>4</w:t>
      </w:r>
      <w:r>
        <w:fldChar w:fldCharType="end"/>
      </w:r>
      <w:r>
        <w:rPr>
          <w:rFonts w:ascii="宋体" w:hAnsi="宋体"/>
          <w:caps/>
          <w:kern w:val="2"/>
          <w:szCs w:val="20"/>
        </w:rPr>
        <w:fldChar w:fldCharType="end"/>
      </w:r>
    </w:p>
    <w:p>
      <w:pPr>
        <w:pStyle w:val="63"/>
        <w:tabs>
          <w:tab w:val="right" w:leader="dot" w:pos="9071"/>
          <w:tab w:val="clear" w:pos="8597"/>
        </w:tabs>
      </w:pPr>
      <w:r>
        <w:rPr>
          <w:rFonts w:ascii="宋体" w:hAnsi="宋体"/>
          <w:caps/>
          <w:kern w:val="2"/>
          <w:szCs w:val="20"/>
        </w:rPr>
        <w:fldChar w:fldCharType="begin"/>
      </w:r>
      <w:r>
        <w:rPr>
          <w:rFonts w:ascii="宋体" w:hAnsi="宋体"/>
          <w:caps/>
          <w:kern w:val="2"/>
          <w:szCs w:val="20"/>
        </w:rPr>
        <w:instrText xml:space="preserve"> HYPERLINK \l _Toc14680 </w:instrText>
      </w:r>
      <w:r>
        <w:rPr>
          <w:rFonts w:ascii="宋体" w:hAnsi="宋体"/>
          <w:caps/>
          <w:kern w:val="2"/>
          <w:szCs w:val="20"/>
        </w:rPr>
        <w:fldChar w:fldCharType="separate"/>
      </w:r>
      <w:r>
        <w:rPr>
          <w:rFonts w:hint="eastAsia" w:ascii="宋体" w:hAnsi="宋体" w:cs="仿宋"/>
          <w:kern w:val="0"/>
        </w:rPr>
        <w:t>2.采购代理机构信息</w:t>
      </w:r>
      <w:r>
        <w:tab/>
      </w:r>
      <w:r>
        <w:fldChar w:fldCharType="begin"/>
      </w:r>
      <w:r>
        <w:instrText xml:space="preserve"> PAGEREF _Toc14680 \h </w:instrText>
      </w:r>
      <w:r>
        <w:fldChar w:fldCharType="separate"/>
      </w:r>
      <w:r>
        <w:t>4</w:t>
      </w:r>
      <w:r>
        <w:fldChar w:fldCharType="end"/>
      </w:r>
      <w:r>
        <w:rPr>
          <w:rFonts w:ascii="宋体" w:hAnsi="宋体"/>
          <w:caps/>
          <w:kern w:val="2"/>
          <w:szCs w:val="20"/>
        </w:rPr>
        <w:fldChar w:fldCharType="end"/>
      </w:r>
    </w:p>
    <w:p>
      <w:pPr>
        <w:pStyle w:val="63"/>
        <w:tabs>
          <w:tab w:val="right" w:leader="dot" w:pos="9071"/>
          <w:tab w:val="clear" w:pos="8597"/>
        </w:tabs>
      </w:pPr>
      <w:r>
        <w:rPr>
          <w:rFonts w:ascii="宋体" w:hAnsi="宋体"/>
          <w:caps/>
          <w:kern w:val="2"/>
          <w:szCs w:val="20"/>
        </w:rPr>
        <w:fldChar w:fldCharType="begin"/>
      </w:r>
      <w:r>
        <w:rPr>
          <w:rFonts w:ascii="宋体" w:hAnsi="宋体"/>
          <w:caps/>
          <w:kern w:val="2"/>
          <w:szCs w:val="20"/>
        </w:rPr>
        <w:instrText xml:space="preserve"> HYPERLINK \l _Toc26976 </w:instrText>
      </w:r>
      <w:r>
        <w:rPr>
          <w:rFonts w:ascii="宋体" w:hAnsi="宋体"/>
          <w:caps/>
          <w:kern w:val="2"/>
          <w:szCs w:val="20"/>
        </w:rPr>
        <w:fldChar w:fldCharType="separate"/>
      </w:r>
      <w:r>
        <w:rPr>
          <w:rFonts w:hint="eastAsia" w:ascii="宋体" w:hAnsi="宋体" w:cs="仿宋"/>
          <w:kern w:val="0"/>
        </w:rPr>
        <w:t>3.项目联系方式</w:t>
      </w:r>
      <w:r>
        <w:tab/>
      </w:r>
      <w:r>
        <w:fldChar w:fldCharType="begin"/>
      </w:r>
      <w:r>
        <w:instrText xml:space="preserve"> PAGEREF _Toc26976 \h </w:instrText>
      </w:r>
      <w:r>
        <w:fldChar w:fldCharType="separate"/>
      </w:r>
      <w:r>
        <w:t>4</w:t>
      </w:r>
      <w:r>
        <w:fldChar w:fldCharType="end"/>
      </w:r>
      <w:r>
        <w:rPr>
          <w:rFonts w:ascii="宋体" w:hAnsi="宋体"/>
          <w:caps/>
          <w:kern w:val="2"/>
          <w:szCs w:val="20"/>
        </w:rPr>
        <w:fldChar w:fldCharType="end"/>
      </w:r>
    </w:p>
    <w:p>
      <w:pPr>
        <w:pStyle w:val="54"/>
        <w:tabs>
          <w:tab w:val="right" w:leader="dot" w:pos="9071"/>
        </w:tabs>
      </w:pPr>
      <w:r>
        <w:rPr>
          <w:rFonts w:ascii="宋体" w:hAnsi="宋体"/>
          <w:caps/>
          <w:kern w:val="2"/>
          <w:szCs w:val="20"/>
        </w:rPr>
        <w:fldChar w:fldCharType="begin"/>
      </w:r>
      <w:r>
        <w:rPr>
          <w:rFonts w:ascii="宋体" w:hAnsi="宋体"/>
          <w:caps/>
          <w:kern w:val="2"/>
          <w:szCs w:val="20"/>
        </w:rPr>
        <w:instrText xml:space="preserve"> HYPERLINK \l _Toc15633 </w:instrText>
      </w:r>
      <w:r>
        <w:rPr>
          <w:rFonts w:ascii="宋体" w:hAnsi="宋体"/>
          <w:caps/>
          <w:kern w:val="2"/>
          <w:szCs w:val="20"/>
        </w:rPr>
        <w:fldChar w:fldCharType="separate"/>
      </w:r>
      <w:r>
        <w:rPr>
          <w:rFonts w:hint="eastAsia" w:ascii="宋体" w:hAnsi="宋体"/>
          <w:kern w:val="2"/>
        </w:rPr>
        <w:t>第二章响应人须知</w:t>
      </w:r>
      <w:r>
        <w:tab/>
      </w:r>
      <w:r>
        <w:fldChar w:fldCharType="begin"/>
      </w:r>
      <w:r>
        <w:instrText xml:space="preserve"> PAGEREF _Toc15633 \h </w:instrText>
      </w:r>
      <w:r>
        <w:fldChar w:fldCharType="separate"/>
      </w:r>
      <w:r>
        <w:t>5</w:t>
      </w:r>
      <w:r>
        <w:fldChar w:fldCharType="end"/>
      </w:r>
      <w:r>
        <w:rPr>
          <w:rFonts w:ascii="宋体" w:hAnsi="宋体"/>
          <w:caps/>
          <w:kern w:val="2"/>
          <w:szCs w:val="20"/>
        </w:rPr>
        <w:fldChar w:fldCharType="end"/>
      </w:r>
    </w:p>
    <w:p>
      <w:pPr>
        <w:pStyle w:val="54"/>
        <w:tabs>
          <w:tab w:val="right" w:leader="dot" w:pos="9071"/>
        </w:tabs>
      </w:pPr>
      <w:r>
        <w:rPr>
          <w:rFonts w:ascii="宋体" w:hAnsi="宋体"/>
          <w:caps/>
          <w:kern w:val="2"/>
          <w:szCs w:val="20"/>
        </w:rPr>
        <w:fldChar w:fldCharType="begin"/>
      </w:r>
      <w:r>
        <w:rPr>
          <w:rFonts w:ascii="宋体" w:hAnsi="宋体"/>
          <w:caps/>
          <w:kern w:val="2"/>
          <w:szCs w:val="20"/>
        </w:rPr>
        <w:instrText xml:space="preserve"> HYPERLINK \l _Toc5971 </w:instrText>
      </w:r>
      <w:r>
        <w:rPr>
          <w:rFonts w:ascii="宋体" w:hAnsi="宋体"/>
          <w:caps/>
          <w:kern w:val="2"/>
          <w:szCs w:val="20"/>
        </w:rPr>
        <w:fldChar w:fldCharType="separate"/>
      </w:r>
      <w:r>
        <w:rPr>
          <w:rFonts w:hint="eastAsia" w:ascii="宋体" w:hAnsi="宋体"/>
          <w:bCs w:val="0"/>
          <w:szCs w:val="30"/>
        </w:rPr>
        <w:t>响应人须知前附表</w:t>
      </w:r>
      <w:r>
        <w:tab/>
      </w:r>
      <w:r>
        <w:fldChar w:fldCharType="begin"/>
      </w:r>
      <w:r>
        <w:instrText xml:space="preserve"> PAGEREF _Toc5971 \h </w:instrText>
      </w:r>
      <w:r>
        <w:fldChar w:fldCharType="separate"/>
      </w:r>
      <w:r>
        <w:t>5</w:t>
      </w:r>
      <w:r>
        <w:fldChar w:fldCharType="end"/>
      </w:r>
      <w:r>
        <w:rPr>
          <w:rFonts w:ascii="宋体" w:hAnsi="宋体"/>
          <w:caps/>
          <w:kern w:val="2"/>
          <w:szCs w:val="20"/>
        </w:rPr>
        <w:fldChar w:fldCharType="end"/>
      </w:r>
    </w:p>
    <w:p>
      <w:pPr>
        <w:pStyle w:val="63"/>
        <w:tabs>
          <w:tab w:val="right" w:leader="dot" w:pos="9071"/>
          <w:tab w:val="clear" w:pos="8597"/>
        </w:tabs>
      </w:pPr>
      <w:r>
        <w:rPr>
          <w:rFonts w:ascii="宋体" w:hAnsi="宋体"/>
          <w:caps/>
          <w:kern w:val="2"/>
          <w:szCs w:val="20"/>
        </w:rPr>
        <w:fldChar w:fldCharType="begin"/>
      </w:r>
      <w:r>
        <w:rPr>
          <w:rFonts w:ascii="宋体" w:hAnsi="宋体"/>
          <w:caps/>
          <w:kern w:val="2"/>
          <w:szCs w:val="20"/>
        </w:rPr>
        <w:instrText xml:space="preserve"> HYPERLINK \l _Toc18041 </w:instrText>
      </w:r>
      <w:r>
        <w:rPr>
          <w:rFonts w:ascii="宋体" w:hAnsi="宋体"/>
          <w:caps/>
          <w:kern w:val="2"/>
          <w:szCs w:val="20"/>
        </w:rPr>
        <w:fldChar w:fldCharType="separate"/>
      </w:r>
      <w:r>
        <w:rPr>
          <w:rFonts w:hint="eastAsia" w:ascii="宋体" w:hAnsi="宋体" w:eastAsia="宋体"/>
          <w:szCs w:val="24"/>
        </w:rPr>
        <w:t>一、说明</w:t>
      </w:r>
      <w:r>
        <w:tab/>
      </w:r>
      <w:r>
        <w:fldChar w:fldCharType="begin"/>
      </w:r>
      <w:r>
        <w:instrText xml:space="preserve"> PAGEREF _Toc18041 \h </w:instrText>
      </w:r>
      <w:r>
        <w:fldChar w:fldCharType="separate"/>
      </w:r>
      <w:r>
        <w:t>16</w:t>
      </w:r>
      <w:r>
        <w:fldChar w:fldCharType="end"/>
      </w:r>
      <w:r>
        <w:rPr>
          <w:rFonts w:ascii="宋体" w:hAnsi="宋体"/>
          <w:caps/>
          <w:kern w:val="2"/>
          <w:szCs w:val="20"/>
        </w:rPr>
        <w:fldChar w:fldCharType="end"/>
      </w:r>
    </w:p>
    <w:p>
      <w:pPr>
        <w:pStyle w:val="63"/>
        <w:tabs>
          <w:tab w:val="right" w:leader="dot" w:pos="9071"/>
          <w:tab w:val="clear" w:pos="8597"/>
        </w:tabs>
      </w:pPr>
      <w:r>
        <w:rPr>
          <w:rFonts w:ascii="宋体" w:hAnsi="宋体"/>
          <w:caps/>
          <w:kern w:val="2"/>
          <w:szCs w:val="20"/>
        </w:rPr>
        <w:fldChar w:fldCharType="begin"/>
      </w:r>
      <w:r>
        <w:rPr>
          <w:rFonts w:ascii="宋体" w:hAnsi="宋体"/>
          <w:caps/>
          <w:kern w:val="2"/>
          <w:szCs w:val="20"/>
        </w:rPr>
        <w:instrText xml:space="preserve"> HYPERLINK \l _Toc1397 </w:instrText>
      </w:r>
      <w:r>
        <w:rPr>
          <w:rFonts w:ascii="宋体" w:hAnsi="宋体"/>
          <w:caps/>
          <w:kern w:val="2"/>
          <w:szCs w:val="20"/>
        </w:rPr>
        <w:fldChar w:fldCharType="separate"/>
      </w:r>
      <w:r>
        <w:rPr>
          <w:rFonts w:hint="eastAsia" w:ascii="宋体" w:hAnsi="宋体" w:eastAsia="宋体"/>
          <w:szCs w:val="24"/>
        </w:rPr>
        <w:t>二、采购文件</w:t>
      </w:r>
      <w:r>
        <w:tab/>
      </w:r>
      <w:r>
        <w:fldChar w:fldCharType="begin"/>
      </w:r>
      <w:r>
        <w:instrText xml:space="preserve"> PAGEREF _Toc1397 \h </w:instrText>
      </w:r>
      <w:r>
        <w:fldChar w:fldCharType="separate"/>
      </w:r>
      <w:r>
        <w:t>16</w:t>
      </w:r>
      <w:r>
        <w:fldChar w:fldCharType="end"/>
      </w:r>
      <w:r>
        <w:rPr>
          <w:rFonts w:ascii="宋体" w:hAnsi="宋体"/>
          <w:caps/>
          <w:kern w:val="2"/>
          <w:szCs w:val="20"/>
        </w:rPr>
        <w:fldChar w:fldCharType="end"/>
      </w:r>
    </w:p>
    <w:p>
      <w:pPr>
        <w:pStyle w:val="63"/>
        <w:tabs>
          <w:tab w:val="right" w:leader="dot" w:pos="9071"/>
          <w:tab w:val="clear" w:pos="8597"/>
        </w:tabs>
      </w:pPr>
      <w:r>
        <w:rPr>
          <w:rFonts w:ascii="宋体" w:hAnsi="宋体"/>
          <w:caps/>
          <w:kern w:val="2"/>
          <w:szCs w:val="20"/>
        </w:rPr>
        <w:fldChar w:fldCharType="begin"/>
      </w:r>
      <w:r>
        <w:rPr>
          <w:rFonts w:ascii="宋体" w:hAnsi="宋体"/>
          <w:caps/>
          <w:kern w:val="2"/>
          <w:szCs w:val="20"/>
        </w:rPr>
        <w:instrText xml:space="preserve"> HYPERLINK \l _Toc4267 </w:instrText>
      </w:r>
      <w:r>
        <w:rPr>
          <w:rFonts w:ascii="宋体" w:hAnsi="宋体"/>
          <w:caps/>
          <w:kern w:val="2"/>
          <w:szCs w:val="20"/>
        </w:rPr>
        <w:fldChar w:fldCharType="separate"/>
      </w:r>
      <w:r>
        <w:rPr>
          <w:rFonts w:hint="eastAsia" w:ascii="宋体" w:hAnsi="宋体" w:eastAsia="宋体"/>
          <w:szCs w:val="24"/>
        </w:rPr>
        <w:t>三、响应文件编写</w:t>
      </w:r>
      <w:r>
        <w:tab/>
      </w:r>
      <w:r>
        <w:fldChar w:fldCharType="begin"/>
      </w:r>
      <w:r>
        <w:instrText xml:space="preserve"> PAGEREF _Toc4267 \h </w:instrText>
      </w:r>
      <w:r>
        <w:fldChar w:fldCharType="separate"/>
      </w:r>
      <w:r>
        <w:t>17</w:t>
      </w:r>
      <w:r>
        <w:fldChar w:fldCharType="end"/>
      </w:r>
      <w:r>
        <w:rPr>
          <w:rFonts w:ascii="宋体" w:hAnsi="宋体"/>
          <w:caps/>
          <w:kern w:val="2"/>
          <w:szCs w:val="20"/>
        </w:rPr>
        <w:fldChar w:fldCharType="end"/>
      </w:r>
    </w:p>
    <w:p>
      <w:pPr>
        <w:pStyle w:val="63"/>
        <w:tabs>
          <w:tab w:val="right" w:leader="dot" w:pos="9071"/>
          <w:tab w:val="clear" w:pos="8597"/>
        </w:tabs>
      </w:pPr>
      <w:r>
        <w:rPr>
          <w:rFonts w:ascii="宋体" w:hAnsi="宋体"/>
          <w:caps/>
          <w:kern w:val="2"/>
          <w:szCs w:val="20"/>
        </w:rPr>
        <w:fldChar w:fldCharType="begin"/>
      </w:r>
      <w:r>
        <w:rPr>
          <w:rFonts w:ascii="宋体" w:hAnsi="宋体"/>
          <w:caps/>
          <w:kern w:val="2"/>
          <w:szCs w:val="20"/>
        </w:rPr>
        <w:instrText xml:space="preserve"> HYPERLINK \l _Toc20025 </w:instrText>
      </w:r>
      <w:r>
        <w:rPr>
          <w:rFonts w:ascii="宋体" w:hAnsi="宋体"/>
          <w:caps/>
          <w:kern w:val="2"/>
          <w:szCs w:val="20"/>
        </w:rPr>
        <w:fldChar w:fldCharType="separate"/>
      </w:r>
      <w:r>
        <w:rPr>
          <w:rFonts w:hint="eastAsia" w:ascii="宋体" w:hAnsi="宋体" w:eastAsia="宋体"/>
          <w:szCs w:val="24"/>
        </w:rPr>
        <w:t>四、</w:t>
      </w:r>
      <w:r>
        <w:rPr>
          <w:rFonts w:hint="eastAsia" w:ascii="宋体" w:hAnsi="宋体" w:eastAsia="宋体"/>
        </w:rPr>
        <w:t>响应文件</w:t>
      </w:r>
      <w:r>
        <w:rPr>
          <w:rFonts w:hint="eastAsia" w:ascii="宋体" w:hAnsi="宋体" w:eastAsia="宋体"/>
          <w:szCs w:val="24"/>
        </w:rPr>
        <w:t>递交</w:t>
      </w:r>
      <w:r>
        <w:tab/>
      </w:r>
      <w:r>
        <w:fldChar w:fldCharType="begin"/>
      </w:r>
      <w:r>
        <w:instrText xml:space="preserve"> PAGEREF _Toc20025 \h </w:instrText>
      </w:r>
      <w:r>
        <w:fldChar w:fldCharType="separate"/>
      </w:r>
      <w:r>
        <w:t>21</w:t>
      </w:r>
      <w:r>
        <w:fldChar w:fldCharType="end"/>
      </w:r>
      <w:r>
        <w:rPr>
          <w:rFonts w:ascii="宋体" w:hAnsi="宋体"/>
          <w:caps/>
          <w:kern w:val="2"/>
          <w:szCs w:val="20"/>
        </w:rPr>
        <w:fldChar w:fldCharType="end"/>
      </w:r>
    </w:p>
    <w:p>
      <w:pPr>
        <w:pStyle w:val="63"/>
        <w:tabs>
          <w:tab w:val="right" w:leader="dot" w:pos="9071"/>
          <w:tab w:val="clear" w:pos="8597"/>
        </w:tabs>
      </w:pPr>
      <w:r>
        <w:rPr>
          <w:rFonts w:ascii="宋体" w:hAnsi="宋体"/>
          <w:caps/>
          <w:kern w:val="2"/>
          <w:szCs w:val="20"/>
        </w:rPr>
        <w:fldChar w:fldCharType="begin"/>
      </w:r>
      <w:r>
        <w:rPr>
          <w:rFonts w:ascii="宋体" w:hAnsi="宋体"/>
          <w:caps/>
          <w:kern w:val="2"/>
          <w:szCs w:val="20"/>
        </w:rPr>
        <w:instrText xml:space="preserve"> HYPERLINK \l _Toc4333 </w:instrText>
      </w:r>
      <w:r>
        <w:rPr>
          <w:rFonts w:ascii="宋体" w:hAnsi="宋体"/>
          <w:caps/>
          <w:kern w:val="2"/>
          <w:szCs w:val="20"/>
        </w:rPr>
        <w:fldChar w:fldCharType="separate"/>
      </w:r>
      <w:r>
        <w:rPr>
          <w:rFonts w:hint="eastAsia" w:ascii="宋体" w:hAnsi="宋体" w:eastAsia="宋体"/>
          <w:szCs w:val="24"/>
        </w:rPr>
        <w:t>五、磋商会议仪式、磋商与评审</w:t>
      </w:r>
      <w:r>
        <w:tab/>
      </w:r>
      <w:r>
        <w:fldChar w:fldCharType="begin"/>
      </w:r>
      <w:r>
        <w:instrText xml:space="preserve"> PAGEREF _Toc4333 \h </w:instrText>
      </w:r>
      <w:r>
        <w:fldChar w:fldCharType="separate"/>
      </w:r>
      <w:r>
        <w:t>22</w:t>
      </w:r>
      <w:r>
        <w:fldChar w:fldCharType="end"/>
      </w:r>
      <w:r>
        <w:rPr>
          <w:rFonts w:ascii="宋体" w:hAnsi="宋体"/>
          <w:caps/>
          <w:kern w:val="2"/>
          <w:szCs w:val="20"/>
        </w:rPr>
        <w:fldChar w:fldCharType="end"/>
      </w:r>
    </w:p>
    <w:p>
      <w:pPr>
        <w:pStyle w:val="63"/>
        <w:tabs>
          <w:tab w:val="right" w:leader="dot" w:pos="9071"/>
          <w:tab w:val="clear" w:pos="8597"/>
        </w:tabs>
      </w:pPr>
      <w:r>
        <w:rPr>
          <w:rFonts w:ascii="宋体" w:hAnsi="宋体"/>
          <w:caps/>
          <w:kern w:val="2"/>
          <w:szCs w:val="20"/>
        </w:rPr>
        <w:fldChar w:fldCharType="begin"/>
      </w:r>
      <w:r>
        <w:rPr>
          <w:rFonts w:ascii="宋体" w:hAnsi="宋体"/>
          <w:caps/>
          <w:kern w:val="2"/>
          <w:szCs w:val="20"/>
        </w:rPr>
        <w:instrText xml:space="preserve"> HYPERLINK \l _Toc19438 </w:instrText>
      </w:r>
      <w:r>
        <w:rPr>
          <w:rFonts w:ascii="宋体" w:hAnsi="宋体"/>
          <w:caps/>
          <w:kern w:val="2"/>
          <w:szCs w:val="20"/>
        </w:rPr>
        <w:fldChar w:fldCharType="separate"/>
      </w:r>
      <w:r>
        <w:rPr>
          <w:rFonts w:hint="eastAsia" w:ascii="宋体" w:hAnsi="宋体" w:eastAsia="宋体" w:cs="宋体"/>
          <w:szCs w:val="24"/>
        </w:rPr>
        <w:t>六、询问和质疑</w:t>
      </w:r>
      <w:r>
        <w:tab/>
      </w:r>
      <w:r>
        <w:fldChar w:fldCharType="begin"/>
      </w:r>
      <w:r>
        <w:instrText xml:space="preserve"> PAGEREF _Toc19438 \h </w:instrText>
      </w:r>
      <w:r>
        <w:fldChar w:fldCharType="separate"/>
      </w:r>
      <w:r>
        <w:t>29</w:t>
      </w:r>
      <w:r>
        <w:fldChar w:fldCharType="end"/>
      </w:r>
      <w:r>
        <w:rPr>
          <w:rFonts w:ascii="宋体" w:hAnsi="宋体"/>
          <w:caps/>
          <w:kern w:val="2"/>
          <w:szCs w:val="20"/>
        </w:rPr>
        <w:fldChar w:fldCharType="end"/>
      </w:r>
    </w:p>
    <w:p>
      <w:pPr>
        <w:pStyle w:val="63"/>
        <w:tabs>
          <w:tab w:val="right" w:leader="dot" w:pos="9071"/>
          <w:tab w:val="clear" w:pos="8597"/>
        </w:tabs>
      </w:pPr>
      <w:r>
        <w:rPr>
          <w:rFonts w:ascii="宋体" w:hAnsi="宋体"/>
          <w:caps/>
          <w:kern w:val="2"/>
          <w:szCs w:val="20"/>
        </w:rPr>
        <w:fldChar w:fldCharType="begin"/>
      </w:r>
      <w:r>
        <w:rPr>
          <w:rFonts w:ascii="宋体" w:hAnsi="宋体"/>
          <w:caps/>
          <w:kern w:val="2"/>
          <w:szCs w:val="20"/>
        </w:rPr>
        <w:instrText xml:space="preserve"> HYPERLINK \l _Toc29186 </w:instrText>
      </w:r>
      <w:r>
        <w:rPr>
          <w:rFonts w:ascii="宋体" w:hAnsi="宋体"/>
          <w:caps/>
          <w:kern w:val="2"/>
          <w:szCs w:val="20"/>
        </w:rPr>
        <w:fldChar w:fldCharType="separate"/>
      </w:r>
      <w:r>
        <w:rPr>
          <w:rFonts w:hint="eastAsia" w:ascii="宋体" w:hAnsi="宋体" w:eastAsia="宋体" w:cs="宋体"/>
          <w:szCs w:val="24"/>
        </w:rPr>
        <w:t>七、授予合同</w:t>
      </w:r>
      <w:r>
        <w:tab/>
      </w:r>
      <w:r>
        <w:fldChar w:fldCharType="begin"/>
      </w:r>
      <w:r>
        <w:instrText xml:space="preserve"> PAGEREF _Toc29186 \h </w:instrText>
      </w:r>
      <w:r>
        <w:fldChar w:fldCharType="separate"/>
      </w:r>
      <w:r>
        <w:t>32</w:t>
      </w:r>
      <w:r>
        <w:fldChar w:fldCharType="end"/>
      </w:r>
      <w:r>
        <w:rPr>
          <w:rFonts w:ascii="宋体" w:hAnsi="宋体"/>
          <w:caps/>
          <w:kern w:val="2"/>
          <w:szCs w:val="20"/>
        </w:rPr>
        <w:fldChar w:fldCharType="end"/>
      </w:r>
    </w:p>
    <w:p>
      <w:pPr>
        <w:pStyle w:val="63"/>
        <w:tabs>
          <w:tab w:val="right" w:leader="dot" w:pos="9071"/>
          <w:tab w:val="clear" w:pos="8597"/>
        </w:tabs>
      </w:pPr>
      <w:r>
        <w:rPr>
          <w:rFonts w:ascii="宋体" w:hAnsi="宋体"/>
          <w:caps/>
          <w:kern w:val="2"/>
          <w:szCs w:val="20"/>
        </w:rPr>
        <w:fldChar w:fldCharType="begin"/>
      </w:r>
      <w:r>
        <w:rPr>
          <w:rFonts w:ascii="宋体" w:hAnsi="宋体"/>
          <w:caps/>
          <w:kern w:val="2"/>
          <w:szCs w:val="20"/>
        </w:rPr>
        <w:instrText xml:space="preserve"> HYPERLINK \l _Toc6445 </w:instrText>
      </w:r>
      <w:r>
        <w:rPr>
          <w:rFonts w:ascii="宋体" w:hAnsi="宋体"/>
          <w:caps/>
          <w:kern w:val="2"/>
          <w:szCs w:val="20"/>
        </w:rPr>
        <w:fldChar w:fldCharType="separate"/>
      </w:r>
      <w:r>
        <w:rPr>
          <w:rFonts w:hint="eastAsia" w:ascii="宋体" w:hAnsi="宋体" w:eastAsia="宋体" w:cs="宋体"/>
          <w:szCs w:val="24"/>
          <w:lang w:eastAsia="zh-CN"/>
        </w:rPr>
        <w:t>八</w:t>
      </w:r>
      <w:r>
        <w:rPr>
          <w:rFonts w:hint="eastAsia" w:ascii="宋体" w:hAnsi="宋体" w:eastAsia="宋体" w:cs="宋体"/>
          <w:szCs w:val="24"/>
        </w:rPr>
        <w:t>、履约担保</w:t>
      </w:r>
      <w:r>
        <w:tab/>
      </w:r>
      <w:r>
        <w:fldChar w:fldCharType="begin"/>
      </w:r>
      <w:r>
        <w:instrText xml:space="preserve"> PAGEREF _Toc6445 \h </w:instrText>
      </w:r>
      <w:r>
        <w:fldChar w:fldCharType="separate"/>
      </w:r>
      <w:r>
        <w:t>32</w:t>
      </w:r>
      <w:r>
        <w:fldChar w:fldCharType="end"/>
      </w:r>
      <w:r>
        <w:rPr>
          <w:rFonts w:ascii="宋体" w:hAnsi="宋体"/>
          <w:caps/>
          <w:kern w:val="2"/>
          <w:szCs w:val="20"/>
        </w:rPr>
        <w:fldChar w:fldCharType="end"/>
      </w:r>
    </w:p>
    <w:p>
      <w:pPr>
        <w:pStyle w:val="63"/>
        <w:tabs>
          <w:tab w:val="right" w:leader="dot" w:pos="9071"/>
          <w:tab w:val="clear" w:pos="8597"/>
        </w:tabs>
      </w:pPr>
      <w:r>
        <w:rPr>
          <w:rFonts w:ascii="宋体" w:hAnsi="宋体"/>
          <w:caps/>
          <w:kern w:val="2"/>
          <w:szCs w:val="20"/>
        </w:rPr>
        <w:fldChar w:fldCharType="begin"/>
      </w:r>
      <w:r>
        <w:rPr>
          <w:rFonts w:ascii="宋体" w:hAnsi="宋体"/>
          <w:caps/>
          <w:kern w:val="2"/>
          <w:szCs w:val="20"/>
        </w:rPr>
        <w:instrText xml:space="preserve"> HYPERLINK \l _Toc15203 </w:instrText>
      </w:r>
      <w:r>
        <w:rPr>
          <w:rFonts w:ascii="宋体" w:hAnsi="宋体"/>
          <w:caps/>
          <w:kern w:val="2"/>
          <w:szCs w:val="20"/>
        </w:rPr>
        <w:fldChar w:fldCharType="separate"/>
      </w:r>
      <w:r>
        <w:rPr>
          <w:rFonts w:hint="eastAsia" w:ascii="宋体" w:hAnsi="宋体" w:eastAsia="宋体" w:cs="宋体"/>
          <w:szCs w:val="24"/>
          <w:lang w:eastAsia="zh-CN"/>
        </w:rPr>
        <w:t>九</w:t>
      </w:r>
      <w:r>
        <w:rPr>
          <w:rFonts w:hint="eastAsia" w:ascii="宋体" w:hAnsi="宋体" w:eastAsia="宋体" w:cs="宋体"/>
          <w:szCs w:val="24"/>
        </w:rPr>
        <w:t>、成交服务费</w:t>
      </w:r>
      <w:r>
        <w:tab/>
      </w:r>
      <w:r>
        <w:fldChar w:fldCharType="begin"/>
      </w:r>
      <w:r>
        <w:instrText xml:space="preserve"> PAGEREF _Toc15203 \h </w:instrText>
      </w:r>
      <w:r>
        <w:fldChar w:fldCharType="separate"/>
      </w:r>
      <w:r>
        <w:t>32</w:t>
      </w:r>
      <w:r>
        <w:fldChar w:fldCharType="end"/>
      </w:r>
      <w:r>
        <w:rPr>
          <w:rFonts w:ascii="宋体" w:hAnsi="宋体"/>
          <w:caps/>
          <w:kern w:val="2"/>
          <w:szCs w:val="20"/>
        </w:rPr>
        <w:fldChar w:fldCharType="end"/>
      </w:r>
    </w:p>
    <w:p>
      <w:pPr>
        <w:pStyle w:val="63"/>
        <w:tabs>
          <w:tab w:val="right" w:leader="dot" w:pos="9071"/>
          <w:tab w:val="clear" w:pos="8597"/>
        </w:tabs>
      </w:pPr>
      <w:r>
        <w:rPr>
          <w:rFonts w:ascii="宋体" w:hAnsi="宋体"/>
          <w:caps/>
          <w:kern w:val="2"/>
          <w:szCs w:val="20"/>
        </w:rPr>
        <w:fldChar w:fldCharType="begin"/>
      </w:r>
      <w:r>
        <w:rPr>
          <w:rFonts w:ascii="宋体" w:hAnsi="宋体"/>
          <w:caps/>
          <w:kern w:val="2"/>
          <w:szCs w:val="20"/>
        </w:rPr>
        <w:instrText xml:space="preserve"> HYPERLINK \l _Toc8651 </w:instrText>
      </w:r>
      <w:r>
        <w:rPr>
          <w:rFonts w:ascii="宋体" w:hAnsi="宋体"/>
          <w:caps/>
          <w:kern w:val="2"/>
          <w:szCs w:val="20"/>
        </w:rPr>
        <w:fldChar w:fldCharType="separate"/>
      </w:r>
      <w:r>
        <w:rPr>
          <w:rFonts w:hint="eastAsia" w:ascii="宋体" w:hAnsi="宋体" w:eastAsia="宋体" w:cs="宋体"/>
          <w:szCs w:val="24"/>
        </w:rPr>
        <w:t>十、解释权</w:t>
      </w:r>
      <w:r>
        <w:tab/>
      </w:r>
      <w:r>
        <w:fldChar w:fldCharType="begin"/>
      </w:r>
      <w:r>
        <w:instrText xml:space="preserve"> PAGEREF _Toc8651 \h </w:instrText>
      </w:r>
      <w:r>
        <w:fldChar w:fldCharType="separate"/>
      </w:r>
      <w:r>
        <w:t>32</w:t>
      </w:r>
      <w:r>
        <w:fldChar w:fldCharType="end"/>
      </w:r>
      <w:r>
        <w:rPr>
          <w:rFonts w:ascii="宋体" w:hAnsi="宋体"/>
          <w:caps/>
          <w:kern w:val="2"/>
          <w:szCs w:val="20"/>
        </w:rPr>
        <w:fldChar w:fldCharType="end"/>
      </w:r>
    </w:p>
    <w:p>
      <w:pPr>
        <w:pStyle w:val="63"/>
        <w:tabs>
          <w:tab w:val="right" w:leader="dot" w:pos="9071"/>
          <w:tab w:val="clear" w:pos="8597"/>
        </w:tabs>
      </w:pPr>
      <w:r>
        <w:rPr>
          <w:rFonts w:ascii="宋体" w:hAnsi="宋体"/>
          <w:caps/>
          <w:kern w:val="2"/>
          <w:szCs w:val="20"/>
        </w:rPr>
        <w:fldChar w:fldCharType="begin"/>
      </w:r>
      <w:r>
        <w:rPr>
          <w:rFonts w:ascii="宋体" w:hAnsi="宋体"/>
          <w:caps/>
          <w:kern w:val="2"/>
          <w:szCs w:val="20"/>
        </w:rPr>
        <w:instrText xml:space="preserve"> HYPERLINK \l _Toc2790 </w:instrText>
      </w:r>
      <w:r>
        <w:rPr>
          <w:rFonts w:ascii="宋体" w:hAnsi="宋体"/>
          <w:caps/>
          <w:kern w:val="2"/>
          <w:szCs w:val="20"/>
        </w:rPr>
        <w:fldChar w:fldCharType="separate"/>
      </w:r>
      <w:r>
        <w:rPr>
          <w:rFonts w:hint="eastAsia" w:ascii="宋体" w:hAnsi="宋体" w:eastAsia="宋体" w:cs="宋体"/>
          <w:szCs w:val="24"/>
        </w:rPr>
        <w:t>十</w:t>
      </w:r>
      <w:r>
        <w:rPr>
          <w:rFonts w:hint="eastAsia" w:ascii="宋体" w:hAnsi="宋体" w:eastAsia="宋体" w:cs="宋体"/>
          <w:szCs w:val="24"/>
          <w:lang w:eastAsia="zh-CN"/>
        </w:rPr>
        <w:t>一</w:t>
      </w:r>
      <w:r>
        <w:rPr>
          <w:rFonts w:hint="eastAsia" w:ascii="宋体" w:hAnsi="宋体" w:eastAsia="宋体" w:cs="宋体"/>
          <w:szCs w:val="24"/>
        </w:rPr>
        <w:t>、其他</w:t>
      </w:r>
      <w:r>
        <w:tab/>
      </w:r>
      <w:r>
        <w:fldChar w:fldCharType="begin"/>
      </w:r>
      <w:r>
        <w:instrText xml:space="preserve"> PAGEREF _Toc2790 \h </w:instrText>
      </w:r>
      <w:r>
        <w:fldChar w:fldCharType="separate"/>
      </w:r>
      <w:r>
        <w:t>33</w:t>
      </w:r>
      <w:r>
        <w:fldChar w:fldCharType="end"/>
      </w:r>
      <w:r>
        <w:rPr>
          <w:rFonts w:ascii="宋体" w:hAnsi="宋体"/>
          <w:caps/>
          <w:kern w:val="2"/>
          <w:szCs w:val="20"/>
        </w:rPr>
        <w:fldChar w:fldCharType="end"/>
      </w:r>
    </w:p>
    <w:p>
      <w:pPr>
        <w:pStyle w:val="54"/>
        <w:tabs>
          <w:tab w:val="right" w:leader="dot" w:pos="9071"/>
        </w:tabs>
      </w:pPr>
      <w:r>
        <w:rPr>
          <w:rFonts w:ascii="宋体" w:hAnsi="宋体"/>
          <w:caps/>
          <w:kern w:val="2"/>
          <w:szCs w:val="20"/>
        </w:rPr>
        <w:fldChar w:fldCharType="begin"/>
      </w:r>
      <w:r>
        <w:rPr>
          <w:rFonts w:ascii="宋体" w:hAnsi="宋体"/>
          <w:caps/>
          <w:kern w:val="2"/>
          <w:szCs w:val="20"/>
        </w:rPr>
        <w:instrText xml:space="preserve"> HYPERLINK \l _Toc12369 </w:instrText>
      </w:r>
      <w:r>
        <w:rPr>
          <w:rFonts w:ascii="宋体" w:hAnsi="宋体"/>
          <w:caps/>
          <w:kern w:val="2"/>
          <w:szCs w:val="20"/>
        </w:rPr>
        <w:fldChar w:fldCharType="separate"/>
      </w:r>
      <w:r>
        <w:rPr>
          <w:rFonts w:hint="eastAsia" w:ascii="宋体" w:hAnsi="宋体"/>
          <w:kern w:val="2"/>
        </w:rPr>
        <w:t>第三章评分办法</w:t>
      </w:r>
      <w:r>
        <w:tab/>
      </w:r>
      <w:r>
        <w:fldChar w:fldCharType="begin"/>
      </w:r>
      <w:r>
        <w:instrText xml:space="preserve"> PAGEREF _Toc12369 \h </w:instrText>
      </w:r>
      <w:r>
        <w:fldChar w:fldCharType="separate"/>
      </w:r>
      <w:r>
        <w:t>34</w:t>
      </w:r>
      <w:r>
        <w:fldChar w:fldCharType="end"/>
      </w:r>
      <w:r>
        <w:rPr>
          <w:rFonts w:ascii="宋体" w:hAnsi="宋体"/>
          <w:caps/>
          <w:kern w:val="2"/>
          <w:szCs w:val="20"/>
        </w:rPr>
        <w:fldChar w:fldCharType="end"/>
      </w:r>
    </w:p>
    <w:p>
      <w:pPr>
        <w:pStyle w:val="54"/>
        <w:tabs>
          <w:tab w:val="right" w:leader="dot" w:pos="9071"/>
        </w:tabs>
      </w:pPr>
      <w:r>
        <w:rPr>
          <w:rFonts w:ascii="宋体" w:hAnsi="宋体"/>
          <w:caps/>
          <w:kern w:val="2"/>
          <w:szCs w:val="20"/>
        </w:rPr>
        <w:fldChar w:fldCharType="begin"/>
      </w:r>
      <w:r>
        <w:rPr>
          <w:rFonts w:ascii="宋体" w:hAnsi="宋体"/>
          <w:caps/>
          <w:kern w:val="2"/>
          <w:szCs w:val="20"/>
        </w:rPr>
        <w:instrText xml:space="preserve"> HYPERLINK \l _Toc15566 </w:instrText>
      </w:r>
      <w:r>
        <w:rPr>
          <w:rFonts w:ascii="宋体" w:hAnsi="宋体"/>
          <w:caps/>
          <w:kern w:val="2"/>
          <w:szCs w:val="20"/>
        </w:rPr>
        <w:fldChar w:fldCharType="separate"/>
      </w:r>
      <w:r>
        <w:rPr>
          <w:rFonts w:hint="eastAsia" w:ascii="宋体" w:hAnsi="宋体"/>
          <w:kern w:val="2"/>
        </w:rPr>
        <w:t>第四章采购内容及项目要求</w:t>
      </w:r>
      <w:r>
        <w:tab/>
      </w:r>
      <w:r>
        <w:fldChar w:fldCharType="begin"/>
      </w:r>
      <w:r>
        <w:instrText xml:space="preserve"> PAGEREF _Toc15566 \h </w:instrText>
      </w:r>
      <w:r>
        <w:fldChar w:fldCharType="separate"/>
      </w:r>
      <w:r>
        <w:t>38</w:t>
      </w:r>
      <w:r>
        <w:fldChar w:fldCharType="end"/>
      </w:r>
      <w:r>
        <w:rPr>
          <w:rFonts w:ascii="宋体" w:hAnsi="宋体"/>
          <w:caps/>
          <w:kern w:val="2"/>
          <w:szCs w:val="20"/>
        </w:rPr>
        <w:fldChar w:fldCharType="end"/>
      </w:r>
    </w:p>
    <w:p>
      <w:pPr>
        <w:pStyle w:val="4"/>
        <w:tabs>
          <w:tab w:val="right" w:leader="dot" w:pos="8647"/>
        </w:tabs>
        <w:spacing w:before="120" w:after="120" w:line="360" w:lineRule="auto"/>
        <w:jc w:val="center"/>
        <w:rPr>
          <w:rFonts w:ascii="宋体" w:hAnsi="宋体"/>
          <w:kern w:val="2"/>
          <w:sz w:val="32"/>
        </w:rPr>
      </w:pPr>
      <w:r>
        <w:rPr>
          <w:rFonts w:ascii="宋体" w:hAnsi="宋体"/>
          <w:caps/>
          <w:kern w:val="2"/>
          <w:szCs w:val="20"/>
        </w:rPr>
        <w:fldChar w:fldCharType="end"/>
      </w:r>
      <w:bookmarkStart w:id="0" w:name="_Toc11844"/>
      <w:bookmarkStart w:id="1" w:name="_Toc206"/>
      <w:bookmarkStart w:id="2" w:name="_Toc8043"/>
      <w:r>
        <w:rPr>
          <w:rFonts w:ascii="宋体" w:hAnsi="宋体"/>
        </w:rPr>
        <w:br w:type="page"/>
      </w:r>
      <w:r>
        <w:rPr>
          <w:rFonts w:hint="eastAsia" w:ascii="宋体" w:hAnsi="宋体"/>
          <w:kern w:val="2"/>
          <w:sz w:val="32"/>
        </w:rPr>
        <w:t>第一章竞争性磋商公告</w:t>
      </w:r>
      <w:bookmarkEnd w:id="0"/>
      <w:bookmarkEnd w:id="1"/>
      <w:bookmarkEnd w:id="2"/>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rPr>
          <w:rFonts w:ascii="宋体" w:hAnsi="宋体" w:cs="宋体"/>
          <w:sz w:val="24"/>
        </w:rPr>
      </w:pPr>
      <w:r>
        <w:rPr>
          <w:rFonts w:hint="eastAsia" w:ascii="宋体" w:hAnsi="宋体" w:cs="宋体"/>
          <w:sz w:val="24"/>
        </w:rPr>
        <w:t>受</w:t>
      </w:r>
      <w:r>
        <w:rPr>
          <w:rFonts w:hint="eastAsia" w:ascii="宋体" w:hAnsi="宋体" w:cs="宋体"/>
          <w:sz w:val="24"/>
          <w:u w:val="single"/>
        </w:rPr>
        <w:t>山东大学齐鲁医院（青岛）</w:t>
      </w:r>
      <w:r>
        <w:rPr>
          <w:rFonts w:hint="eastAsia" w:ascii="宋体" w:hAnsi="宋体" w:cs="宋体"/>
          <w:sz w:val="24"/>
        </w:rPr>
        <w:t>委托，</w:t>
      </w:r>
      <w:r>
        <w:rPr>
          <w:rFonts w:hint="eastAsia" w:ascii="宋体" w:hAnsi="宋体" w:cs="宋体"/>
          <w:sz w:val="24"/>
          <w:u w:val="single"/>
        </w:rPr>
        <w:t>海逸恒安项目管理有限公司</w:t>
      </w:r>
      <w:r>
        <w:rPr>
          <w:rFonts w:hint="eastAsia" w:ascii="宋体" w:hAnsi="宋体" w:cs="宋体"/>
          <w:sz w:val="24"/>
        </w:rPr>
        <w:t>对</w:t>
      </w:r>
      <w:r>
        <w:rPr>
          <w:rFonts w:hint="eastAsia" w:ascii="宋体" w:hAnsi="宋体" w:cs="宋体"/>
          <w:sz w:val="24"/>
          <w:u w:val="single"/>
          <w:lang w:eastAsia="zh-CN"/>
        </w:rPr>
        <w:t>山东大学齐鲁医院（青岛）零星工程结算等第三方审计服务项目（二次）</w:t>
      </w:r>
      <w:r>
        <w:rPr>
          <w:rFonts w:hint="eastAsia" w:ascii="宋体" w:hAnsi="宋体" w:cs="宋体"/>
          <w:sz w:val="24"/>
        </w:rPr>
        <w:t>采用竞争性磋商方式进行采购，欢迎潜在响应人前来竞标。请潜在响应人在</w:t>
      </w:r>
      <w:r>
        <w:rPr>
          <w:rFonts w:hint="eastAsia" w:ascii="宋体" w:hAnsi="宋体" w:cs="宋体"/>
          <w:sz w:val="24"/>
          <w:u w:val="single"/>
        </w:rPr>
        <w:t>&lt;panghaosheng@sdhyha.com&gt;</w:t>
      </w:r>
      <w:r>
        <w:rPr>
          <w:rFonts w:hint="eastAsia" w:ascii="宋体" w:hAnsi="宋体" w:cs="宋体"/>
          <w:sz w:val="24"/>
        </w:rPr>
        <w:t>获取采购文件，并于</w:t>
      </w:r>
      <w:r>
        <w:rPr>
          <w:rFonts w:hint="eastAsia" w:ascii="宋体" w:hAnsi="宋体" w:cs="宋体"/>
          <w:sz w:val="24"/>
          <w:u w:val="single"/>
        </w:rPr>
        <w:t>2022年</w:t>
      </w:r>
      <w:r>
        <w:rPr>
          <w:rFonts w:hint="eastAsia" w:ascii="宋体" w:hAnsi="宋体" w:cs="宋体"/>
          <w:sz w:val="24"/>
          <w:u w:val="single"/>
          <w:lang w:val="en-US" w:eastAsia="zh-CN"/>
        </w:rPr>
        <w:t>8</w:t>
      </w:r>
      <w:r>
        <w:rPr>
          <w:rFonts w:hint="eastAsia" w:ascii="宋体" w:hAnsi="宋体" w:cs="宋体"/>
          <w:sz w:val="24"/>
          <w:u w:val="single"/>
        </w:rPr>
        <w:t>月</w:t>
      </w:r>
      <w:r>
        <w:rPr>
          <w:rFonts w:hint="eastAsia" w:ascii="宋体" w:hAnsi="宋体" w:cs="宋体"/>
          <w:sz w:val="24"/>
          <w:u w:val="single"/>
          <w:lang w:val="en-US" w:eastAsia="zh-CN"/>
        </w:rPr>
        <w:t>1</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点</w:t>
      </w:r>
      <w:r>
        <w:rPr>
          <w:rFonts w:hint="eastAsia" w:ascii="宋体" w:hAnsi="宋体" w:cs="宋体"/>
          <w:sz w:val="24"/>
          <w:u w:val="single"/>
          <w:lang w:val="en-US" w:eastAsia="zh-CN"/>
        </w:rPr>
        <w:t>00</w:t>
      </w:r>
      <w:r>
        <w:rPr>
          <w:rFonts w:hint="eastAsia" w:ascii="宋体" w:hAnsi="宋体" w:cs="宋体"/>
          <w:sz w:val="24"/>
          <w:u w:val="single"/>
        </w:rPr>
        <w:t>分</w:t>
      </w:r>
      <w:r>
        <w:rPr>
          <w:rFonts w:hint="eastAsia" w:ascii="宋体" w:hAnsi="宋体" w:cs="宋体"/>
          <w:bCs/>
          <w:sz w:val="24"/>
          <w:u w:val="single"/>
        </w:rPr>
        <w:t>（北京时间）</w:t>
      </w:r>
      <w:r>
        <w:rPr>
          <w:rFonts w:hint="eastAsia" w:ascii="宋体" w:hAnsi="宋体" w:cs="宋体"/>
          <w:bCs/>
          <w:sz w:val="24"/>
        </w:rPr>
        <w:t>前提交响应文件</w:t>
      </w:r>
      <w:r>
        <w:rPr>
          <w:rFonts w:hint="eastAsia" w:ascii="宋体" w:hAnsi="宋体" w:cs="宋体"/>
          <w:sz w:val="24"/>
        </w:rPr>
        <w:t>。</w:t>
      </w:r>
    </w:p>
    <w:p>
      <w:pPr>
        <w:adjustRightInd w:val="0"/>
        <w:snapToGrid w:val="0"/>
        <w:spacing w:line="360" w:lineRule="auto"/>
        <w:rPr>
          <w:rFonts w:ascii="宋体" w:hAnsi="宋体" w:cs="宋体"/>
          <w:sz w:val="24"/>
        </w:rPr>
      </w:pPr>
      <w:bookmarkStart w:id="3" w:name="_Toc35393629"/>
      <w:bookmarkStart w:id="4" w:name="_Toc28359089"/>
      <w:bookmarkStart w:id="5" w:name="_Toc28359012"/>
      <w:bookmarkStart w:id="6" w:name="_Toc35393798"/>
      <w:r>
        <w:rPr>
          <w:rFonts w:hint="eastAsia" w:ascii="宋体" w:hAnsi="宋体" w:cs="宋体"/>
          <w:sz w:val="24"/>
        </w:rPr>
        <w:t>一、项目基本情况</w:t>
      </w:r>
      <w:bookmarkEnd w:id="3"/>
      <w:bookmarkEnd w:id="4"/>
      <w:bookmarkEnd w:id="5"/>
      <w:bookmarkEnd w:id="6"/>
    </w:p>
    <w:p>
      <w:pPr>
        <w:adjustRightInd w:val="0"/>
        <w:snapToGrid w:val="0"/>
        <w:spacing w:line="360" w:lineRule="auto"/>
        <w:ind w:firstLine="480" w:firstLineChars="200"/>
        <w:rPr>
          <w:rFonts w:ascii="宋体" w:hAnsi="宋体" w:cs="宋体"/>
          <w:sz w:val="24"/>
        </w:rPr>
      </w:pPr>
      <w:r>
        <w:rPr>
          <w:rFonts w:hint="eastAsia" w:ascii="宋体" w:hAnsi="宋体" w:cs="宋体"/>
          <w:sz w:val="24"/>
        </w:rPr>
        <w:t>项目编号：HYHAQD2022-0318</w:t>
      </w:r>
    </w:p>
    <w:p>
      <w:pPr>
        <w:adjustRightInd w:val="0"/>
        <w:snapToGrid w:val="0"/>
        <w:spacing w:line="360" w:lineRule="auto"/>
        <w:ind w:firstLine="480" w:firstLineChars="200"/>
        <w:rPr>
          <w:rFonts w:hint="eastAsia" w:ascii="宋体" w:hAnsi="宋体" w:eastAsia="宋体" w:cs="宋体"/>
          <w:sz w:val="24"/>
          <w:u w:val="single"/>
          <w:lang w:eastAsia="zh-CN"/>
        </w:rPr>
      </w:pPr>
      <w:r>
        <w:rPr>
          <w:rFonts w:hint="eastAsia" w:ascii="宋体" w:hAnsi="宋体" w:cs="宋体"/>
          <w:sz w:val="24"/>
        </w:rPr>
        <w:t>项目名称：</w:t>
      </w:r>
      <w:r>
        <w:rPr>
          <w:rFonts w:hint="eastAsia" w:ascii="宋体" w:hAnsi="宋体" w:cs="宋体"/>
          <w:sz w:val="24"/>
          <w:lang w:eastAsia="zh-CN"/>
        </w:rPr>
        <w:t>山东大学齐鲁医院（青岛）零星工程结算等第三方审计服务项目（二次）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采购方式：竞争性磋商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预算资金：12.00万元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采购需求：本项目为</w:t>
      </w:r>
      <w:r>
        <w:rPr>
          <w:rFonts w:hint="eastAsia" w:ascii="宋体" w:hAnsi="宋体" w:cs="宋体"/>
          <w:sz w:val="24"/>
          <w:lang w:eastAsia="zh-CN"/>
        </w:rPr>
        <w:t>工程造价（审计）服务采购</w:t>
      </w:r>
      <w:r>
        <w:rPr>
          <w:rFonts w:hint="eastAsia" w:ascii="宋体" w:hAnsi="宋体"/>
          <w:snapToGrid w:val="0"/>
          <w:kern w:val="0"/>
          <w:sz w:val="24"/>
        </w:rPr>
        <w:t>，详见竞争性磋商文件第四章采购内容及项目要求。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合同履行期限：服务期三年，采用1+1+1形式，一年一签合同。合同期第一年工作完成良好，可续签一年，如工作完成情况不好，采购人可随时终止服务合同。采购人每年对成交人合同履行情况进行质量、价格、服务等考核，并根据考核结果决定是否继续履行服务期限，如考核中不达标，不再续签合同。</w:t>
      </w:r>
    </w:p>
    <w:p>
      <w:pPr>
        <w:adjustRightInd w:val="0"/>
        <w:snapToGrid w:val="0"/>
        <w:spacing w:line="360" w:lineRule="auto"/>
        <w:rPr>
          <w:rFonts w:ascii="宋体" w:hAnsi="宋体" w:cs="宋体"/>
          <w:sz w:val="24"/>
        </w:rPr>
      </w:pPr>
      <w:bookmarkStart w:id="7" w:name="_Toc35393799"/>
      <w:bookmarkStart w:id="8" w:name="_Toc28359090"/>
      <w:bookmarkStart w:id="9" w:name="_Toc28359013"/>
      <w:bookmarkStart w:id="10" w:name="_Toc35393630"/>
      <w:r>
        <w:rPr>
          <w:rFonts w:hint="eastAsia" w:ascii="宋体" w:hAnsi="宋体" w:cs="宋体"/>
          <w:sz w:val="24"/>
        </w:rPr>
        <w:t>二、申请人的资格要求：</w:t>
      </w:r>
      <w:bookmarkEnd w:id="7"/>
      <w:bookmarkEnd w:id="8"/>
      <w:bookmarkEnd w:id="9"/>
      <w:bookmarkEnd w:id="10"/>
    </w:p>
    <w:p>
      <w:pPr>
        <w:adjustRightInd w:val="0"/>
        <w:snapToGrid w:val="0"/>
        <w:spacing w:line="360" w:lineRule="auto"/>
        <w:ind w:firstLine="480" w:firstLineChars="200"/>
        <w:rPr>
          <w:rFonts w:ascii="宋体" w:hAnsi="宋体" w:cs="宋体"/>
          <w:sz w:val="24"/>
        </w:rPr>
      </w:pPr>
      <w:bookmarkStart w:id="11" w:name="_Toc28359014"/>
      <w:bookmarkStart w:id="12" w:name="_Toc28359091"/>
      <w:r>
        <w:rPr>
          <w:rFonts w:hint="eastAsia" w:ascii="宋体" w:hAnsi="宋体" w:cs="宋体"/>
          <w:sz w:val="24"/>
        </w:rPr>
        <w:t>1.满足《中华人民共和国政府采购法》第二十二条规定；</w:t>
      </w:r>
    </w:p>
    <w:p>
      <w:pPr>
        <w:spacing w:line="360" w:lineRule="auto"/>
        <w:ind w:firstLine="480" w:firstLineChars="200"/>
        <w:rPr>
          <w:rFonts w:ascii="宋体" w:hAnsi="宋体" w:cs="宋体"/>
          <w:sz w:val="24"/>
        </w:rPr>
      </w:pPr>
      <w:r>
        <w:rPr>
          <w:rFonts w:hint="eastAsia" w:ascii="宋体" w:hAnsi="宋体" w:cs="宋体"/>
          <w:sz w:val="24"/>
        </w:rPr>
        <w:t>2.落实政府采购政策需满足的资格要求：无；</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3.本项目的特定资格要求：项目负责人年龄要求不大于50周岁，必须具有注册造价工程师执业资格（提供证书复印件），须工作满8年（含）及以上</w:t>
      </w:r>
      <w:r>
        <w:rPr>
          <w:rFonts w:hint="eastAsia" w:ascii="宋体" w:hAnsi="宋体" w:cs="宋体"/>
          <w:sz w:val="24"/>
          <w:lang w:eastAsia="zh-CN"/>
        </w:rPr>
        <w:t>；</w:t>
      </w:r>
    </w:p>
    <w:p>
      <w:pPr>
        <w:spacing w:line="360" w:lineRule="auto"/>
        <w:ind w:firstLine="480" w:firstLineChars="200"/>
        <w:rPr>
          <w:rFonts w:ascii="宋体" w:hAnsi="宋体" w:cs="宋体"/>
          <w:sz w:val="24"/>
        </w:rPr>
      </w:pPr>
      <w:r>
        <w:rPr>
          <w:rFonts w:hint="eastAsia" w:ascii="宋体" w:hAnsi="宋体" w:cs="宋体"/>
          <w:sz w:val="24"/>
          <w:lang w:val="en-US" w:eastAsia="zh-CN"/>
        </w:rPr>
        <w:t>4.</w:t>
      </w:r>
      <w:r>
        <w:rPr>
          <w:rFonts w:hint="eastAsia" w:ascii="宋体" w:hAnsi="宋体" w:cs="宋体"/>
          <w:sz w:val="24"/>
        </w:rPr>
        <w:t>在“信用中国”（www.creditchina.gov.cn）、“中国政府采购网”（www.ccgp.gov.cn）等网站中被列入失信被执行人、重大税收违法案件当事人名单、政府采购严重违法失信行为记录名单的响应人，不得参加本次政府采购活动</w:t>
      </w:r>
      <w:r>
        <w:rPr>
          <w:rFonts w:hint="eastAsia" w:ascii="宋体" w:hAnsi="宋体" w:cs="宋体"/>
          <w:sz w:val="24"/>
          <w:lang w:eastAsia="zh-CN"/>
        </w:rPr>
        <w:t>；</w:t>
      </w:r>
    </w:p>
    <w:p>
      <w:pPr>
        <w:spacing w:line="360" w:lineRule="auto"/>
        <w:ind w:firstLine="480" w:firstLineChars="200"/>
        <w:rPr>
          <w:rFonts w:ascii="宋体" w:hAnsi="宋体" w:cs="宋体"/>
          <w:sz w:val="24"/>
        </w:rPr>
      </w:pPr>
      <w:r>
        <w:rPr>
          <w:rFonts w:hint="eastAsia" w:ascii="宋体" w:hAnsi="宋体" w:cs="宋体"/>
          <w:sz w:val="24"/>
          <w:lang w:val="en-US" w:eastAsia="zh-CN"/>
        </w:rPr>
        <w:t>5.</w:t>
      </w:r>
      <w:r>
        <w:rPr>
          <w:rFonts w:hint="eastAsia" w:ascii="宋体" w:hAnsi="宋体" w:cs="宋体"/>
          <w:sz w:val="24"/>
        </w:rPr>
        <w:t>本项目不接受联合体。</w:t>
      </w:r>
    </w:p>
    <w:p>
      <w:pPr>
        <w:adjustRightInd w:val="0"/>
        <w:snapToGrid w:val="0"/>
        <w:spacing w:line="360" w:lineRule="auto"/>
        <w:rPr>
          <w:rFonts w:ascii="宋体" w:hAnsi="宋体" w:cs="宋体"/>
          <w:sz w:val="24"/>
        </w:rPr>
      </w:pPr>
      <w:bookmarkStart w:id="13" w:name="_Toc35393800"/>
      <w:bookmarkStart w:id="14" w:name="_Toc35393631"/>
      <w:r>
        <w:rPr>
          <w:rFonts w:hint="eastAsia" w:ascii="宋体" w:hAnsi="宋体" w:cs="宋体"/>
          <w:sz w:val="24"/>
        </w:rPr>
        <w:t>三、获取采购文件</w:t>
      </w:r>
      <w:bookmarkEnd w:id="11"/>
      <w:bookmarkEnd w:id="12"/>
      <w:bookmarkEnd w:id="13"/>
      <w:bookmarkEnd w:id="14"/>
    </w:p>
    <w:p>
      <w:pPr>
        <w:spacing w:line="360" w:lineRule="auto"/>
        <w:ind w:firstLine="540"/>
        <w:rPr>
          <w:rFonts w:ascii="宋体" w:hAnsi="宋体" w:cs="宋体"/>
          <w:sz w:val="24"/>
        </w:rPr>
      </w:pPr>
      <w:r>
        <w:rPr>
          <w:rFonts w:hint="eastAsia" w:ascii="宋体" w:hAnsi="宋体" w:cs="宋体"/>
          <w:sz w:val="24"/>
        </w:rPr>
        <w:t>1.时间：</w:t>
      </w:r>
      <w:r>
        <w:rPr>
          <w:rFonts w:hint="eastAsia" w:ascii="宋体" w:hAnsi="宋体" w:cs="宋体"/>
          <w:sz w:val="24"/>
          <w:u w:val="single"/>
        </w:rPr>
        <w:t>2022年</w:t>
      </w:r>
      <w:r>
        <w:rPr>
          <w:rFonts w:hint="eastAsia" w:ascii="宋体" w:hAnsi="宋体" w:cs="宋体"/>
          <w:sz w:val="24"/>
          <w:u w:val="single"/>
          <w:lang w:val="en-US" w:eastAsia="zh-CN"/>
        </w:rPr>
        <w:t>7</w:t>
      </w:r>
      <w:r>
        <w:rPr>
          <w:rFonts w:hint="eastAsia" w:ascii="宋体" w:hAnsi="宋体" w:cs="宋体"/>
          <w:sz w:val="24"/>
          <w:u w:val="single"/>
        </w:rPr>
        <w:t>月</w:t>
      </w:r>
      <w:r>
        <w:rPr>
          <w:rFonts w:hint="eastAsia" w:ascii="宋体" w:hAnsi="宋体" w:cs="宋体"/>
          <w:sz w:val="24"/>
          <w:u w:val="single"/>
          <w:lang w:val="en-US" w:eastAsia="zh-CN"/>
        </w:rPr>
        <w:t>21</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rPr>
        <w:t>2022年</w:t>
      </w:r>
      <w:r>
        <w:rPr>
          <w:rFonts w:hint="eastAsia" w:ascii="宋体" w:hAnsi="宋体" w:cs="宋体"/>
          <w:sz w:val="24"/>
          <w:u w:val="single"/>
          <w:lang w:val="en-US" w:eastAsia="zh-CN"/>
        </w:rPr>
        <w:t>7</w:t>
      </w:r>
      <w:r>
        <w:rPr>
          <w:rFonts w:hint="eastAsia" w:ascii="宋体" w:hAnsi="宋体" w:cs="宋体"/>
          <w:sz w:val="24"/>
          <w:u w:val="single"/>
        </w:rPr>
        <w:t>月</w:t>
      </w:r>
      <w:r>
        <w:rPr>
          <w:rFonts w:hint="eastAsia" w:ascii="宋体" w:hAnsi="宋体" w:cs="宋体"/>
          <w:sz w:val="24"/>
          <w:u w:val="single"/>
          <w:lang w:val="en-US" w:eastAsia="zh-CN"/>
        </w:rPr>
        <w:t>27</w:t>
      </w:r>
      <w:r>
        <w:rPr>
          <w:rFonts w:hint="eastAsia" w:ascii="宋体" w:hAnsi="宋体" w:cs="宋体"/>
          <w:sz w:val="24"/>
          <w:u w:val="single"/>
        </w:rPr>
        <w:t>日</w:t>
      </w:r>
      <w:r>
        <w:rPr>
          <w:rFonts w:hint="eastAsia" w:ascii="宋体" w:hAnsi="宋体" w:cs="宋体"/>
          <w:sz w:val="24"/>
        </w:rPr>
        <w:t>，每天上午</w:t>
      </w:r>
      <w:r>
        <w:rPr>
          <w:rFonts w:hint="eastAsia" w:ascii="宋体" w:hAnsi="宋体" w:cs="宋体"/>
          <w:sz w:val="24"/>
          <w:u w:val="single"/>
        </w:rPr>
        <w:t>8时30分</w:t>
      </w:r>
      <w:r>
        <w:rPr>
          <w:rFonts w:hint="eastAsia" w:ascii="宋体" w:hAnsi="宋体" w:cs="宋体"/>
          <w:sz w:val="24"/>
        </w:rPr>
        <w:t>至</w:t>
      </w:r>
      <w:r>
        <w:rPr>
          <w:rFonts w:hint="eastAsia" w:ascii="宋体" w:hAnsi="宋体" w:cs="宋体"/>
          <w:sz w:val="24"/>
          <w:u w:val="single"/>
        </w:rPr>
        <w:t>12时00分</w:t>
      </w:r>
      <w:r>
        <w:rPr>
          <w:rFonts w:hint="eastAsia" w:ascii="宋体" w:hAnsi="宋体" w:cs="宋体"/>
          <w:sz w:val="24"/>
        </w:rPr>
        <w:t>，下午</w:t>
      </w:r>
      <w:r>
        <w:rPr>
          <w:rFonts w:hint="eastAsia" w:ascii="宋体" w:hAnsi="宋体" w:cs="宋体"/>
          <w:sz w:val="24"/>
          <w:u w:val="single"/>
        </w:rPr>
        <w:t>12时00分</w:t>
      </w:r>
      <w:r>
        <w:rPr>
          <w:rFonts w:hint="eastAsia" w:ascii="宋体" w:hAnsi="宋体" w:cs="宋体"/>
          <w:sz w:val="24"/>
        </w:rPr>
        <w:t>至</w:t>
      </w:r>
      <w:r>
        <w:rPr>
          <w:rFonts w:hint="eastAsia" w:ascii="宋体" w:hAnsi="宋体" w:cs="宋体"/>
          <w:sz w:val="24"/>
          <w:u w:val="single"/>
        </w:rPr>
        <w:t>16时30分</w:t>
      </w:r>
      <w:r>
        <w:rPr>
          <w:rFonts w:hint="eastAsia" w:ascii="宋体" w:hAnsi="宋体" w:cs="宋体"/>
          <w:sz w:val="24"/>
        </w:rPr>
        <w:t>（北京时间，法定节假日除外）。</w:t>
      </w:r>
    </w:p>
    <w:p>
      <w:pPr>
        <w:tabs>
          <w:tab w:val="left" w:pos="9741"/>
        </w:tabs>
        <w:spacing w:line="360" w:lineRule="auto"/>
        <w:ind w:firstLine="480" w:firstLineChars="200"/>
        <w:rPr>
          <w:rFonts w:ascii="宋体" w:hAnsi="宋体" w:cs="宋体"/>
          <w:sz w:val="24"/>
        </w:rPr>
      </w:pPr>
      <w:r>
        <w:rPr>
          <w:rFonts w:hint="eastAsia" w:ascii="宋体" w:hAnsi="宋体" w:cs="宋体"/>
          <w:sz w:val="24"/>
        </w:rPr>
        <w:t>2.方式：</w:t>
      </w:r>
    </w:p>
    <w:p>
      <w:pPr>
        <w:spacing w:line="360" w:lineRule="auto"/>
        <w:ind w:firstLine="480" w:firstLineChars="200"/>
        <w:rPr>
          <w:rFonts w:ascii="宋体" w:hAnsi="宋体" w:cs="宋体"/>
          <w:sz w:val="24"/>
        </w:rPr>
      </w:pPr>
      <w:r>
        <w:rPr>
          <w:rFonts w:hint="eastAsia" w:ascii="宋体" w:hAnsi="宋体" w:cs="宋体"/>
          <w:sz w:val="24"/>
        </w:rPr>
        <w:t>第一步：扫描下方二维码按照要求填报报名信息（经办人：逄昊晟）。</w:t>
      </w:r>
    </w:p>
    <w:p>
      <w:pPr>
        <w:spacing w:line="360" w:lineRule="auto"/>
        <w:ind w:firstLine="480" w:firstLineChars="200"/>
        <w:jc w:val="center"/>
        <w:rPr>
          <w:rFonts w:ascii="宋体" w:hAnsi="宋体" w:cs="宋体"/>
          <w:sz w:val="24"/>
        </w:rPr>
      </w:pPr>
      <w:r>
        <w:rPr>
          <w:rFonts w:hint="eastAsia" w:ascii="宋体" w:hAnsi="宋体" w:cs="宋体"/>
          <w:sz w:val="24"/>
        </w:rPr>
        <w:drawing>
          <wp:inline distT="0" distB="0" distL="114300" distR="114300">
            <wp:extent cx="1395095" cy="1395095"/>
            <wp:effectExtent l="0" t="0" r="14605" b="14605"/>
            <wp:docPr id="6" name="图片 2" descr="f5b7cd478ad601594caa0c074c3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f5b7cd478ad601594caa0c074c31767"/>
                    <pic:cNvPicPr>
                      <a:picLocks noChangeAspect="1"/>
                    </pic:cNvPicPr>
                  </pic:nvPicPr>
                  <pic:blipFill>
                    <a:blip r:embed="rId11" cstate="print"/>
                    <a:stretch>
                      <a:fillRect/>
                    </a:stretch>
                  </pic:blipFill>
                  <pic:spPr>
                    <a:xfrm>
                      <a:off x="0" y="0"/>
                      <a:ext cx="1395095" cy="1395095"/>
                    </a:xfrm>
                    <a:prstGeom prst="rect">
                      <a:avLst/>
                    </a:prstGeom>
                    <a:noFill/>
                    <a:ln>
                      <a:noFill/>
                    </a:ln>
                  </pic:spPr>
                </pic:pic>
              </a:graphicData>
            </a:graphic>
          </wp:inline>
        </w:drawing>
      </w:r>
    </w:p>
    <w:p>
      <w:pPr>
        <w:spacing w:line="360" w:lineRule="auto"/>
        <w:ind w:firstLine="480" w:firstLineChars="200"/>
        <w:rPr>
          <w:rFonts w:ascii="宋体" w:hAnsi="宋体" w:cs="宋体"/>
          <w:sz w:val="24"/>
        </w:rPr>
      </w:pPr>
      <w:r>
        <w:rPr>
          <w:rFonts w:hint="eastAsia" w:ascii="宋体" w:hAnsi="宋体" w:cs="宋体"/>
          <w:sz w:val="24"/>
        </w:rPr>
        <w:t>第二步：响应人须将法人授权委托书原件和被授权人身份证原件的扫描件、磋商文件费汇款凭证的扫描件发送至项目经理邮箱（panghaosheng@sdhyha.com）。</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eastAsia="zh-CN"/>
        </w:rPr>
        <w:t>.</w:t>
      </w:r>
      <w:r>
        <w:rPr>
          <w:rFonts w:hint="eastAsia" w:ascii="宋体" w:hAnsi="宋体" w:cs="宋体"/>
          <w:sz w:val="24"/>
        </w:rPr>
        <w:t>磋商文件售价：300元/份（磋商文件售后不退）；</w:t>
      </w:r>
    </w:p>
    <w:p>
      <w:pPr>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sz w:val="24"/>
          <w:lang w:eastAsia="zh-CN"/>
        </w:rPr>
        <w:t>.</w:t>
      </w:r>
      <w:r>
        <w:rPr>
          <w:rFonts w:hint="eastAsia" w:ascii="宋体" w:hAnsi="宋体" w:cs="宋体"/>
          <w:sz w:val="24"/>
        </w:rPr>
        <w:t>电汇银行及账号信息：</w:t>
      </w:r>
    </w:p>
    <w:p>
      <w:pPr>
        <w:spacing w:line="360" w:lineRule="auto"/>
        <w:ind w:firstLine="480" w:firstLineChars="200"/>
        <w:rPr>
          <w:rFonts w:ascii="宋体" w:hAnsi="宋体" w:cs="宋体"/>
          <w:sz w:val="24"/>
        </w:rPr>
      </w:pPr>
      <w:r>
        <w:rPr>
          <w:rFonts w:hint="eastAsia" w:ascii="宋体" w:hAnsi="宋体" w:cs="宋体"/>
          <w:sz w:val="24"/>
        </w:rPr>
        <w:t>开户名称：海逸恒安项目管理有限公司青岛事业部；</w:t>
      </w:r>
    </w:p>
    <w:p>
      <w:pPr>
        <w:spacing w:line="360" w:lineRule="auto"/>
        <w:ind w:firstLine="480" w:firstLineChars="200"/>
        <w:rPr>
          <w:rFonts w:ascii="宋体" w:hAnsi="宋体" w:cs="宋体"/>
          <w:sz w:val="24"/>
        </w:rPr>
      </w:pPr>
      <w:r>
        <w:rPr>
          <w:rFonts w:hint="eastAsia" w:ascii="宋体" w:hAnsi="宋体" w:cs="宋体"/>
          <w:sz w:val="24"/>
        </w:rPr>
        <w:t>开户银行：中国建设银行股份有限公司青岛崂山支行；</w:t>
      </w:r>
    </w:p>
    <w:p>
      <w:pPr>
        <w:spacing w:line="360" w:lineRule="auto"/>
        <w:ind w:firstLine="480" w:firstLineChars="200"/>
        <w:rPr>
          <w:rFonts w:ascii="宋体" w:hAnsi="宋体" w:cs="宋体"/>
          <w:sz w:val="24"/>
        </w:rPr>
      </w:pPr>
      <w:r>
        <w:rPr>
          <w:rFonts w:hint="eastAsia" w:ascii="宋体" w:hAnsi="宋体" w:cs="宋体"/>
          <w:sz w:val="24"/>
        </w:rPr>
        <w:t>账号：37150198682700001356。</w:t>
      </w:r>
    </w:p>
    <w:p>
      <w:pPr>
        <w:spacing w:line="360" w:lineRule="auto"/>
        <w:ind w:firstLine="480" w:firstLineChars="200"/>
        <w:rPr>
          <w:rFonts w:ascii="宋体" w:hAnsi="宋体" w:cs="宋体"/>
          <w:sz w:val="24"/>
        </w:rPr>
      </w:pPr>
      <w:r>
        <w:rPr>
          <w:rFonts w:hint="eastAsia" w:ascii="宋体" w:hAnsi="宋体" w:cs="宋体"/>
          <w:sz w:val="24"/>
        </w:rPr>
        <w:t>注：</w:t>
      </w:r>
    </w:p>
    <w:p>
      <w:pPr>
        <w:spacing w:line="360" w:lineRule="auto"/>
        <w:ind w:firstLine="480" w:firstLineChars="200"/>
        <w:rPr>
          <w:rFonts w:ascii="宋体" w:hAnsi="宋体" w:cs="宋体"/>
          <w:sz w:val="24"/>
        </w:rPr>
      </w:pPr>
      <w:r>
        <w:rPr>
          <w:rFonts w:hint="eastAsia" w:ascii="宋体" w:hAnsi="宋体" w:cs="宋体"/>
          <w:sz w:val="24"/>
        </w:rPr>
        <w:t>①标书费必须从响应人单位账户汇出；报名完成后，采购代理机构会将磋商文件发送至响应人邮箱，若因报名未登记成功，无法参加本项目的责任由各响应人自行承担。</w:t>
      </w:r>
    </w:p>
    <w:p>
      <w:pPr>
        <w:spacing w:line="360" w:lineRule="auto"/>
        <w:ind w:firstLine="480" w:firstLineChars="200"/>
        <w:rPr>
          <w:rFonts w:ascii="宋体" w:hAnsi="宋体" w:cs="宋体"/>
          <w:sz w:val="24"/>
        </w:rPr>
      </w:pPr>
      <w:r>
        <w:rPr>
          <w:rFonts w:hint="eastAsia" w:ascii="宋体" w:hAnsi="宋体" w:cs="宋体"/>
          <w:sz w:val="24"/>
        </w:rPr>
        <w:t>②本项目实行资格后审，获取磋商文件成功不代表资格后审的通过。</w:t>
      </w:r>
    </w:p>
    <w:p>
      <w:pPr>
        <w:spacing w:line="360" w:lineRule="auto"/>
        <w:ind w:firstLine="480" w:firstLineChars="200"/>
        <w:rPr>
          <w:rFonts w:ascii="宋体" w:hAnsi="宋体" w:cs="宋体"/>
          <w:sz w:val="24"/>
        </w:rPr>
      </w:pPr>
      <w:r>
        <w:rPr>
          <w:rFonts w:hint="eastAsia" w:ascii="宋体" w:hAnsi="宋体" w:cs="宋体"/>
          <w:sz w:val="24"/>
        </w:rPr>
        <w:t>③本采购项目的变更、修改、澄清等内容均在“中国政府采购网、中国招标投标公共服务平台和山东大学齐鲁医院（青岛）网站”发布。相关内容一经在“中国政府采购网、中国招标投标公共服务平台和山东大学齐鲁医院（青岛）网站”发布，视作已发放给所有潜在响应人。各潜在响应人应随时关注并及时自行查阅网站信息，未按要求查阅者自行承担相应后果。</w:t>
      </w:r>
    </w:p>
    <w:p>
      <w:pPr>
        <w:adjustRightInd w:val="0"/>
        <w:snapToGrid w:val="0"/>
        <w:spacing w:line="360" w:lineRule="auto"/>
        <w:rPr>
          <w:rFonts w:ascii="宋体" w:hAnsi="宋体" w:cs="宋体"/>
          <w:sz w:val="24"/>
        </w:rPr>
      </w:pPr>
      <w:bookmarkStart w:id="15" w:name="_Toc35393801"/>
      <w:bookmarkStart w:id="16" w:name="_Toc28359092"/>
      <w:bookmarkStart w:id="17" w:name="_Toc28359015"/>
      <w:bookmarkStart w:id="18" w:name="_Toc35393632"/>
      <w:r>
        <w:rPr>
          <w:rFonts w:hint="eastAsia" w:ascii="宋体" w:hAnsi="宋体" w:cs="宋体"/>
          <w:sz w:val="24"/>
        </w:rPr>
        <w:t>四、响应文件提交</w:t>
      </w:r>
      <w:bookmarkEnd w:id="15"/>
      <w:bookmarkEnd w:id="16"/>
      <w:bookmarkEnd w:id="17"/>
      <w:bookmarkEnd w:id="18"/>
    </w:p>
    <w:p>
      <w:pPr>
        <w:adjustRightInd w:val="0"/>
        <w:snapToGrid w:val="0"/>
        <w:spacing w:line="360" w:lineRule="auto"/>
        <w:ind w:firstLine="480" w:firstLineChars="200"/>
        <w:rPr>
          <w:rFonts w:ascii="宋体" w:hAnsi="宋体" w:cs="宋体"/>
          <w:sz w:val="24"/>
        </w:rPr>
      </w:pPr>
      <w:bookmarkStart w:id="19" w:name="_Toc28359093"/>
      <w:bookmarkStart w:id="20" w:name="_Toc28359016"/>
      <w:bookmarkStart w:id="21" w:name="_Toc35393802"/>
      <w:bookmarkStart w:id="22" w:name="_Toc35393633"/>
      <w:r>
        <w:rPr>
          <w:rFonts w:hint="eastAsia" w:ascii="宋体" w:hAnsi="宋体" w:cs="宋体"/>
          <w:sz w:val="24"/>
        </w:rPr>
        <w:t>1.截止时间：</w:t>
      </w:r>
      <w:r>
        <w:rPr>
          <w:rFonts w:hint="eastAsia" w:ascii="宋体" w:hAnsi="宋体" w:cs="宋体"/>
          <w:sz w:val="24"/>
          <w:u w:val="single"/>
        </w:rPr>
        <w:t>2022年</w:t>
      </w:r>
      <w:r>
        <w:rPr>
          <w:rFonts w:hint="eastAsia" w:ascii="宋体" w:hAnsi="宋体" w:cs="宋体"/>
          <w:sz w:val="24"/>
          <w:u w:val="single"/>
          <w:lang w:val="en-US" w:eastAsia="zh-CN"/>
        </w:rPr>
        <w:t>8</w:t>
      </w:r>
      <w:r>
        <w:rPr>
          <w:rFonts w:hint="eastAsia" w:ascii="宋体" w:hAnsi="宋体" w:cs="宋体"/>
          <w:sz w:val="24"/>
          <w:u w:val="single"/>
        </w:rPr>
        <w:t>月</w:t>
      </w:r>
      <w:r>
        <w:rPr>
          <w:rFonts w:hint="eastAsia" w:ascii="宋体" w:hAnsi="宋体" w:cs="宋体"/>
          <w:sz w:val="24"/>
          <w:u w:val="single"/>
          <w:lang w:val="en-US" w:eastAsia="zh-CN"/>
        </w:rPr>
        <w:t>1</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点</w:t>
      </w:r>
      <w:r>
        <w:rPr>
          <w:rFonts w:hint="eastAsia" w:ascii="宋体" w:hAnsi="宋体" w:cs="宋体"/>
          <w:sz w:val="24"/>
          <w:u w:val="single"/>
          <w:lang w:val="en-US" w:eastAsia="zh-CN"/>
        </w:rPr>
        <w:t>00</w:t>
      </w:r>
      <w:r>
        <w:rPr>
          <w:rFonts w:hint="eastAsia" w:ascii="宋体" w:hAnsi="宋体" w:cs="宋体"/>
          <w:sz w:val="24"/>
          <w:u w:val="single"/>
        </w:rPr>
        <w:t>分</w:t>
      </w:r>
      <w:r>
        <w:rPr>
          <w:rFonts w:hint="eastAsia" w:ascii="宋体" w:hAnsi="宋体" w:cs="宋体"/>
          <w:sz w:val="24"/>
        </w:rPr>
        <w:t>（北京时间）。</w:t>
      </w:r>
    </w:p>
    <w:p>
      <w:pPr>
        <w:topLinePunct/>
        <w:spacing w:line="360" w:lineRule="auto"/>
        <w:ind w:firstLine="480" w:firstLineChars="200"/>
        <w:rPr>
          <w:rFonts w:ascii="宋体" w:hAnsi="宋体" w:cs="宋体"/>
          <w:sz w:val="24"/>
        </w:rPr>
      </w:pPr>
      <w:r>
        <w:rPr>
          <w:rFonts w:hint="eastAsia" w:ascii="宋体" w:hAnsi="宋体" w:cs="宋体"/>
          <w:sz w:val="24"/>
        </w:rPr>
        <w:t>2.地点：青岛市崂山区文岭路5号白金广场C座202B室。</w:t>
      </w:r>
    </w:p>
    <w:p>
      <w:pPr>
        <w:topLinePunct/>
        <w:spacing w:line="360" w:lineRule="auto"/>
        <w:ind w:firstLine="480" w:firstLineChars="200"/>
        <w:rPr>
          <w:rFonts w:ascii="宋体" w:hAnsi="宋体" w:cs="宋体"/>
          <w:bCs/>
          <w:sz w:val="24"/>
        </w:rPr>
      </w:pPr>
      <w:r>
        <w:rPr>
          <w:rFonts w:hint="eastAsia" w:ascii="宋体" w:hAnsi="宋体" w:cs="宋体"/>
          <w:sz w:val="24"/>
        </w:rPr>
        <w:t>3.递交方式：</w:t>
      </w:r>
      <w:r>
        <w:rPr>
          <w:rFonts w:hint="eastAsia" w:ascii="宋体" w:hAnsi="宋体" w:cs="宋体"/>
          <w:bCs/>
          <w:sz w:val="24"/>
        </w:rPr>
        <w:t>现场递交</w:t>
      </w:r>
    </w:p>
    <w:p>
      <w:pPr>
        <w:topLinePunct/>
        <w:spacing w:line="360" w:lineRule="auto"/>
        <w:ind w:firstLine="480" w:firstLineChars="200"/>
        <w:rPr>
          <w:rFonts w:ascii="宋体" w:hAnsi="宋体"/>
          <w:sz w:val="24"/>
          <w:u w:val="single"/>
        </w:rPr>
      </w:pPr>
      <w:r>
        <w:rPr>
          <w:rFonts w:hint="eastAsia" w:ascii="宋体" w:hAnsi="宋体" w:cs="宋体"/>
          <w:bCs/>
          <w:sz w:val="24"/>
        </w:rPr>
        <w:t>响应人应当在磋商文件要求提交响应文件的截止日期前，将响应文件密封送达。法定代表人参加开标会议的，应出示法定代表人身份证明原件和本人身份证复印件；被授权代表参加开标会议的，应出示授权委托书原件和本人身份证复印件。</w:t>
      </w:r>
    </w:p>
    <w:p>
      <w:pPr>
        <w:adjustRightInd w:val="0"/>
        <w:snapToGrid w:val="0"/>
        <w:spacing w:line="360" w:lineRule="auto"/>
        <w:rPr>
          <w:rFonts w:ascii="宋体" w:hAnsi="宋体" w:cs="宋体"/>
          <w:sz w:val="24"/>
        </w:rPr>
      </w:pPr>
      <w:r>
        <w:rPr>
          <w:rFonts w:hint="eastAsia" w:ascii="宋体" w:hAnsi="宋体" w:cs="宋体"/>
          <w:sz w:val="24"/>
        </w:rPr>
        <w:t>五、开启</w:t>
      </w:r>
      <w:bookmarkEnd w:id="19"/>
      <w:bookmarkEnd w:id="20"/>
      <w:bookmarkEnd w:id="21"/>
      <w:bookmarkEnd w:id="22"/>
    </w:p>
    <w:p>
      <w:pPr>
        <w:adjustRightInd w:val="0"/>
        <w:snapToGrid w:val="0"/>
        <w:spacing w:line="360" w:lineRule="auto"/>
        <w:ind w:firstLine="480" w:firstLineChars="200"/>
        <w:rPr>
          <w:rFonts w:ascii="宋体" w:hAnsi="宋体" w:cs="宋体"/>
          <w:bCs/>
          <w:sz w:val="24"/>
          <w:u w:val="single"/>
        </w:rPr>
      </w:pPr>
      <w:bookmarkStart w:id="23" w:name="_Toc28359017"/>
      <w:bookmarkStart w:id="24" w:name="_Toc35393803"/>
      <w:bookmarkStart w:id="25" w:name="_Toc35393634"/>
      <w:bookmarkStart w:id="26" w:name="_Toc28359094"/>
      <w:r>
        <w:rPr>
          <w:rFonts w:hint="eastAsia" w:ascii="宋体" w:hAnsi="宋体" w:cs="宋体"/>
          <w:sz w:val="24"/>
        </w:rPr>
        <w:t>1.开启时间：</w:t>
      </w:r>
      <w:r>
        <w:rPr>
          <w:rFonts w:hint="eastAsia" w:ascii="宋体" w:hAnsi="宋体" w:cs="宋体"/>
          <w:sz w:val="24"/>
          <w:u w:val="single"/>
        </w:rPr>
        <w:t>2022年</w:t>
      </w:r>
      <w:r>
        <w:rPr>
          <w:rFonts w:hint="eastAsia" w:ascii="宋体" w:hAnsi="宋体" w:cs="宋体"/>
          <w:sz w:val="24"/>
          <w:u w:val="single"/>
          <w:lang w:val="en-US" w:eastAsia="zh-CN"/>
        </w:rPr>
        <w:t>8</w:t>
      </w:r>
      <w:r>
        <w:rPr>
          <w:rFonts w:hint="eastAsia" w:ascii="宋体" w:hAnsi="宋体" w:cs="宋体"/>
          <w:sz w:val="24"/>
          <w:u w:val="single"/>
        </w:rPr>
        <w:t>月</w:t>
      </w:r>
      <w:r>
        <w:rPr>
          <w:rFonts w:hint="eastAsia" w:ascii="宋体" w:hAnsi="宋体" w:cs="宋体"/>
          <w:sz w:val="24"/>
          <w:u w:val="single"/>
          <w:lang w:val="en-US" w:eastAsia="zh-CN"/>
        </w:rPr>
        <w:t>1</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点</w:t>
      </w:r>
      <w:r>
        <w:rPr>
          <w:rFonts w:hint="eastAsia" w:ascii="宋体" w:hAnsi="宋体" w:cs="宋体"/>
          <w:sz w:val="24"/>
          <w:u w:val="single"/>
          <w:lang w:val="en-US" w:eastAsia="zh-CN"/>
        </w:rPr>
        <w:t>00</w:t>
      </w:r>
      <w:r>
        <w:rPr>
          <w:rFonts w:hint="eastAsia" w:ascii="宋体" w:hAnsi="宋体" w:cs="宋体"/>
          <w:sz w:val="24"/>
          <w:u w:val="single"/>
        </w:rPr>
        <w:t>分</w:t>
      </w:r>
      <w:r>
        <w:rPr>
          <w:rFonts w:hint="eastAsia" w:ascii="宋体" w:hAnsi="宋体" w:cs="宋体"/>
          <w:sz w:val="24"/>
        </w:rPr>
        <w:t>（北京时间）。</w:t>
      </w:r>
    </w:p>
    <w:p>
      <w:pPr>
        <w:spacing w:line="360" w:lineRule="auto"/>
        <w:ind w:firstLine="480" w:firstLineChars="200"/>
        <w:rPr>
          <w:rFonts w:ascii="宋体" w:hAnsi="宋体" w:cs="宋体"/>
          <w:bCs/>
          <w:sz w:val="24"/>
        </w:rPr>
      </w:pPr>
      <w:r>
        <w:rPr>
          <w:rFonts w:hint="eastAsia" w:ascii="宋体" w:hAnsi="宋体" w:cs="宋体"/>
          <w:bCs/>
          <w:sz w:val="24"/>
        </w:rPr>
        <w:t>2.地点：青岛市崂山区文岭路5号白金广场C座202B室。</w:t>
      </w:r>
    </w:p>
    <w:p>
      <w:pPr>
        <w:spacing w:line="360" w:lineRule="auto"/>
        <w:ind w:firstLine="480" w:firstLineChars="200"/>
        <w:rPr>
          <w:rFonts w:ascii="宋体" w:hAnsi="宋体" w:cs="宋体"/>
          <w:bCs/>
          <w:sz w:val="24"/>
        </w:rPr>
      </w:pPr>
      <w:r>
        <w:rPr>
          <w:rFonts w:hint="eastAsia" w:ascii="宋体" w:hAnsi="宋体" w:cs="宋体"/>
          <w:bCs/>
          <w:sz w:val="24"/>
        </w:rPr>
        <w:t>3.因疫情防控需要，每家响应人仅允许授权代表一人参加开标会议。</w:t>
      </w:r>
    </w:p>
    <w:p>
      <w:pPr>
        <w:spacing w:line="360" w:lineRule="auto"/>
        <w:ind w:firstLine="480" w:firstLineChars="200"/>
        <w:rPr>
          <w:rFonts w:ascii="宋体" w:hAnsi="宋体" w:cs="宋体"/>
          <w:bCs/>
          <w:sz w:val="24"/>
        </w:rPr>
      </w:pPr>
      <w:r>
        <w:rPr>
          <w:rFonts w:hint="eastAsia" w:ascii="宋体" w:hAnsi="宋体" w:cs="宋体"/>
          <w:bCs/>
          <w:sz w:val="24"/>
        </w:rPr>
        <w:t>4.遇有疫情防控政策变化，需按照最新要求执行，届时将另行通知。</w:t>
      </w:r>
    </w:p>
    <w:p>
      <w:pPr>
        <w:adjustRightInd w:val="0"/>
        <w:snapToGrid w:val="0"/>
        <w:spacing w:line="360" w:lineRule="auto"/>
        <w:rPr>
          <w:rFonts w:ascii="宋体" w:hAnsi="宋体" w:cs="宋体"/>
          <w:sz w:val="24"/>
        </w:rPr>
      </w:pPr>
      <w:r>
        <w:rPr>
          <w:rFonts w:hint="eastAsia" w:ascii="宋体" w:hAnsi="宋体" w:cs="宋体"/>
          <w:sz w:val="24"/>
        </w:rPr>
        <w:t>六、公告期限</w:t>
      </w:r>
      <w:bookmarkEnd w:id="23"/>
      <w:bookmarkEnd w:id="24"/>
      <w:bookmarkEnd w:id="25"/>
      <w:bookmarkEnd w:id="26"/>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自本公告发布之日起3个工作日。</w:t>
      </w:r>
    </w:p>
    <w:p>
      <w:pPr>
        <w:adjustRightInd w:val="0"/>
        <w:snapToGrid w:val="0"/>
        <w:spacing w:line="360" w:lineRule="auto"/>
        <w:rPr>
          <w:rFonts w:ascii="宋体" w:hAnsi="宋体" w:cs="宋体"/>
          <w:sz w:val="24"/>
        </w:rPr>
      </w:pPr>
      <w:bookmarkStart w:id="27" w:name="_Toc35393804"/>
      <w:bookmarkStart w:id="28" w:name="_Toc35393635"/>
      <w:r>
        <w:rPr>
          <w:rFonts w:hint="eastAsia" w:ascii="宋体" w:hAnsi="宋体" w:cs="宋体"/>
          <w:sz w:val="24"/>
        </w:rPr>
        <w:t>七、其他补充事宜</w:t>
      </w:r>
      <w:bookmarkEnd w:id="27"/>
      <w:bookmarkEnd w:id="28"/>
    </w:p>
    <w:p>
      <w:pPr>
        <w:adjustRightInd w:val="0"/>
        <w:snapToGrid w:val="0"/>
        <w:spacing w:line="500" w:lineRule="exact"/>
        <w:ind w:firstLine="480" w:firstLineChars="200"/>
        <w:jc w:val="left"/>
        <w:rPr>
          <w:rFonts w:ascii="宋体" w:hAnsi="宋体" w:cs="仿宋"/>
          <w:kern w:val="0"/>
          <w:sz w:val="24"/>
        </w:rPr>
      </w:pPr>
      <w:bookmarkStart w:id="29" w:name="_Toc28359018"/>
      <w:bookmarkStart w:id="30" w:name="_Toc28359095"/>
      <w:bookmarkStart w:id="31" w:name="_Toc35393636"/>
      <w:bookmarkStart w:id="32" w:name="_Toc35393805"/>
      <w:r>
        <w:rPr>
          <w:rFonts w:hint="eastAsia" w:ascii="宋体" w:hAnsi="宋体" w:cs="仿宋"/>
          <w:kern w:val="0"/>
          <w:sz w:val="24"/>
        </w:rPr>
        <w:t>1.本项目磋商公告在中国政府采购网、中国招标投标公共服务平台和山东大学齐鲁医院（青岛）网站上同时发布。</w:t>
      </w:r>
    </w:p>
    <w:p>
      <w:pPr>
        <w:adjustRightInd w:val="0"/>
        <w:snapToGrid w:val="0"/>
        <w:spacing w:line="500" w:lineRule="exact"/>
        <w:ind w:firstLine="482" w:firstLineChars="200"/>
        <w:jc w:val="left"/>
        <w:rPr>
          <w:rFonts w:ascii="宋体" w:hAnsi="宋体" w:cs="仿宋"/>
          <w:b/>
          <w:bCs/>
          <w:kern w:val="0"/>
          <w:sz w:val="24"/>
        </w:rPr>
      </w:pPr>
      <w:r>
        <w:rPr>
          <w:rFonts w:hint="eastAsia" w:ascii="宋体" w:hAnsi="宋体" w:cs="仿宋"/>
          <w:b/>
          <w:bCs/>
          <w:kern w:val="0"/>
          <w:sz w:val="24"/>
        </w:rPr>
        <w:t>2.采购项目需要落实的政府采购政策</w:t>
      </w:r>
    </w:p>
    <w:p>
      <w:pPr>
        <w:adjustRightInd w:val="0"/>
        <w:snapToGrid w:val="0"/>
        <w:spacing w:line="500" w:lineRule="exact"/>
        <w:ind w:firstLine="480" w:firstLineChars="200"/>
        <w:jc w:val="left"/>
        <w:rPr>
          <w:rFonts w:ascii="宋体" w:hAnsi="宋体" w:cs="仿宋"/>
          <w:kern w:val="0"/>
          <w:sz w:val="24"/>
        </w:rPr>
      </w:pPr>
      <w:r>
        <w:rPr>
          <w:rFonts w:hint="eastAsia" w:ascii="宋体" w:hAnsi="宋体" w:cs="仿宋"/>
          <w:kern w:val="0"/>
          <w:sz w:val="24"/>
        </w:rPr>
        <w:t>详见竞争性磋商文件。</w:t>
      </w:r>
    </w:p>
    <w:p>
      <w:pPr>
        <w:adjustRightInd w:val="0"/>
        <w:snapToGrid w:val="0"/>
        <w:spacing w:line="360" w:lineRule="auto"/>
        <w:rPr>
          <w:rFonts w:ascii="宋体" w:hAnsi="宋体" w:cs="宋体"/>
          <w:sz w:val="24"/>
        </w:rPr>
      </w:pPr>
      <w:r>
        <w:rPr>
          <w:rFonts w:hint="eastAsia" w:ascii="宋体" w:hAnsi="宋体" w:cs="宋体"/>
          <w:sz w:val="24"/>
        </w:rPr>
        <w:t>八、凡对本次采购提出询问，请按以下方式联系。</w:t>
      </w:r>
      <w:bookmarkEnd w:id="29"/>
      <w:bookmarkEnd w:id="30"/>
      <w:bookmarkEnd w:id="31"/>
      <w:bookmarkEnd w:id="32"/>
    </w:p>
    <w:p>
      <w:pPr>
        <w:adjustRightInd w:val="0"/>
        <w:snapToGrid w:val="0"/>
        <w:spacing w:line="360" w:lineRule="auto"/>
        <w:ind w:firstLine="480" w:firstLineChars="200"/>
        <w:outlineLvl w:val="1"/>
        <w:rPr>
          <w:rFonts w:ascii="宋体" w:hAnsi="宋体" w:cs="仿宋"/>
          <w:kern w:val="0"/>
          <w:sz w:val="24"/>
        </w:rPr>
      </w:pPr>
      <w:bookmarkStart w:id="33" w:name="_Toc22829"/>
      <w:bookmarkStart w:id="34" w:name="_Toc29512"/>
      <w:bookmarkStart w:id="35" w:name="_Toc3884"/>
      <w:bookmarkStart w:id="36" w:name="_Toc16267"/>
      <w:r>
        <w:rPr>
          <w:rFonts w:hint="eastAsia" w:ascii="宋体" w:hAnsi="宋体" w:cs="仿宋"/>
          <w:kern w:val="0"/>
          <w:sz w:val="24"/>
        </w:rPr>
        <w:t>1.采购人信息</w:t>
      </w:r>
      <w:bookmarkEnd w:id="33"/>
      <w:bookmarkEnd w:id="34"/>
      <w:bookmarkEnd w:id="35"/>
      <w:bookmarkEnd w:id="36"/>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名称：山东大学齐鲁医院（青岛）</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地址：青岛市市北区合肥路758号</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联系人：王老师、刘老师</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联系方式：0532-66850507、0532-66850508</w:t>
      </w:r>
    </w:p>
    <w:p>
      <w:pPr>
        <w:adjustRightInd w:val="0"/>
        <w:snapToGrid w:val="0"/>
        <w:spacing w:line="360" w:lineRule="auto"/>
        <w:ind w:firstLine="480" w:firstLineChars="200"/>
        <w:outlineLvl w:val="1"/>
        <w:rPr>
          <w:rFonts w:ascii="宋体" w:hAnsi="宋体" w:cs="仿宋"/>
          <w:kern w:val="0"/>
          <w:sz w:val="24"/>
        </w:rPr>
      </w:pPr>
      <w:bookmarkStart w:id="37" w:name="_Toc27310"/>
      <w:bookmarkStart w:id="38" w:name="_Toc14680"/>
      <w:bookmarkStart w:id="39" w:name="_Toc13625"/>
      <w:bookmarkStart w:id="40" w:name="_Toc9403"/>
      <w:r>
        <w:rPr>
          <w:rFonts w:hint="eastAsia" w:ascii="宋体" w:hAnsi="宋体" w:cs="仿宋"/>
          <w:kern w:val="0"/>
          <w:sz w:val="24"/>
        </w:rPr>
        <w:t>2.采购代理机构信息</w:t>
      </w:r>
      <w:bookmarkEnd w:id="37"/>
      <w:bookmarkEnd w:id="38"/>
      <w:bookmarkEnd w:id="39"/>
      <w:bookmarkEnd w:id="40"/>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名称：海逸恒安项目管理有限公司</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地址：青岛市崂山区文岭路5号白金广场C座202室</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联系人：逄昊晟</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联系方式：0532-85761207</w:t>
      </w:r>
    </w:p>
    <w:p>
      <w:pPr>
        <w:adjustRightInd w:val="0"/>
        <w:snapToGrid w:val="0"/>
        <w:spacing w:line="360" w:lineRule="auto"/>
        <w:ind w:firstLine="480" w:firstLineChars="200"/>
        <w:outlineLvl w:val="1"/>
        <w:rPr>
          <w:rFonts w:ascii="宋体" w:hAnsi="宋体" w:cs="仿宋"/>
          <w:kern w:val="0"/>
          <w:sz w:val="24"/>
        </w:rPr>
      </w:pPr>
      <w:bookmarkStart w:id="41" w:name="_Toc26976"/>
      <w:bookmarkStart w:id="42" w:name="_Toc26817"/>
      <w:bookmarkStart w:id="43" w:name="_Toc8298"/>
      <w:bookmarkStart w:id="44" w:name="_Toc27437"/>
      <w:r>
        <w:rPr>
          <w:rFonts w:hint="eastAsia" w:ascii="宋体" w:hAnsi="宋体" w:cs="仿宋"/>
          <w:kern w:val="0"/>
          <w:sz w:val="24"/>
        </w:rPr>
        <w:t>3.项目联系方式</w:t>
      </w:r>
      <w:bookmarkEnd w:id="41"/>
      <w:bookmarkEnd w:id="42"/>
      <w:bookmarkEnd w:id="43"/>
      <w:bookmarkEnd w:id="44"/>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联系人：逄昊晟</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联系方式：0532-85761207</w:t>
      </w:r>
    </w:p>
    <w:p>
      <w:pPr>
        <w:pStyle w:val="4"/>
        <w:spacing w:before="120" w:after="120" w:line="360" w:lineRule="auto"/>
        <w:jc w:val="center"/>
        <w:rPr>
          <w:rFonts w:ascii="宋体" w:hAnsi="宋体"/>
          <w:kern w:val="2"/>
          <w:sz w:val="32"/>
        </w:rPr>
      </w:pPr>
      <w:r>
        <w:rPr>
          <w:rFonts w:hint="eastAsia" w:ascii="宋体" w:hAnsi="宋体"/>
          <w:spacing w:val="-10"/>
          <w:sz w:val="24"/>
        </w:rPr>
        <w:br w:type="page"/>
      </w:r>
      <w:bookmarkStart w:id="45" w:name="_Toc3956"/>
      <w:bookmarkStart w:id="46" w:name="_Toc27201"/>
      <w:bookmarkStart w:id="47" w:name="_Toc15633"/>
      <w:bookmarkStart w:id="48" w:name="_Toc60585206"/>
      <w:r>
        <w:rPr>
          <w:rFonts w:hint="eastAsia" w:ascii="宋体" w:hAnsi="宋体"/>
          <w:kern w:val="2"/>
          <w:sz w:val="32"/>
        </w:rPr>
        <w:t>第二章响应人须知</w:t>
      </w:r>
      <w:bookmarkEnd w:id="45"/>
      <w:bookmarkEnd w:id="46"/>
      <w:bookmarkEnd w:id="47"/>
      <w:bookmarkEnd w:id="48"/>
    </w:p>
    <w:p>
      <w:pPr>
        <w:pStyle w:val="4"/>
        <w:spacing w:before="0" w:after="0"/>
        <w:jc w:val="center"/>
        <w:rPr>
          <w:rFonts w:ascii="宋体" w:hAnsi="宋体"/>
          <w:bCs w:val="0"/>
          <w:sz w:val="30"/>
          <w:szCs w:val="30"/>
        </w:rPr>
      </w:pPr>
      <w:bookmarkStart w:id="49" w:name="_Toc20103"/>
      <w:bookmarkStart w:id="50" w:name="_Toc11138"/>
      <w:bookmarkStart w:id="51" w:name="_Toc5971"/>
      <w:bookmarkStart w:id="52" w:name="_Toc60585207"/>
      <w:r>
        <w:rPr>
          <w:rFonts w:hint="eastAsia" w:ascii="宋体" w:hAnsi="宋体"/>
          <w:bCs w:val="0"/>
          <w:sz w:val="30"/>
          <w:szCs w:val="30"/>
        </w:rPr>
        <w:t>响应人须知前附表</w:t>
      </w:r>
      <w:bookmarkEnd w:id="49"/>
      <w:bookmarkEnd w:id="50"/>
      <w:bookmarkEnd w:id="51"/>
      <w:bookmarkEnd w:id="52"/>
    </w:p>
    <w:p>
      <w:pPr>
        <w:spacing w:line="360" w:lineRule="auto"/>
        <w:ind w:firstLine="480" w:firstLineChars="200"/>
        <w:rPr>
          <w:rFonts w:ascii="宋体" w:hAnsi="宋体"/>
          <w:sz w:val="24"/>
        </w:rPr>
      </w:pPr>
      <w:r>
        <w:rPr>
          <w:rFonts w:hint="eastAsia" w:ascii="宋体" w:hAnsi="宋体"/>
          <w:sz w:val="24"/>
        </w:rPr>
        <w:t>本表是对“响应人须知”正文的具体补充和修改，如有不一致，以“前附表”为准。</w:t>
      </w:r>
    </w:p>
    <w:tbl>
      <w:tblPr>
        <w:tblStyle w:val="75"/>
        <w:tblW w:w="897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646"/>
        <w:gridCol w:w="832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72" w:hRule="atLeast"/>
          <w:tblHeader/>
          <w:jc w:val="center"/>
        </w:trPr>
        <w:tc>
          <w:tcPr>
            <w:tcW w:w="646" w:type="dxa"/>
            <w:vAlign w:val="center"/>
          </w:tcPr>
          <w:p>
            <w:pPr>
              <w:spacing w:line="360" w:lineRule="auto"/>
              <w:jc w:val="center"/>
              <w:rPr>
                <w:rFonts w:ascii="宋体" w:hAnsi="宋体"/>
                <w:sz w:val="24"/>
              </w:rPr>
            </w:pPr>
            <w:bookmarkStart w:id="53" w:name="_Toc346372875"/>
            <w:r>
              <w:rPr>
                <w:rFonts w:hint="eastAsia" w:ascii="宋体" w:hAnsi="宋体"/>
                <w:sz w:val="24"/>
              </w:rPr>
              <w:t>序号</w:t>
            </w:r>
          </w:p>
        </w:tc>
        <w:tc>
          <w:tcPr>
            <w:tcW w:w="8325" w:type="dxa"/>
            <w:vAlign w:val="center"/>
          </w:tcPr>
          <w:p>
            <w:pPr>
              <w:spacing w:line="360" w:lineRule="auto"/>
              <w:jc w:val="center"/>
              <w:rPr>
                <w:rFonts w:ascii="宋体" w:hAnsi="宋体"/>
                <w:b/>
                <w:sz w:val="24"/>
              </w:rPr>
            </w:pPr>
            <w:r>
              <w:rPr>
                <w:rFonts w:hint="eastAsia" w:ascii="宋体" w:hAnsi="宋体"/>
                <w:b/>
                <w:sz w:val="24"/>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78" w:hRule="atLeast"/>
          <w:jc w:val="center"/>
        </w:trPr>
        <w:tc>
          <w:tcPr>
            <w:tcW w:w="8971" w:type="dxa"/>
            <w:gridSpan w:val="2"/>
            <w:vAlign w:val="center"/>
          </w:tcPr>
          <w:p>
            <w:pPr>
              <w:spacing w:line="360" w:lineRule="auto"/>
              <w:ind w:left="-27" w:firstLine="1"/>
              <w:jc w:val="center"/>
              <w:rPr>
                <w:rFonts w:ascii="宋体" w:hAnsi="宋体"/>
                <w:b/>
                <w:sz w:val="24"/>
              </w:rPr>
            </w:pPr>
            <w:r>
              <w:rPr>
                <w:rFonts w:hint="eastAsia" w:ascii="宋体" w:hAnsi="宋体"/>
                <w:b/>
                <w:sz w:val="24"/>
              </w:rPr>
              <w:t>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05" w:hRule="atLeast"/>
          <w:jc w:val="center"/>
        </w:trPr>
        <w:tc>
          <w:tcPr>
            <w:tcW w:w="646" w:type="dxa"/>
            <w:vAlign w:val="center"/>
          </w:tcPr>
          <w:p>
            <w:pPr>
              <w:spacing w:line="360" w:lineRule="auto"/>
              <w:jc w:val="center"/>
              <w:rPr>
                <w:rFonts w:ascii="宋体" w:hAnsi="宋体"/>
                <w:sz w:val="24"/>
              </w:rPr>
            </w:pPr>
          </w:p>
        </w:tc>
        <w:tc>
          <w:tcPr>
            <w:tcW w:w="8325" w:type="dxa"/>
            <w:vAlign w:val="center"/>
          </w:tcPr>
          <w:p>
            <w:pPr>
              <w:spacing w:line="360" w:lineRule="auto"/>
              <w:ind w:firstLine="482" w:firstLineChars="200"/>
              <w:rPr>
                <w:rFonts w:ascii="宋体" w:hAnsi="宋体"/>
                <w:b/>
                <w:sz w:val="24"/>
              </w:rPr>
            </w:pPr>
            <w:r>
              <w:rPr>
                <w:rFonts w:hint="eastAsia" w:ascii="宋体" w:hAnsi="宋体"/>
                <w:b/>
                <w:sz w:val="24"/>
              </w:rPr>
              <w:t>重要提示：</w:t>
            </w:r>
          </w:p>
          <w:p>
            <w:pPr>
              <w:spacing w:line="360" w:lineRule="auto"/>
              <w:ind w:firstLine="482" w:firstLineChars="200"/>
              <w:rPr>
                <w:rFonts w:ascii="宋体" w:hAnsi="宋体"/>
                <w:b/>
                <w:sz w:val="24"/>
              </w:rPr>
            </w:pPr>
            <w:r>
              <w:rPr>
                <w:rFonts w:hint="eastAsia" w:ascii="宋体" w:hAnsi="宋体"/>
                <w:b/>
                <w:sz w:val="24"/>
              </w:rPr>
              <w:t>本采购文件中，标注有“★”的条款，为本采购文件中的实质性条款，且属于在磋商过程中不会变动的内容。响应人未实质性响应的，将按无效报价处理。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45" w:hRule="atLeast"/>
          <w:jc w:val="center"/>
        </w:trPr>
        <w:tc>
          <w:tcPr>
            <w:tcW w:w="646" w:type="dxa"/>
            <w:vAlign w:val="center"/>
          </w:tcPr>
          <w:p>
            <w:pPr>
              <w:spacing w:line="360" w:lineRule="auto"/>
              <w:jc w:val="center"/>
              <w:rPr>
                <w:rFonts w:ascii="宋体" w:hAnsi="宋体"/>
                <w:sz w:val="24"/>
              </w:rPr>
            </w:pPr>
            <w:r>
              <w:rPr>
                <w:rFonts w:ascii="宋体" w:hAnsi="宋体"/>
                <w:sz w:val="24"/>
              </w:rPr>
              <w:t>1</w:t>
            </w:r>
          </w:p>
        </w:tc>
        <w:tc>
          <w:tcPr>
            <w:tcW w:w="8325" w:type="dxa"/>
            <w:vAlign w:val="center"/>
          </w:tcPr>
          <w:p>
            <w:pPr>
              <w:adjustRightInd w:val="0"/>
              <w:snapToGrid w:val="0"/>
              <w:spacing w:line="360" w:lineRule="auto"/>
              <w:ind w:firstLine="480" w:firstLineChars="200"/>
              <w:rPr>
                <w:rFonts w:hint="eastAsia" w:ascii="宋体" w:hAnsi="宋体" w:eastAsia="宋体"/>
                <w:sz w:val="24"/>
                <w:lang w:eastAsia="zh-CN"/>
              </w:rPr>
            </w:pPr>
            <w:r>
              <w:rPr>
                <w:rFonts w:hint="eastAsia" w:ascii="宋体" w:hAnsi="宋体"/>
                <w:sz w:val="24"/>
              </w:rPr>
              <w:t>项目名称：</w:t>
            </w:r>
            <w:r>
              <w:rPr>
                <w:rFonts w:hint="eastAsia" w:ascii="宋体" w:hAnsi="宋体" w:cs="宋体"/>
                <w:sz w:val="24"/>
                <w:lang w:eastAsia="zh-CN"/>
              </w:rPr>
              <w:t>山东大学齐鲁医院（青岛）零星工程结算等第三方审计服务项目（二次）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646" w:type="dxa"/>
            <w:vAlign w:val="center"/>
          </w:tcPr>
          <w:p>
            <w:pPr>
              <w:spacing w:line="360" w:lineRule="auto"/>
              <w:jc w:val="center"/>
              <w:rPr>
                <w:rFonts w:ascii="宋体" w:hAnsi="宋体"/>
                <w:sz w:val="24"/>
              </w:rPr>
            </w:pPr>
            <w:r>
              <w:rPr>
                <w:rFonts w:ascii="宋体" w:hAnsi="宋体"/>
                <w:sz w:val="24"/>
              </w:rPr>
              <w:t>2</w:t>
            </w:r>
          </w:p>
        </w:tc>
        <w:tc>
          <w:tcPr>
            <w:tcW w:w="8325" w:type="dxa"/>
            <w:vAlign w:val="center"/>
          </w:tcPr>
          <w:p>
            <w:pPr>
              <w:spacing w:line="360" w:lineRule="auto"/>
              <w:ind w:firstLine="523" w:firstLineChars="218"/>
              <w:rPr>
                <w:rFonts w:hint="eastAsia" w:ascii="宋体" w:hAnsi="宋体" w:eastAsia="宋体"/>
                <w:sz w:val="24"/>
                <w:lang w:eastAsia="zh-CN"/>
              </w:rPr>
            </w:pPr>
            <w:r>
              <w:rPr>
                <w:rFonts w:hint="eastAsia" w:ascii="宋体" w:hAnsi="宋体"/>
                <w:sz w:val="24"/>
              </w:rPr>
              <w:t>项目编号：</w:t>
            </w:r>
            <w:r>
              <w:rPr>
                <w:rFonts w:hint="eastAsia" w:ascii="宋体" w:hAnsi="宋体"/>
                <w:sz w:val="24"/>
                <w:lang w:val="en-US" w:eastAsia="zh-CN"/>
              </w:rPr>
              <w:t>HYHAQD2022-0318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510" w:hRule="atLeast"/>
          <w:jc w:val="center"/>
        </w:trPr>
        <w:tc>
          <w:tcPr>
            <w:tcW w:w="646" w:type="dxa"/>
            <w:vAlign w:val="center"/>
          </w:tcPr>
          <w:p>
            <w:pPr>
              <w:spacing w:line="360" w:lineRule="auto"/>
              <w:jc w:val="center"/>
              <w:rPr>
                <w:rFonts w:ascii="宋体" w:hAnsi="宋体"/>
                <w:sz w:val="24"/>
              </w:rPr>
            </w:pPr>
            <w:r>
              <w:rPr>
                <w:rFonts w:ascii="宋体" w:hAnsi="宋体"/>
                <w:sz w:val="24"/>
              </w:rPr>
              <w:t>3</w:t>
            </w:r>
          </w:p>
        </w:tc>
        <w:tc>
          <w:tcPr>
            <w:tcW w:w="8325" w:type="dxa"/>
            <w:vAlign w:val="center"/>
          </w:tcPr>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名称：山东大学齐鲁医院（青岛）</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联系人：王老师、刘老师</w:t>
            </w:r>
          </w:p>
          <w:p>
            <w:pPr>
              <w:adjustRightInd w:val="0"/>
              <w:snapToGrid w:val="0"/>
              <w:spacing w:line="360" w:lineRule="auto"/>
              <w:ind w:firstLine="480" w:firstLineChars="200"/>
              <w:rPr>
                <w:rFonts w:ascii="宋体" w:hAnsi="宋体"/>
                <w:sz w:val="24"/>
              </w:rPr>
            </w:pPr>
            <w:r>
              <w:rPr>
                <w:rFonts w:hint="eastAsia" w:ascii="宋体" w:hAnsi="宋体" w:cs="仿宋"/>
                <w:kern w:val="0"/>
                <w:sz w:val="24"/>
              </w:rPr>
              <w:t>联系方式：0532-66850507、0532-66850508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586" w:hRule="atLeast"/>
          <w:jc w:val="center"/>
        </w:trPr>
        <w:tc>
          <w:tcPr>
            <w:tcW w:w="646" w:type="dxa"/>
            <w:vAlign w:val="center"/>
          </w:tcPr>
          <w:p>
            <w:pPr>
              <w:spacing w:line="360" w:lineRule="auto"/>
              <w:jc w:val="center"/>
              <w:rPr>
                <w:rFonts w:ascii="宋体" w:hAnsi="宋体"/>
                <w:sz w:val="24"/>
              </w:rPr>
            </w:pPr>
            <w:r>
              <w:rPr>
                <w:rFonts w:ascii="宋体" w:hAnsi="宋体"/>
                <w:sz w:val="24"/>
              </w:rPr>
              <w:t>4</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代理机构：海逸恒安项目管理有限公司</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联系人：逄昊晟</w:t>
            </w:r>
          </w:p>
          <w:p>
            <w:pPr>
              <w:adjustRightInd w:val="0"/>
              <w:snapToGrid w:val="0"/>
              <w:spacing w:line="360" w:lineRule="auto"/>
              <w:ind w:firstLine="480" w:firstLineChars="200"/>
              <w:rPr>
                <w:rFonts w:ascii="宋体" w:hAnsi="宋体"/>
                <w:sz w:val="24"/>
              </w:rPr>
            </w:pPr>
            <w:r>
              <w:rPr>
                <w:rFonts w:hint="eastAsia" w:ascii="宋体" w:hAnsi="宋体" w:cs="仿宋"/>
                <w:kern w:val="0"/>
                <w:sz w:val="24"/>
              </w:rPr>
              <w:t>联系方式：0532-85761207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646" w:type="dxa"/>
            <w:vAlign w:val="center"/>
          </w:tcPr>
          <w:p>
            <w:pPr>
              <w:spacing w:line="360" w:lineRule="auto"/>
              <w:jc w:val="center"/>
              <w:rPr>
                <w:rFonts w:ascii="宋体" w:hAnsi="宋体"/>
                <w:sz w:val="24"/>
              </w:rPr>
            </w:pPr>
            <w:r>
              <w:rPr>
                <w:rFonts w:ascii="宋体" w:hAnsi="宋体"/>
                <w:sz w:val="24"/>
              </w:rPr>
              <w:t>5</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资金来源：自筹资金。</w:t>
            </w:r>
          </w:p>
          <w:p>
            <w:pPr>
              <w:spacing w:line="360" w:lineRule="auto"/>
              <w:ind w:firstLine="523" w:firstLineChars="218"/>
              <w:rPr>
                <w:rFonts w:ascii="宋体" w:hAnsi="宋体"/>
                <w:sz w:val="24"/>
              </w:rPr>
            </w:pPr>
            <w:r>
              <w:rPr>
                <w:rFonts w:hint="eastAsia" w:ascii="宋体" w:hAnsi="宋体"/>
                <w:sz w:val="24"/>
              </w:rPr>
              <w:t>预算金额：12.00万。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ascii="宋体" w:hAnsi="宋体"/>
                <w:sz w:val="24"/>
              </w:rPr>
              <w:t>6</w:t>
            </w:r>
          </w:p>
        </w:tc>
        <w:tc>
          <w:tcPr>
            <w:tcW w:w="8325" w:type="dxa"/>
            <w:vAlign w:val="center"/>
          </w:tcPr>
          <w:p>
            <w:pPr>
              <w:spacing w:line="360" w:lineRule="auto"/>
              <w:ind w:firstLine="525" w:firstLineChars="218"/>
              <w:rPr>
                <w:rFonts w:ascii="宋体" w:hAnsi="宋体"/>
                <w:b/>
                <w:sz w:val="24"/>
              </w:rPr>
            </w:pPr>
            <w:r>
              <w:rPr>
                <w:rFonts w:hint="eastAsia" w:ascii="宋体" w:hAnsi="宋体"/>
                <w:b/>
                <w:sz w:val="24"/>
              </w:rPr>
              <w:t>★响应人资格要求：详见本项目采购公告。</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snapToGrid w:val="0"/>
                <w:kern w:val="0"/>
                <w:sz w:val="24"/>
              </w:rPr>
              <w:t>响应人应提供能够证明符合资格条件的下列材料：</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（1）</w:t>
            </w:r>
            <w:r>
              <w:rPr>
                <w:rFonts w:hint="eastAsia" w:ascii="宋体" w:hAnsi="宋体" w:cs="宋体"/>
                <w:kern w:val="0"/>
                <w:sz w:val="24"/>
              </w:rPr>
              <w:tab/>
            </w:r>
            <w:r>
              <w:rPr>
                <w:rFonts w:hint="eastAsia" w:ascii="宋体" w:hAnsi="宋体" w:cs="宋体"/>
                <w:kern w:val="0"/>
                <w:sz w:val="24"/>
              </w:rPr>
              <w:t>响应人须在中华人民共和国境内注册，具有独立承担民事责任的能力，向采购人提供货物和服务的法人、其他组织或自然人，须提供相关证明材料，其中：</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响应人是企业（包括合伙企业）的，应提供其在工商部门注册的有效</w:t>
            </w:r>
            <w:r>
              <w:rPr>
                <w:rFonts w:hint="eastAsia" w:ascii="宋体" w:hAnsi="宋体" w:cs="宋体"/>
                <w:b/>
                <w:bCs/>
                <w:kern w:val="0"/>
                <w:sz w:val="24"/>
              </w:rPr>
              <w:t>“企业法人营业执照”或“营业执照”的复印件</w:t>
            </w:r>
            <w:r>
              <w:rPr>
                <w:rFonts w:hint="eastAsia" w:ascii="宋体" w:hAnsi="宋体" w:cs="宋体"/>
                <w:kern w:val="0"/>
                <w:sz w:val="24"/>
              </w:rPr>
              <w:t>；</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响应人是事业单位的，应提供其有效的“事业单位法人证书”复印件；</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响应人是非企业专业服务机构的，应提供其有效的执业许可证复印件；</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响应人是个体工商户的，应提供其有效的“个体工商户营业执照”复印件；</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响应人是自然人的，应提供其有效的自然人身份证明。</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（2）</w:t>
            </w:r>
            <w:r>
              <w:rPr>
                <w:rFonts w:hint="eastAsia" w:ascii="宋体" w:hAnsi="宋体" w:cs="宋体"/>
                <w:kern w:val="0"/>
                <w:sz w:val="24"/>
              </w:rPr>
              <w:tab/>
            </w:r>
            <w:r>
              <w:rPr>
                <w:rFonts w:hint="eastAsia" w:ascii="宋体" w:hAnsi="宋体" w:cs="宋体"/>
                <w:kern w:val="0"/>
                <w:sz w:val="24"/>
              </w:rPr>
              <w:t>响应人须具有良好的商业信誉和健全的财务会计制度，须提供相关证明材料，其中：</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响应人是法人的，应提供</w:t>
            </w:r>
            <w:r>
              <w:rPr>
                <w:rFonts w:hint="eastAsia" w:ascii="宋体" w:hAnsi="宋体" w:cs="宋体"/>
                <w:b/>
                <w:bCs/>
                <w:sz w:val="24"/>
              </w:rPr>
              <w:t>财务会计报表，</w:t>
            </w:r>
            <w:r>
              <w:rPr>
                <w:rFonts w:hint="eastAsia" w:ascii="宋体" w:hAnsi="宋体" w:cs="宋体"/>
                <w:b/>
                <w:bCs/>
                <w:kern w:val="0"/>
                <w:sz w:val="24"/>
              </w:rPr>
              <w:t>或经审计的财务报告，或其基本开户银行出具的资信证明</w:t>
            </w:r>
            <w:r>
              <w:rPr>
                <w:rFonts w:hint="eastAsia" w:ascii="宋体" w:hAnsi="宋体" w:cs="宋体"/>
                <w:kern w:val="0"/>
                <w:sz w:val="24"/>
              </w:rPr>
              <w:t>；</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响应人是其他组织或自然人的，应提供银行出具的资信证明。</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（3）</w:t>
            </w:r>
            <w:r>
              <w:rPr>
                <w:rFonts w:hint="eastAsia" w:ascii="宋体" w:hAnsi="宋体" w:cs="宋体"/>
                <w:kern w:val="0"/>
                <w:sz w:val="24"/>
              </w:rPr>
              <w:tab/>
            </w:r>
            <w:r>
              <w:rPr>
                <w:rFonts w:hint="eastAsia" w:ascii="宋体" w:hAnsi="宋体" w:cs="宋体"/>
                <w:kern w:val="0"/>
                <w:sz w:val="24"/>
              </w:rPr>
              <w:t>响应人须具有履行合同所必需的设备和专业技术能力，须附</w:t>
            </w:r>
            <w:r>
              <w:rPr>
                <w:rFonts w:hint="eastAsia" w:ascii="宋体" w:hAnsi="宋体" w:cs="宋体"/>
                <w:b/>
                <w:bCs/>
                <w:kern w:val="0"/>
                <w:sz w:val="24"/>
              </w:rPr>
              <w:t>相关证明材料或书面声明</w:t>
            </w:r>
            <w:r>
              <w:rPr>
                <w:rFonts w:hint="eastAsia" w:ascii="宋体" w:hAnsi="宋体" w:cs="宋体"/>
                <w:kern w:val="0"/>
                <w:sz w:val="24"/>
              </w:rPr>
              <w:t>。</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（4）</w:t>
            </w:r>
            <w:r>
              <w:rPr>
                <w:rFonts w:hint="eastAsia" w:ascii="宋体" w:hAnsi="宋体" w:cs="宋体"/>
                <w:kern w:val="0"/>
                <w:sz w:val="24"/>
              </w:rPr>
              <w:tab/>
            </w:r>
            <w:r>
              <w:rPr>
                <w:rFonts w:hint="eastAsia" w:ascii="宋体" w:hAnsi="宋体" w:cs="宋体"/>
                <w:kern w:val="0"/>
                <w:sz w:val="24"/>
              </w:rPr>
              <w:t>响应人须具有依法缴纳税收和社会保障资金的良好记录，须提供相关证明材料，其中：</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响应人是法人的，缴纳税收的证明材料，应提供</w:t>
            </w:r>
            <w:r>
              <w:rPr>
                <w:rFonts w:hint="eastAsia" w:ascii="宋体" w:hAnsi="宋体" w:cs="宋体"/>
                <w:b/>
                <w:bCs/>
                <w:kern w:val="0"/>
                <w:sz w:val="24"/>
              </w:rPr>
              <w:t>磋商前三个月内任意一个月的依法缴税凭据</w:t>
            </w:r>
            <w:r>
              <w:rPr>
                <w:rFonts w:hint="eastAsia" w:ascii="宋体" w:hAnsi="宋体" w:cs="宋体"/>
                <w:kern w:val="0"/>
                <w:sz w:val="24"/>
              </w:rPr>
              <w:t>；</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响应人是法人的，缴纳社会保障资金的证明材料，应提供</w:t>
            </w:r>
            <w:r>
              <w:rPr>
                <w:rFonts w:hint="eastAsia" w:ascii="宋体" w:hAnsi="宋体" w:cs="宋体"/>
                <w:b/>
                <w:bCs/>
                <w:kern w:val="0"/>
                <w:sz w:val="24"/>
              </w:rPr>
              <w:t>磋商前三个月内任意一个月的缴纳社会保险的凭据</w:t>
            </w:r>
            <w:r>
              <w:rPr>
                <w:rFonts w:hint="eastAsia" w:ascii="宋体" w:hAnsi="宋体" w:cs="宋体"/>
                <w:kern w:val="0"/>
                <w:sz w:val="24"/>
              </w:rPr>
              <w:t>；</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响应人是其他组织和自然人的，需要提供磋商前三个月内任意一个月的缴纳税收和社会保险的凭据。</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注：依法免税或不需要缴纳社会保障资金的响应人，须提供相应文件证明其依法免税或不需要缴纳社会保障资金。</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w:t>
            </w:r>
            <w:r>
              <w:rPr>
                <w:rFonts w:hint="eastAsia" w:ascii="宋体" w:hAnsi="宋体" w:cs="宋体"/>
                <w:kern w:val="0"/>
                <w:sz w:val="24"/>
              </w:rPr>
              <w:tab/>
            </w:r>
            <w:r>
              <w:rPr>
                <w:rFonts w:hint="eastAsia" w:ascii="宋体" w:hAnsi="宋体" w:cs="宋体"/>
                <w:kern w:val="0"/>
                <w:sz w:val="24"/>
              </w:rPr>
              <w:t>近三年内（本项目递交响应文件截止日前）响应人在经营活动中没有重大违法记录，其中：</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重大违法记录是指响应人因违法经营受到刑事处罚或者责令停产停业、吊销许可证或者执照、较大数额罚款等行政处罚；</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响应人须提供参与本采购活动前三年内在经营活动中没有重大违法记录的</w:t>
            </w:r>
            <w:r>
              <w:rPr>
                <w:rFonts w:hint="eastAsia" w:ascii="宋体" w:hAnsi="宋体" w:cs="宋体"/>
                <w:b/>
                <w:bCs/>
                <w:kern w:val="0"/>
                <w:sz w:val="24"/>
              </w:rPr>
              <w:t>书面声明</w:t>
            </w:r>
            <w:r>
              <w:rPr>
                <w:rFonts w:hint="eastAsia" w:ascii="宋体" w:hAnsi="宋体" w:cs="宋体"/>
                <w:kern w:val="0"/>
                <w:sz w:val="24"/>
              </w:rPr>
              <w:t>。</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（6）</w:t>
            </w:r>
            <w:r>
              <w:rPr>
                <w:rFonts w:hint="eastAsia" w:ascii="宋体" w:hAnsi="宋体" w:cs="宋体"/>
                <w:kern w:val="0"/>
                <w:sz w:val="24"/>
              </w:rPr>
              <w:tab/>
            </w:r>
            <w:r>
              <w:rPr>
                <w:rFonts w:hint="eastAsia" w:ascii="宋体" w:hAnsi="宋体" w:cs="宋体"/>
                <w:kern w:val="0"/>
                <w:sz w:val="24"/>
              </w:rPr>
              <w:t>响应人在“信用中国”网站（www.creditchina.gov.cn）、“中国政府采购网”网站（www.ccgp.gov.cn）</w:t>
            </w:r>
            <w:r>
              <w:rPr>
                <w:rFonts w:hint="eastAsia" w:ascii="宋体" w:hAnsi="宋体"/>
                <w:sz w:val="24"/>
              </w:rPr>
              <w:t>被</w:t>
            </w:r>
            <w:r>
              <w:rPr>
                <w:rFonts w:hint="eastAsia" w:ascii="宋体" w:hAnsi="宋体" w:cs="宋体"/>
                <w:kern w:val="0"/>
                <w:sz w:val="24"/>
              </w:rPr>
              <w:t>列入失信被执行人、重大税收违法案件当事人名单的、政府采购严重违法失信行为记录名单（处罚期限尚未届满的）的，不得参与本项目的政府采购活动。</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采购人或采购代理机构将在“信用中国”和“中国政府采购网”网站上对响应人进行查询并打印查询记录，查询截止时点为：递交响应文件截止时间当日。对经查询被“信用中国”网站（www.creditchina.gov.cn）、“中国政府采购网”网站（www.ccgp.gov.cn）</w:t>
            </w:r>
            <w:r>
              <w:rPr>
                <w:rFonts w:hint="eastAsia" w:ascii="宋体" w:hAnsi="宋体"/>
                <w:sz w:val="24"/>
              </w:rPr>
              <w:t>被</w:t>
            </w:r>
            <w:r>
              <w:rPr>
                <w:rFonts w:hint="eastAsia" w:ascii="宋体" w:hAnsi="宋体" w:cs="宋体"/>
                <w:kern w:val="0"/>
                <w:sz w:val="24"/>
              </w:rPr>
              <w:t>列入失信被执行人、重大税收违法案件当事人名单的、政府采购严重违法失信行为记录名单（处罚期限尚未届满的）的响应人，其报价将按无效报价处理。</w:t>
            </w:r>
            <w:r>
              <w:rPr>
                <w:rFonts w:hint="eastAsia"/>
                <w:sz w:val="24"/>
              </w:rPr>
              <w:t>两个以上的自然人、法人或者其他组织组成一个联合体，以一个响应人的身份共同参加政府采购活动的，应当对所有联合体成员进行信用记录查询，联合体成员存在上述不良信用记录的，视同联合体存在不良信用记录，其报价将按无效报价处理。</w:t>
            </w:r>
          </w:p>
          <w:p>
            <w:pPr>
              <w:pStyle w:val="2"/>
              <w:spacing w:after="0" w:line="560" w:lineRule="exact"/>
              <w:ind w:firstLine="600" w:firstLineChars="250"/>
              <w:rPr>
                <w:rFonts w:ascii="宋体" w:hAnsi="宋体"/>
                <w:b/>
                <w:bCs/>
                <w:sz w:val="24"/>
              </w:rPr>
            </w:pPr>
            <w:r>
              <w:rPr>
                <w:rFonts w:hint="eastAsia" w:ascii="宋体" w:hAnsi="宋体"/>
                <w:bCs/>
                <w:sz w:val="24"/>
              </w:rPr>
              <w:t>采购人或采购代理机构对于查询到的响应人失信行为事由、处理机关名称及处理日期、处理有效期间等，以屏幕截图的方式保存，并承诺查询记录仅用于本次采购活动过程中，不用于其他目的。</w:t>
            </w:r>
          </w:p>
          <w:p>
            <w:pPr>
              <w:autoSpaceDE w:val="0"/>
              <w:autoSpaceDN w:val="0"/>
              <w:adjustRightInd w:val="0"/>
              <w:snapToGrid w:val="0"/>
              <w:spacing w:line="560" w:lineRule="exact"/>
              <w:ind w:firstLine="600" w:firstLineChars="250"/>
              <w:jc w:val="left"/>
              <w:rPr>
                <w:rFonts w:hint="eastAsia" w:ascii="宋体" w:hAnsi="宋体" w:eastAsia="宋体" w:cs="宋体"/>
                <w:kern w:val="0"/>
                <w:sz w:val="24"/>
                <w:lang w:eastAsia="zh-CN"/>
              </w:rPr>
            </w:pPr>
            <w:r>
              <w:rPr>
                <w:rFonts w:hint="eastAsia" w:ascii="宋体" w:hAnsi="宋体" w:cs="宋体"/>
                <w:kern w:val="0"/>
                <w:sz w:val="24"/>
              </w:rPr>
              <w:t>（7）</w:t>
            </w:r>
            <w:r>
              <w:rPr>
                <w:rFonts w:hint="eastAsia" w:ascii="宋体" w:hAnsi="宋体" w:cs="宋体"/>
                <w:kern w:val="0"/>
                <w:sz w:val="24"/>
              </w:rPr>
              <w:tab/>
            </w:r>
            <w:r>
              <w:rPr>
                <w:rFonts w:hint="eastAsia" w:ascii="宋体" w:hAnsi="宋体" w:cs="宋体"/>
                <w:kern w:val="0"/>
                <w:sz w:val="24"/>
              </w:rPr>
              <w:t>项目负责人年龄要求不大于50周岁，必须具有注册造价工程师执业资格（提供证书复印件），须工作满8年（含）及以上</w:t>
            </w:r>
            <w:r>
              <w:rPr>
                <w:rFonts w:hint="eastAsia" w:ascii="宋体" w:hAnsi="宋体" w:cs="宋体"/>
                <w:kern w:val="0"/>
                <w:sz w:val="24"/>
                <w:lang w:eastAsia="zh-CN"/>
              </w:rPr>
              <w:t>。</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8</w:t>
            </w:r>
            <w:r>
              <w:rPr>
                <w:rFonts w:hint="eastAsia" w:ascii="宋体" w:hAnsi="宋体" w:cs="宋体"/>
                <w:kern w:val="0"/>
                <w:sz w:val="24"/>
              </w:rPr>
              <w:t>）</w:t>
            </w:r>
            <w:r>
              <w:rPr>
                <w:rFonts w:hint="eastAsia" w:ascii="宋体" w:hAnsi="宋体" w:cs="宋体"/>
                <w:kern w:val="0"/>
                <w:sz w:val="24"/>
              </w:rPr>
              <w:tab/>
            </w:r>
            <w:r>
              <w:rPr>
                <w:rFonts w:hint="eastAsia" w:ascii="宋体" w:hAnsi="宋体" w:cs="宋体"/>
                <w:kern w:val="0"/>
                <w:sz w:val="24"/>
              </w:rPr>
              <w:t>响应人符合法律、行政法规规定的其它要求。</w:t>
            </w:r>
          </w:p>
          <w:p>
            <w:pPr>
              <w:autoSpaceDE w:val="0"/>
              <w:autoSpaceDN w:val="0"/>
              <w:adjustRightInd w:val="0"/>
              <w:snapToGrid w:val="0"/>
              <w:spacing w:line="560" w:lineRule="exact"/>
              <w:ind w:firstLine="602" w:firstLineChars="250"/>
              <w:jc w:val="left"/>
              <w:rPr>
                <w:rFonts w:ascii="宋体" w:hAnsi="宋体"/>
                <w:b/>
                <w:sz w:val="24"/>
              </w:rPr>
            </w:pPr>
            <w:r>
              <w:rPr>
                <w:rFonts w:hint="eastAsia" w:ascii="宋体" w:hAnsi="宋体" w:cs="宋体"/>
                <w:b/>
                <w:bCs/>
                <w:kern w:val="0"/>
                <w:sz w:val="24"/>
              </w:rPr>
              <w:t>注：本项目实行资格后审，响应文件中须包含上述材料（第6条所要求的信用中国等网站查询截图无需提供，由采购代理机构负责查询），资格审查未通过，不进入下一步评审。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8971" w:type="dxa"/>
            <w:gridSpan w:val="2"/>
            <w:vAlign w:val="center"/>
          </w:tcPr>
          <w:p>
            <w:pPr>
              <w:spacing w:line="360" w:lineRule="auto"/>
              <w:jc w:val="center"/>
              <w:rPr>
                <w:rFonts w:ascii="宋体" w:hAnsi="宋体"/>
                <w:b/>
                <w:sz w:val="24"/>
              </w:rPr>
            </w:pPr>
            <w:r>
              <w:rPr>
                <w:rFonts w:hint="eastAsia" w:ascii="宋体" w:hAnsi="宋体"/>
                <w:b/>
                <w:sz w:val="24"/>
              </w:rPr>
              <w:t>采购文件的答疑、澄清和修改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7</w:t>
            </w:r>
          </w:p>
        </w:tc>
        <w:tc>
          <w:tcPr>
            <w:tcW w:w="8325" w:type="dxa"/>
            <w:vAlign w:val="center"/>
          </w:tcPr>
          <w:p>
            <w:pPr>
              <w:snapToGrid w:val="0"/>
              <w:spacing w:line="360" w:lineRule="auto"/>
              <w:ind w:firstLine="480" w:firstLineChars="200"/>
              <w:rPr>
                <w:rFonts w:ascii="宋体" w:hAnsi="宋体"/>
                <w:sz w:val="24"/>
                <w:highlight w:val="none"/>
              </w:rPr>
            </w:pPr>
            <w:r>
              <w:rPr>
                <w:rFonts w:hint="eastAsia" w:ascii="宋体" w:hAnsi="宋体"/>
                <w:sz w:val="24"/>
                <w:highlight w:val="none"/>
              </w:rPr>
              <w:t>提交疑问时间：2022年7月</w:t>
            </w:r>
            <w:r>
              <w:rPr>
                <w:rFonts w:hint="eastAsia" w:ascii="宋体" w:hAnsi="宋体"/>
                <w:sz w:val="24"/>
                <w:highlight w:val="none"/>
                <w:lang w:val="en-US" w:eastAsia="zh-CN"/>
              </w:rPr>
              <w:t>28</w:t>
            </w:r>
            <w:r>
              <w:rPr>
                <w:rFonts w:hint="eastAsia" w:ascii="宋体" w:hAnsi="宋体"/>
                <w:sz w:val="24"/>
                <w:highlight w:val="none"/>
              </w:rPr>
              <w:t>日17：00前。</w:t>
            </w:r>
          </w:p>
          <w:p>
            <w:pPr>
              <w:snapToGrid w:val="0"/>
              <w:spacing w:line="360" w:lineRule="auto"/>
              <w:ind w:firstLine="480" w:firstLineChars="200"/>
              <w:rPr>
                <w:rFonts w:ascii="宋体" w:hAnsi="宋体"/>
                <w:sz w:val="24"/>
                <w:highlight w:val="none"/>
              </w:rPr>
            </w:pPr>
            <w:r>
              <w:rPr>
                <w:rFonts w:hint="eastAsia" w:ascii="宋体" w:hAnsi="宋体"/>
                <w:sz w:val="24"/>
                <w:highlight w:val="none"/>
              </w:rPr>
              <w:t>提交疑问方式：发电子邮件至panghaosheng@sdhyha.com（</w:t>
            </w:r>
            <w:r>
              <w:rPr>
                <w:rFonts w:ascii="宋体" w:hAnsi="宋体"/>
                <w:sz w:val="24"/>
                <w:highlight w:val="none"/>
              </w:rPr>
              <w:t>word</w:t>
            </w:r>
            <w:r>
              <w:rPr>
                <w:rFonts w:hint="eastAsia" w:ascii="宋体" w:hAnsi="宋体"/>
                <w:sz w:val="24"/>
                <w:highlight w:val="none"/>
              </w:rPr>
              <w:t>文档及加盖公章的扫描件各一份）。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8</w:t>
            </w:r>
          </w:p>
        </w:tc>
        <w:tc>
          <w:tcPr>
            <w:tcW w:w="8325" w:type="dxa"/>
            <w:vAlign w:val="center"/>
          </w:tcPr>
          <w:p>
            <w:pPr>
              <w:snapToGrid w:val="0"/>
              <w:spacing w:line="360" w:lineRule="auto"/>
              <w:ind w:firstLine="480" w:firstLineChars="200"/>
              <w:rPr>
                <w:rFonts w:ascii="宋体" w:hAnsi="宋体"/>
                <w:sz w:val="24"/>
                <w:highlight w:val="none"/>
              </w:rPr>
            </w:pPr>
            <w:r>
              <w:rPr>
                <w:rFonts w:hint="eastAsia" w:ascii="宋体" w:hAnsi="宋体"/>
                <w:sz w:val="24"/>
                <w:highlight w:val="none"/>
              </w:rPr>
              <w:t>领取答疑文件时间：2022年7月</w:t>
            </w:r>
            <w:r>
              <w:rPr>
                <w:rFonts w:hint="eastAsia" w:ascii="宋体" w:hAnsi="宋体"/>
                <w:sz w:val="24"/>
                <w:highlight w:val="none"/>
                <w:lang w:val="en-US" w:eastAsia="zh-CN"/>
              </w:rPr>
              <w:t>29</w:t>
            </w:r>
            <w:r>
              <w:rPr>
                <w:rFonts w:hint="eastAsia" w:ascii="宋体" w:hAnsi="宋体"/>
                <w:sz w:val="24"/>
                <w:highlight w:val="none"/>
              </w:rPr>
              <w:t>日17:00前。</w:t>
            </w:r>
          </w:p>
          <w:p>
            <w:pPr>
              <w:snapToGrid w:val="0"/>
              <w:spacing w:line="360" w:lineRule="auto"/>
              <w:ind w:firstLine="480" w:firstLineChars="200"/>
              <w:rPr>
                <w:rFonts w:ascii="宋体" w:hAnsi="宋体"/>
                <w:sz w:val="24"/>
                <w:highlight w:val="none"/>
              </w:rPr>
            </w:pPr>
            <w:r>
              <w:rPr>
                <w:rFonts w:hint="eastAsia" w:ascii="宋体" w:hAnsi="宋体" w:cs="TimesNewRomanPSMT"/>
                <w:snapToGrid w:val="0"/>
                <w:kern w:val="0"/>
                <w:sz w:val="24"/>
                <w:highlight w:val="none"/>
              </w:rPr>
              <w:t>答疑文件为采购文件的组成部分。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ascii="宋体" w:hAnsi="宋体"/>
                <w:sz w:val="24"/>
              </w:rPr>
              <w:t>9</w:t>
            </w:r>
          </w:p>
        </w:tc>
        <w:tc>
          <w:tcPr>
            <w:tcW w:w="8325" w:type="dxa"/>
            <w:vAlign w:val="center"/>
          </w:tcPr>
          <w:p>
            <w:pPr>
              <w:snapToGrid w:val="0"/>
              <w:spacing w:line="360" w:lineRule="auto"/>
              <w:ind w:firstLine="480" w:firstLineChars="200"/>
              <w:rPr>
                <w:rFonts w:ascii="宋体" w:hAnsi="宋体"/>
                <w:sz w:val="24"/>
              </w:rPr>
            </w:pPr>
            <w:r>
              <w:rPr>
                <w:rFonts w:hint="eastAsia" w:ascii="宋体" w:hAnsi="宋体"/>
                <w:sz w:val="24"/>
              </w:rPr>
              <w:t>“响应文件组成”详见“响应人须知”第9条。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ascii="宋体" w:hAnsi="宋体"/>
                <w:sz w:val="24"/>
              </w:rPr>
              <w:t>10</w:t>
            </w:r>
          </w:p>
        </w:tc>
        <w:tc>
          <w:tcPr>
            <w:tcW w:w="8325" w:type="dxa"/>
            <w:vAlign w:val="center"/>
          </w:tcPr>
          <w:p>
            <w:pPr>
              <w:snapToGrid w:val="0"/>
              <w:spacing w:line="360" w:lineRule="auto"/>
              <w:ind w:firstLine="480" w:firstLineChars="200"/>
              <w:rPr>
                <w:rFonts w:ascii="宋体" w:hAnsi="宋体"/>
                <w:sz w:val="24"/>
              </w:rPr>
            </w:pPr>
            <w:r>
              <w:rPr>
                <w:rFonts w:hint="eastAsia" w:ascii="宋体" w:hAnsi="宋体"/>
                <w:sz w:val="24"/>
              </w:rPr>
              <w:t>“报价”详见“响应人须知”第10条。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hint="eastAsia" w:ascii="宋体" w:hAnsi="宋体"/>
                <w:sz w:val="24"/>
              </w:rPr>
              <w:t>11</w:t>
            </w:r>
          </w:p>
        </w:tc>
        <w:tc>
          <w:tcPr>
            <w:tcW w:w="8325" w:type="dxa"/>
            <w:vAlign w:val="center"/>
          </w:tcPr>
          <w:p>
            <w:pPr>
              <w:spacing w:line="360" w:lineRule="auto"/>
              <w:ind w:firstLine="480" w:firstLineChars="200"/>
              <w:rPr>
                <w:rFonts w:ascii="宋体" w:hAnsi="宋体"/>
                <w:sz w:val="24"/>
              </w:rPr>
            </w:pPr>
            <w:r>
              <w:rPr>
                <w:rFonts w:hint="eastAsia" w:ascii="宋体" w:hAnsi="宋体"/>
                <w:sz w:val="24"/>
              </w:rPr>
              <w:t>是否允许递交备选报价方案：不允许。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hint="eastAsia" w:ascii="宋体" w:hAnsi="宋体"/>
                <w:sz w:val="24"/>
              </w:rPr>
              <w:t>12</w:t>
            </w:r>
          </w:p>
        </w:tc>
        <w:tc>
          <w:tcPr>
            <w:tcW w:w="8325" w:type="dxa"/>
            <w:vAlign w:val="center"/>
          </w:tcPr>
          <w:p>
            <w:pPr>
              <w:spacing w:line="360" w:lineRule="auto"/>
              <w:ind w:firstLine="480" w:firstLineChars="200"/>
              <w:rPr>
                <w:rFonts w:ascii="宋体" w:hAnsi="宋体"/>
                <w:sz w:val="24"/>
              </w:rPr>
            </w:pPr>
            <w:r>
              <w:rPr>
                <w:rFonts w:hint="eastAsia" w:ascii="宋体" w:hAnsi="宋体"/>
                <w:sz w:val="24"/>
              </w:rPr>
              <w:t>再次报价：竞争性磋商过程中，初步审查合格的响应人将有再次报价的机会，且再次报价原则上不得高于首次报价。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hint="eastAsia" w:ascii="宋体" w:hAnsi="宋体"/>
                <w:sz w:val="24"/>
              </w:rPr>
              <w:t>13</w:t>
            </w:r>
          </w:p>
        </w:tc>
        <w:tc>
          <w:tcPr>
            <w:tcW w:w="8325" w:type="dxa"/>
            <w:vAlign w:val="center"/>
          </w:tcPr>
          <w:p>
            <w:pPr>
              <w:spacing w:line="360" w:lineRule="auto"/>
              <w:ind w:firstLine="480" w:firstLineChars="200"/>
              <w:rPr>
                <w:rFonts w:ascii="宋体" w:hAnsi="宋体"/>
                <w:sz w:val="24"/>
              </w:rPr>
            </w:pPr>
            <w:r>
              <w:rPr>
                <w:rFonts w:hint="eastAsia" w:ascii="宋体" w:hAnsi="宋体"/>
                <w:sz w:val="24"/>
              </w:rPr>
              <w:t>最终报价：最终报价前必须告知所有参加磋商的响应人，在规定的时间内提交最终报价，并以最终报价为最终报价。</w:t>
            </w:r>
          </w:p>
          <w:p>
            <w:pPr>
              <w:spacing w:line="360" w:lineRule="auto"/>
              <w:ind w:firstLine="480" w:firstLineChars="200"/>
              <w:rPr>
                <w:rFonts w:ascii="宋体" w:hAnsi="宋体"/>
                <w:sz w:val="24"/>
              </w:rPr>
            </w:pPr>
            <w:r>
              <w:rPr>
                <w:rFonts w:hint="eastAsia" w:ascii="宋体" w:hAnsi="宋体"/>
                <w:sz w:val="24"/>
              </w:rPr>
              <w:t>对于未在限时内提交最终报价、退出磋商的响应人，按其前一次报价进行评审。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4</w:t>
            </w:r>
          </w:p>
        </w:tc>
        <w:tc>
          <w:tcPr>
            <w:tcW w:w="8325" w:type="dxa"/>
            <w:vAlign w:val="center"/>
          </w:tcPr>
          <w:p>
            <w:pPr>
              <w:pStyle w:val="2"/>
              <w:spacing w:after="0" w:line="360" w:lineRule="auto"/>
              <w:ind w:firstLine="600" w:firstLineChars="250"/>
              <w:rPr>
                <w:rFonts w:ascii="宋体" w:hAnsi="宋体"/>
                <w:kern w:val="2"/>
                <w:sz w:val="24"/>
              </w:rPr>
            </w:pPr>
            <w:r>
              <w:rPr>
                <w:rFonts w:hint="eastAsia" w:ascii="宋体" w:hAnsi="宋体"/>
                <w:kern w:val="2"/>
                <w:sz w:val="24"/>
              </w:rPr>
              <w:t>响应文件份数：</w:t>
            </w:r>
          </w:p>
          <w:p>
            <w:pPr>
              <w:pStyle w:val="2"/>
              <w:spacing w:after="0" w:line="360" w:lineRule="auto"/>
              <w:ind w:firstLine="600" w:firstLineChars="250"/>
              <w:rPr>
                <w:rFonts w:ascii="宋体" w:hAnsi="宋体"/>
                <w:bCs/>
                <w:kern w:val="2"/>
                <w:sz w:val="24"/>
              </w:rPr>
            </w:pPr>
            <w:r>
              <w:rPr>
                <w:rFonts w:hint="eastAsia" w:ascii="宋体" w:hAnsi="宋体"/>
                <w:bCs/>
                <w:kern w:val="2"/>
                <w:sz w:val="24"/>
              </w:rPr>
              <w:t>纸质响应文件</w:t>
            </w:r>
            <w:r>
              <w:rPr>
                <w:rFonts w:hint="eastAsia" w:ascii="宋体" w:hAnsi="宋体"/>
                <w:bCs/>
                <w:kern w:val="2"/>
                <w:sz w:val="24"/>
                <w:u w:val="single"/>
              </w:rPr>
              <w:t>5</w:t>
            </w:r>
            <w:r>
              <w:rPr>
                <w:rFonts w:hint="eastAsia" w:ascii="宋体" w:hAnsi="宋体"/>
                <w:bCs/>
                <w:kern w:val="2"/>
                <w:sz w:val="24"/>
              </w:rPr>
              <w:t>份，其中正本</w:t>
            </w:r>
            <w:r>
              <w:rPr>
                <w:rFonts w:hint="eastAsia" w:ascii="宋体" w:hAnsi="宋体"/>
                <w:bCs/>
                <w:kern w:val="2"/>
                <w:sz w:val="24"/>
                <w:u w:val="single"/>
              </w:rPr>
              <w:t>1</w:t>
            </w:r>
            <w:r>
              <w:rPr>
                <w:rFonts w:hint="eastAsia" w:ascii="宋体" w:hAnsi="宋体"/>
                <w:bCs/>
                <w:kern w:val="2"/>
                <w:sz w:val="24"/>
              </w:rPr>
              <w:t>份和副本</w:t>
            </w:r>
            <w:r>
              <w:rPr>
                <w:rFonts w:hint="eastAsia" w:ascii="宋体" w:hAnsi="宋体"/>
                <w:bCs/>
                <w:kern w:val="2"/>
                <w:sz w:val="24"/>
                <w:u w:val="single"/>
              </w:rPr>
              <w:t>4</w:t>
            </w:r>
            <w:r>
              <w:rPr>
                <w:rFonts w:hint="eastAsia" w:ascii="宋体" w:hAnsi="宋体"/>
                <w:bCs/>
                <w:kern w:val="2"/>
                <w:sz w:val="24"/>
              </w:rPr>
              <w:t>份；</w:t>
            </w:r>
          </w:p>
          <w:p>
            <w:pPr>
              <w:pStyle w:val="2"/>
              <w:spacing w:after="0" w:line="360" w:lineRule="auto"/>
              <w:ind w:firstLine="600" w:firstLineChars="250"/>
              <w:rPr>
                <w:rFonts w:ascii="宋体" w:hAnsi="宋体"/>
                <w:b/>
                <w:kern w:val="2"/>
                <w:sz w:val="24"/>
              </w:rPr>
            </w:pPr>
            <w:r>
              <w:rPr>
                <w:rFonts w:hint="eastAsia" w:ascii="宋体" w:hAnsi="宋体"/>
                <w:kern w:val="2"/>
                <w:sz w:val="24"/>
              </w:rPr>
              <w:t>电子版响应文件份数：</w:t>
            </w:r>
            <w:r>
              <w:rPr>
                <w:rFonts w:hint="eastAsia" w:ascii="宋体" w:hAnsi="宋体"/>
                <w:kern w:val="2"/>
                <w:sz w:val="24"/>
                <w:u w:val="single"/>
              </w:rPr>
              <w:t>1</w:t>
            </w:r>
            <w:r>
              <w:rPr>
                <w:rFonts w:hint="eastAsia" w:ascii="宋体" w:hAnsi="宋体"/>
                <w:kern w:val="2"/>
                <w:sz w:val="24"/>
              </w:rPr>
              <w:t>份（介质为USB接口的移动存储设备）；电子版内容应包含响应文件的全部商务、报价、技术内容及技术资料，其中有英文资料的还应提供中、英文对照文本。</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5</w:t>
            </w:r>
          </w:p>
        </w:tc>
        <w:tc>
          <w:tcPr>
            <w:tcW w:w="8325" w:type="dxa"/>
            <w:vAlign w:val="center"/>
          </w:tcPr>
          <w:p>
            <w:pPr>
              <w:spacing w:line="360" w:lineRule="auto"/>
              <w:ind w:firstLine="480" w:firstLineChars="200"/>
              <w:rPr>
                <w:rFonts w:ascii="宋体" w:hAnsi="宋体"/>
                <w:sz w:val="24"/>
              </w:rPr>
            </w:pPr>
            <w:r>
              <w:rPr>
                <w:rFonts w:hint="eastAsia" w:ascii="宋体" w:hAnsi="宋体"/>
                <w:sz w:val="24"/>
              </w:rPr>
              <w:t>响应文件密封和标记：</w:t>
            </w:r>
          </w:p>
          <w:p>
            <w:pPr>
              <w:spacing w:line="360" w:lineRule="auto"/>
              <w:ind w:firstLine="480" w:firstLineChars="200"/>
              <w:rPr>
                <w:rFonts w:ascii="宋体" w:hAnsi="宋体"/>
                <w:sz w:val="24"/>
              </w:rPr>
            </w:pPr>
            <w:r>
              <w:rPr>
                <w:rFonts w:hint="eastAsia" w:ascii="宋体" w:hAnsi="宋体"/>
                <w:sz w:val="24"/>
              </w:rPr>
              <w:t>响应人应将响应文件正本、副本、电子版及首轮报价一览表密封，并在封面明显处注明以下内容：</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）项目编号、项目名称</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）正本或副本或电子版或首轮报价一览表</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）响应人名称（加盖公章）、地址、邮编、电话、传真</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）每一密封件在封口处注明“于XX</w:t>
            </w:r>
            <w:r>
              <w:rPr>
                <w:rFonts w:ascii="宋体" w:hAnsi="宋体"/>
                <w:sz w:val="24"/>
              </w:rPr>
              <w:t>年</w:t>
            </w:r>
            <w:r>
              <w:rPr>
                <w:rFonts w:hint="eastAsia" w:ascii="宋体" w:hAnsi="宋体"/>
                <w:sz w:val="24"/>
              </w:rPr>
              <w:t>XX月XX日时之前不准启封”字样。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6</w:t>
            </w:r>
          </w:p>
        </w:tc>
        <w:tc>
          <w:tcPr>
            <w:tcW w:w="8325" w:type="dxa"/>
            <w:vAlign w:val="center"/>
          </w:tcPr>
          <w:p>
            <w:pPr>
              <w:pStyle w:val="2"/>
              <w:spacing w:after="0" w:line="360" w:lineRule="auto"/>
              <w:ind w:firstLine="602" w:firstLineChars="250"/>
              <w:rPr>
                <w:rFonts w:ascii="宋体" w:hAnsi="宋体"/>
                <w:kern w:val="2"/>
                <w:sz w:val="24"/>
              </w:rPr>
            </w:pPr>
            <w:r>
              <w:rPr>
                <w:rFonts w:hint="eastAsia" w:ascii="宋体" w:hAnsi="宋体"/>
                <w:b/>
                <w:kern w:val="2"/>
                <w:sz w:val="24"/>
              </w:rPr>
              <w:t>响应文件的装订</w:t>
            </w:r>
            <w:r>
              <w:rPr>
                <w:rFonts w:hint="eastAsia" w:ascii="宋体" w:hAnsi="宋体"/>
                <w:kern w:val="2"/>
                <w:sz w:val="24"/>
              </w:rPr>
              <w:t>：</w:t>
            </w:r>
          </w:p>
          <w:p>
            <w:pPr>
              <w:pStyle w:val="2"/>
              <w:spacing w:after="0" w:line="360" w:lineRule="auto"/>
              <w:ind w:firstLine="600" w:firstLineChars="250"/>
              <w:rPr>
                <w:rFonts w:ascii="宋体" w:hAnsi="宋体"/>
                <w:kern w:val="2"/>
                <w:sz w:val="24"/>
              </w:rPr>
            </w:pPr>
            <w:r>
              <w:rPr>
                <w:rFonts w:hint="eastAsia" w:ascii="宋体" w:hAnsi="宋体"/>
                <w:kern w:val="2"/>
                <w:sz w:val="24"/>
              </w:rPr>
              <w:t>响应文件（正本、副本）</w:t>
            </w:r>
            <w:r>
              <w:rPr>
                <w:rFonts w:hint="eastAsia" w:ascii="宋体" w:hAnsi="宋体" w:cs="宋体"/>
                <w:sz w:val="24"/>
              </w:rPr>
              <w:t>应按照响应文件组成的顺序分别胶装成册，并在首页编制“响应文件目录”，响应文件建议双面打印，每页均应标注页码，装订应牢固、不易拆散和换页</w:t>
            </w:r>
            <w:r>
              <w:rPr>
                <w:rFonts w:hint="eastAsia" w:ascii="宋体" w:hAnsi="宋体" w:cs="TimesNewRomanPSMT"/>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29" w:hRule="atLeast"/>
          <w:jc w:val="center"/>
        </w:trPr>
        <w:tc>
          <w:tcPr>
            <w:tcW w:w="646" w:type="dxa"/>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7</w:t>
            </w:r>
          </w:p>
        </w:tc>
        <w:tc>
          <w:tcPr>
            <w:tcW w:w="8325" w:type="dxa"/>
            <w:vAlign w:val="center"/>
          </w:tcPr>
          <w:p>
            <w:pPr>
              <w:spacing w:line="360" w:lineRule="auto"/>
              <w:ind w:firstLine="525" w:firstLineChars="218"/>
              <w:rPr>
                <w:rFonts w:ascii="宋体" w:hAnsi="宋体"/>
                <w:b/>
                <w:sz w:val="24"/>
              </w:rPr>
            </w:pPr>
            <w:r>
              <w:rPr>
                <w:rFonts w:hint="eastAsia" w:ascii="宋体" w:hAnsi="宋体"/>
                <w:b/>
                <w:sz w:val="24"/>
                <w:lang w:val="zh-CN"/>
              </w:rPr>
              <w:t>本项目不收取磋商保证金。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74" w:hRule="atLeast"/>
          <w:jc w:val="center"/>
        </w:trPr>
        <w:tc>
          <w:tcPr>
            <w:tcW w:w="646" w:type="dxa"/>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8</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★报价有效期：自提交响应文件的截止之日起</w:t>
            </w:r>
            <w:r>
              <w:rPr>
                <w:rFonts w:hint="eastAsia" w:ascii="宋体" w:hAnsi="宋体"/>
                <w:sz w:val="24"/>
                <w:u w:val="single"/>
              </w:rPr>
              <w:t>90</w:t>
            </w:r>
            <w:r>
              <w:rPr>
                <w:rFonts w:hint="eastAsia" w:ascii="宋体" w:hAnsi="宋体"/>
                <w:sz w:val="24"/>
              </w:rPr>
              <w:t>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90" w:hRule="atLeast"/>
          <w:jc w:val="center"/>
        </w:trPr>
        <w:tc>
          <w:tcPr>
            <w:tcW w:w="646" w:type="dxa"/>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9</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响应文件递交截止时间：详见竞争性磋商公告。</w:t>
            </w:r>
          </w:p>
          <w:p>
            <w:pPr>
              <w:spacing w:line="360" w:lineRule="auto"/>
              <w:ind w:firstLine="523" w:firstLineChars="218"/>
              <w:rPr>
                <w:rFonts w:ascii="宋体" w:hAnsi="宋体"/>
                <w:sz w:val="24"/>
              </w:rPr>
            </w:pPr>
            <w:r>
              <w:rPr>
                <w:rFonts w:hint="eastAsia" w:ascii="宋体" w:hAnsi="宋体"/>
                <w:sz w:val="24"/>
              </w:rPr>
              <w:t>响应文件递交地点：详见竞争性磋商公告。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79" w:hRule="atLeast"/>
          <w:jc w:val="center"/>
        </w:trPr>
        <w:tc>
          <w:tcPr>
            <w:tcW w:w="646" w:type="dxa"/>
            <w:vAlign w:val="center"/>
          </w:tcPr>
          <w:p>
            <w:pPr>
              <w:spacing w:line="360" w:lineRule="auto"/>
              <w:jc w:val="center"/>
              <w:rPr>
                <w:rFonts w:ascii="宋体" w:hAnsi="宋体"/>
                <w:sz w:val="24"/>
              </w:rPr>
            </w:pPr>
            <w:r>
              <w:rPr>
                <w:rFonts w:hint="eastAsia" w:ascii="宋体" w:hAnsi="宋体"/>
                <w:sz w:val="24"/>
              </w:rPr>
              <w:t>20</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磋商会议仪式时间：同响应文件递交截止时间。</w:t>
            </w:r>
          </w:p>
          <w:p>
            <w:pPr>
              <w:spacing w:line="360" w:lineRule="auto"/>
              <w:ind w:firstLine="523" w:firstLineChars="218"/>
              <w:rPr>
                <w:rFonts w:ascii="宋体" w:hAnsi="宋体"/>
                <w:sz w:val="24"/>
              </w:rPr>
            </w:pPr>
            <w:r>
              <w:rPr>
                <w:rFonts w:hint="eastAsia" w:ascii="宋体" w:hAnsi="宋体"/>
                <w:sz w:val="24"/>
              </w:rPr>
              <w:t>磋商会议地点：同响应文件递交地点。</w:t>
            </w:r>
          </w:p>
          <w:p>
            <w:pPr>
              <w:spacing w:line="360" w:lineRule="auto"/>
              <w:ind w:firstLine="523" w:firstLineChars="218"/>
              <w:rPr>
                <w:rFonts w:ascii="宋体" w:hAnsi="宋体"/>
                <w:sz w:val="24"/>
              </w:rPr>
            </w:pPr>
            <w:r>
              <w:rPr>
                <w:rFonts w:hint="eastAsia" w:ascii="宋体" w:hAnsi="宋体"/>
                <w:sz w:val="24"/>
              </w:rPr>
              <w:t>是否公开响应文件报价（首轮报价）等主要内容:公开。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719" w:hRule="atLeast"/>
          <w:jc w:val="center"/>
        </w:trPr>
        <w:tc>
          <w:tcPr>
            <w:tcW w:w="646" w:type="dxa"/>
            <w:vAlign w:val="center"/>
          </w:tcPr>
          <w:p>
            <w:pPr>
              <w:spacing w:line="360" w:lineRule="auto"/>
              <w:jc w:val="center"/>
              <w:rPr>
                <w:rFonts w:ascii="宋体" w:hAnsi="宋体"/>
                <w:sz w:val="24"/>
              </w:rPr>
            </w:pPr>
            <w:r>
              <w:rPr>
                <w:rFonts w:hint="eastAsia" w:ascii="宋体" w:hAnsi="宋体"/>
                <w:sz w:val="24"/>
              </w:rPr>
              <w:t>21</w:t>
            </w:r>
          </w:p>
        </w:tc>
        <w:tc>
          <w:tcPr>
            <w:tcW w:w="8325" w:type="dxa"/>
            <w:vAlign w:val="center"/>
          </w:tcPr>
          <w:p>
            <w:pPr>
              <w:spacing w:line="360" w:lineRule="auto"/>
              <w:ind w:firstLine="523" w:firstLineChars="218"/>
              <w:jc w:val="left"/>
              <w:rPr>
                <w:rFonts w:ascii="宋体" w:hAnsi="宋体" w:cs="宋体"/>
                <w:snapToGrid w:val="0"/>
                <w:kern w:val="0"/>
                <w:sz w:val="24"/>
                <w:highlight w:val="none"/>
              </w:rPr>
            </w:pPr>
            <w:r>
              <w:rPr>
                <w:rFonts w:hint="eastAsia" w:ascii="宋体" w:hAnsi="宋体" w:cs="宋体"/>
                <w:snapToGrid w:val="0"/>
                <w:kern w:val="0"/>
                <w:sz w:val="24"/>
                <w:highlight w:val="none"/>
              </w:rPr>
              <w:t>财务状况年份要求：2021年；</w:t>
            </w:r>
          </w:p>
          <w:p>
            <w:pPr>
              <w:spacing w:after="120"/>
              <w:ind w:firstLine="480" w:firstLineChars="200"/>
              <w:jc w:val="left"/>
              <w:rPr>
                <w:snapToGrid w:val="0"/>
                <w:kern w:val="0"/>
                <w:sz w:val="24"/>
                <w:highlight w:val="none"/>
              </w:rPr>
            </w:pPr>
            <w:r>
              <w:rPr>
                <w:rFonts w:hint="eastAsia"/>
                <w:snapToGrid w:val="0"/>
                <w:kern w:val="0"/>
                <w:sz w:val="24"/>
                <w:highlight w:val="none"/>
              </w:rPr>
              <w:t>近年:2019年7月1日至今；</w:t>
            </w:r>
          </w:p>
          <w:p>
            <w:pPr>
              <w:spacing w:line="360" w:lineRule="auto"/>
              <w:ind w:firstLine="523" w:firstLineChars="218"/>
              <w:rPr>
                <w:rFonts w:ascii="宋体" w:hAnsi="宋体"/>
                <w:sz w:val="24"/>
                <w:highlight w:val="none"/>
              </w:rPr>
            </w:pPr>
            <w:r>
              <w:rPr>
                <w:rFonts w:hint="eastAsia" w:ascii="宋体" w:hAnsi="宋体" w:cs="宋体"/>
                <w:snapToGrid w:val="0"/>
                <w:sz w:val="24"/>
                <w:highlight w:val="none"/>
              </w:rPr>
              <w:t>如成立时间较短的响应人，可提供成立至今的相关证明材料。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646" w:type="dxa"/>
            <w:vAlign w:val="center"/>
          </w:tcPr>
          <w:p>
            <w:pPr>
              <w:spacing w:line="360" w:lineRule="auto"/>
              <w:jc w:val="center"/>
              <w:rPr>
                <w:rFonts w:ascii="宋体" w:hAnsi="宋体"/>
                <w:sz w:val="24"/>
              </w:rPr>
            </w:pPr>
            <w:r>
              <w:rPr>
                <w:rFonts w:hint="eastAsia" w:ascii="宋体" w:hAnsi="宋体"/>
                <w:sz w:val="24"/>
              </w:rPr>
              <w:t>22</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用于评分的证明材料：</w:t>
            </w:r>
          </w:p>
          <w:p>
            <w:pPr>
              <w:spacing w:line="360" w:lineRule="auto"/>
              <w:ind w:firstLine="523" w:firstLineChars="218"/>
              <w:rPr>
                <w:rFonts w:ascii="宋体" w:hAnsi="宋体" w:cs="宋体"/>
                <w:snapToGrid w:val="0"/>
                <w:sz w:val="24"/>
              </w:rPr>
            </w:pPr>
            <w:r>
              <w:rPr>
                <w:rFonts w:hint="eastAsia" w:ascii="宋体" w:hAnsi="宋体"/>
                <w:sz w:val="24"/>
              </w:rPr>
              <w:t>响应文件中提供评分办法涉及的业绩合同、信誉或荣誉证书、获奖证书等证明材料</w:t>
            </w:r>
            <w:r>
              <w:rPr>
                <w:rFonts w:hint="eastAsia" w:ascii="宋体" w:hAnsi="宋体" w:cs="宋体"/>
                <w:sz w:val="24"/>
              </w:rPr>
              <w:t>（详见评分办法）</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29" w:hRule="atLeast"/>
          <w:jc w:val="center"/>
        </w:trPr>
        <w:tc>
          <w:tcPr>
            <w:tcW w:w="646" w:type="dxa"/>
            <w:vAlign w:val="center"/>
          </w:tcPr>
          <w:p>
            <w:pPr>
              <w:spacing w:line="360" w:lineRule="auto"/>
              <w:jc w:val="center"/>
              <w:rPr>
                <w:rFonts w:ascii="宋体" w:hAnsi="宋体"/>
                <w:bCs/>
                <w:sz w:val="24"/>
              </w:rPr>
            </w:pPr>
            <w:r>
              <w:rPr>
                <w:rFonts w:hint="eastAsia" w:ascii="宋体" w:hAnsi="宋体"/>
                <w:bCs/>
                <w:sz w:val="24"/>
              </w:rPr>
              <w:t>23</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磋商小组组成：采购人将根据本项目的特点组建磋商小组，其成员由有关评审专家和采购人代表等3人或以上单数组成，其中评审专家不得少于成员总数的三分之二。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545" w:hRule="atLeast"/>
          <w:jc w:val="center"/>
        </w:trPr>
        <w:tc>
          <w:tcPr>
            <w:tcW w:w="646" w:type="dxa"/>
            <w:vAlign w:val="center"/>
          </w:tcPr>
          <w:p>
            <w:pPr>
              <w:spacing w:line="360" w:lineRule="auto"/>
              <w:jc w:val="center"/>
              <w:rPr>
                <w:rFonts w:ascii="宋体" w:hAnsi="宋体"/>
                <w:bCs/>
                <w:sz w:val="24"/>
              </w:rPr>
            </w:pPr>
            <w:r>
              <w:rPr>
                <w:rFonts w:ascii="宋体" w:hAnsi="宋体"/>
                <w:bCs/>
                <w:sz w:val="24"/>
              </w:rPr>
              <w:t>2</w:t>
            </w:r>
            <w:r>
              <w:rPr>
                <w:rFonts w:hint="eastAsia" w:ascii="宋体" w:hAnsi="宋体"/>
                <w:bCs/>
                <w:sz w:val="24"/>
              </w:rPr>
              <w:t>4</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评审方法：本次评审采用综合评分法，磋商小组成员根据第三章“评分办法”进行打分，按照得分由高到低顺序对各响应人进行排序，提出书面评审报告，推荐成交候选响应人。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028" w:hRule="atLeast"/>
          <w:jc w:val="center"/>
        </w:trPr>
        <w:tc>
          <w:tcPr>
            <w:tcW w:w="646" w:type="dxa"/>
            <w:vAlign w:val="center"/>
          </w:tcPr>
          <w:p>
            <w:pPr>
              <w:spacing w:line="360" w:lineRule="auto"/>
              <w:jc w:val="center"/>
              <w:rPr>
                <w:rFonts w:ascii="宋体" w:hAnsi="宋体"/>
                <w:bCs/>
                <w:sz w:val="24"/>
              </w:rPr>
            </w:pPr>
            <w:r>
              <w:rPr>
                <w:rFonts w:hint="eastAsia" w:ascii="宋体" w:hAnsi="宋体"/>
                <w:bCs/>
                <w:sz w:val="24"/>
              </w:rPr>
              <w:t>25</w:t>
            </w:r>
          </w:p>
        </w:tc>
        <w:tc>
          <w:tcPr>
            <w:tcW w:w="8325" w:type="dxa"/>
            <w:vAlign w:val="center"/>
          </w:tcPr>
          <w:p>
            <w:pPr>
              <w:spacing w:line="360" w:lineRule="auto"/>
              <w:ind w:firstLine="523" w:firstLineChars="218"/>
              <w:rPr>
                <w:rFonts w:ascii="宋体" w:hAnsi="宋体"/>
                <w:sz w:val="24"/>
              </w:rPr>
            </w:pPr>
            <w:r>
              <w:rPr>
                <w:rFonts w:hint="eastAsia" w:ascii="宋体" w:hAnsi="宋体" w:cs="宋体"/>
                <w:sz w:val="24"/>
              </w:rPr>
              <w:t>是否授权磋商小组确定成交人：是，磋商小组推荐3名成交候选人，并按照采购人授权确定1名成交人。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03" w:hRule="atLeast"/>
          <w:jc w:val="center"/>
        </w:trPr>
        <w:tc>
          <w:tcPr>
            <w:tcW w:w="646" w:type="dxa"/>
            <w:vAlign w:val="center"/>
          </w:tcPr>
          <w:p>
            <w:pPr>
              <w:spacing w:line="360" w:lineRule="auto"/>
              <w:jc w:val="center"/>
              <w:rPr>
                <w:rFonts w:ascii="宋体" w:hAnsi="宋体"/>
                <w:sz w:val="24"/>
              </w:rPr>
            </w:pPr>
            <w:r>
              <w:rPr>
                <w:rFonts w:ascii="宋体" w:hAnsi="宋体"/>
                <w:sz w:val="24"/>
              </w:rPr>
              <w:t>2</w:t>
            </w:r>
            <w:r>
              <w:rPr>
                <w:rFonts w:hint="eastAsia" w:ascii="宋体" w:hAnsi="宋体"/>
                <w:sz w:val="24"/>
              </w:rPr>
              <w:t>6</w:t>
            </w:r>
          </w:p>
        </w:tc>
        <w:tc>
          <w:tcPr>
            <w:tcW w:w="8325" w:type="dxa"/>
            <w:vAlign w:val="center"/>
          </w:tcPr>
          <w:p>
            <w:pPr>
              <w:spacing w:line="360" w:lineRule="auto"/>
              <w:ind w:firstLine="523" w:firstLineChars="218"/>
              <w:rPr>
                <w:rFonts w:ascii="宋体" w:hAnsi="宋体"/>
                <w:sz w:val="24"/>
                <w:lang w:val="zh-CN"/>
              </w:rPr>
            </w:pPr>
            <w:r>
              <w:rPr>
                <w:rFonts w:hint="eastAsia" w:ascii="宋体" w:hAnsi="宋体"/>
                <w:sz w:val="24"/>
                <w:lang w:val="zh-CN"/>
              </w:rPr>
              <w:t>成交服务费：</w:t>
            </w:r>
          </w:p>
          <w:p>
            <w:pPr>
              <w:spacing w:line="360" w:lineRule="auto"/>
              <w:ind w:firstLine="523" w:firstLineChars="218"/>
              <w:rPr>
                <w:rFonts w:ascii="宋体" w:hAnsi="宋体"/>
                <w:sz w:val="24"/>
              </w:rPr>
            </w:pPr>
            <w:r>
              <w:rPr>
                <w:rFonts w:hint="eastAsia" w:ascii="宋体" w:hAnsi="宋体"/>
                <w:sz w:val="24"/>
                <w:lang w:val="zh-CN"/>
              </w:rPr>
              <w:t>成交</w:t>
            </w:r>
            <w:r>
              <w:rPr>
                <w:rFonts w:hint="eastAsia" w:ascii="宋体" w:hAnsi="宋体"/>
                <w:sz w:val="24"/>
              </w:rPr>
              <w:t>人</w:t>
            </w:r>
            <w:r>
              <w:rPr>
                <w:rFonts w:hint="eastAsia" w:ascii="宋体" w:hAnsi="宋体"/>
                <w:sz w:val="24"/>
                <w:lang w:val="zh-CN"/>
              </w:rPr>
              <w:t>支付，成交</w:t>
            </w:r>
            <w:r>
              <w:rPr>
                <w:rFonts w:hint="eastAsia" w:ascii="宋体" w:hAnsi="宋体"/>
                <w:sz w:val="24"/>
              </w:rPr>
              <w:t>人</w:t>
            </w:r>
            <w:r>
              <w:rPr>
                <w:rFonts w:hint="eastAsia" w:ascii="宋体" w:hAnsi="宋体"/>
                <w:sz w:val="24"/>
                <w:lang w:val="zh-CN"/>
              </w:rPr>
              <w:t>参照《国家发展改革委办公厅关于招标代理服务收费有关问题的通知》（发改办价格[2003]857号）、国家计划员会《招标代理服务收费管理暂行办法》（计价格[2002]1980号）文件规定的“</w:t>
            </w:r>
            <w:r>
              <w:rPr>
                <w:rFonts w:hint="eastAsia" w:ascii="宋体" w:hAnsi="宋体"/>
                <w:sz w:val="24"/>
              </w:rPr>
              <w:t>服务</w:t>
            </w:r>
            <w:r>
              <w:rPr>
                <w:rFonts w:hint="eastAsia" w:ascii="宋体" w:hAnsi="宋体"/>
                <w:sz w:val="24"/>
                <w:lang w:val="zh-CN"/>
              </w:rPr>
              <w:t>类”收费标准下浮40%向代理机构交纳。招标代理服务费采用差额定率累进计费方式。注：采购代理服务费收费不足</w:t>
            </w:r>
            <w:r>
              <w:rPr>
                <w:rFonts w:hint="eastAsia" w:ascii="宋体" w:hAnsi="宋体"/>
                <w:sz w:val="24"/>
              </w:rPr>
              <w:t>3000</w:t>
            </w:r>
            <w:r>
              <w:rPr>
                <w:rFonts w:hint="eastAsia" w:ascii="宋体" w:hAnsi="宋体"/>
                <w:sz w:val="24"/>
                <w:lang w:val="zh-CN"/>
              </w:rPr>
              <w:t>元的按照</w:t>
            </w:r>
            <w:r>
              <w:rPr>
                <w:rFonts w:hint="eastAsia" w:ascii="宋体" w:hAnsi="宋体"/>
                <w:sz w:val="24"/>
              </w:rPr>
              <w:t>3</w:t>
            </w:r>
            <w:r>
              <w:rPr>
                <w:rFonts w:hint="eastAsia" w:ascii="宋体" w:hAnsi="宋体"/>
                <w:sz w:val="24"/>
                <w:lang w:val="zh-CN"/>
              </w:rPr>
              <w:t>000元收取。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8971" w:type="dxa"/>
            <w:gridSpan w:val="2"/>
            <w:vAlign w:val="center"/>
          </w:tcPr>
          <w:p>
            <w:pPr>
              <w:spacing w:line="360" w:lineRule="auto"/>
              <w:jc w:val="center"/>
              <w:rPr>
                <w:rFonts w:ascii="宋体" w:hAnsi="宋体"/>
                <w:b/>
                <w:sz w:val="24"/>
              </w:rPr>
            </w:pPr>
            <w:r>
              <w:rPr>
                <w:rFonts w:hint="eastAsia" w:ascii="宋体" w:hAnsi="宋体"/>
                <w:b/>
                <w:sz w:val="24"/>
              </w:rPr>
              <w:t>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29" w:hRule="atLeast"/>
          <w:jc w:val="center"/>
        </w:trPr>
        <w:tc>
          <w:tcPr>
            <w:tcW w:w="646" w:type="dxa"/>
            <w:vAlign w:val="center"/>
          </w:tcPr>
          <w:p>
            <w:pPr>
              <w:spacing w:line="360" w:lineRule="auto"/>
              <w:jc w:val="center"/>
              <w:rPr>
                <w:rFonts w:ascii="宋体" w:hAnsi="宋体"/>
                <w:sz w:val="24"/>
              </w:rPr>
            </w:pPr>
            <w:r>
              <w:rPr>
                <w:rFonts w:ascii="宋体" w:hAnsi="宋体"/>
                <w:sz w:val="24"/>
              </w:rPr>
              <w:t>2</w:t>
            </w:r>
            <w:r>
              <w:rPr>
                <w:rFonts w:hint="eastAsia" w:ascii="宋体" w:hAnsi="宋体"/>
                <w:sz w:val="24"/>
              </w:rPr>
              <w:t>7</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服务期：服务期三年，采用1+1+1形式，一年一签合同。合同期第一年工作完成良好，可续签一年，如工作完成情况不好，采购人可随时终止服务合同。采购人每年对成交人合同履行情况进行质量、价格、服务等考核，并根据考核结果决定是否继续履行服务期限，如考核中不达标，不再续签合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79" w:hRule="atLeast"/>
          <w:jc w:val="center"/>
        </w:trPr>
        <w:tc>
          <w:tcPr>
            <w:tcW w:w="646" w:type="dxa"/>
            <w:tcBorders>
              <w:right w:val="single" w:color="auto" w:sz="4" w:space="0"/>
            </w:tcBorders>
            <w:vAlign w:val="center"/>
          </w:tcPr>
          <w:p>
            <w:pPr>
              <w:spacing w:line="360" w:lineRule="auto"/>
              <w:jc w:val="center"/>
              <w:rPr>
                <w:rFonts w:ascii="宋体" w:hAnsi="宋体"/>
                <w:sz w:val="24"/>
              </w:rPr>
            </w:pPr>
            <w:r>
              <w:rPr>
                <w:rFonts w:ascii="宋体" w:hAnsi="宋体"/>
                <w:sz w:val="24"/>
              </w:rPr>
              <w:t>2</w:t>
            </w:r>
            <w:r>
              <w:rPr>
                <w:rFonts w:hint="eastAsia" w:ascii="宋体" w:hAnsi="宋体"/>
                <w:sz w:val="24"/>
              </w:rPr>
              <w:t>8</w:t>
            </w:r>
          </w:p>
        </w:tc>
        <w:tc>
          <w:tcPr>
            <w:tcW w:w="8325" w:type="dxa"/>
            <w:tcBorders>
              <w:left w:val="single" w:color="auto" w:sz="4" w:space="0"/>
            </w:tcBorders>
            <w:vAlign w:val="center"/>
          </w:tcPr>
          <w:p>
            <w:pPr>
              <w:spacing w:line="360" w:lineRule="auto"/>
              <w:ind w:firstLine="523" w:firstLineChars="218"/>
              <w:rPr>
                <w:rFonts w:ascii="宋体" w:hAnsi="宋体"/>
                <w:sz w:val="24"/>
                <w:highlight w:val="none"/>
              </w:rPr>
            </w:pPr>
            <w:r>
              <w:rPr>
                <w:rFonts w:hint="eastAsia" w:ascii="宋体" w:hAnsi="宋体"/>
                <w:sz w:val="24"/>
                <w:highlight w:val="none"/>
              </w:rPr>
              <w:t>付款方式：</w:t>
            </w:r>
          </w:p>
          <w:p>
            <w:pPr>
              <w:spacing w:line="360" w:lineRule="auto"/>
              <w:ind w:firstLine="523" w:firstLineChars="218"/>
              <w:rPr>
                <w:rFonts w:ascii="宋体" w:hAnsi="宋体"/>
                <w:sz w:val="24"/>
                <w:highlight w:val="none"/>
              </w:rPr>
            </w:pPr>
            <w:r>
              <w:rPr>
                <w:rFonts w:hint="eastAsia" w:ascii="宋体" w:hAnsi="宋体"/>
                <w:sz w:val="24"/>
                <w:highlight w:val="none"/>
              </w:rPr>
              <w:t>参照《山东省关于继续执行新增建设工程造价咨询服务收费标准的通知》鲁价费发〔2007〕205号文件，报价不得高于文件规定标准。结算咨询费按照项目审定</w:t>
            </w:r>
            <w:r>
              <w:rPr>
                <w:rFonts w:hint="eastAsia" w:ascii="宋体" w:hAnsi="宋体"/>
                <w:sz w:val="24"/>
                <w:highlight w:val="none"/>
                <w:lang w:eastAsia="zh-CN"/>
              </w:rPr>
              <w:t>后的结算金额</w:t>
            </w:r>
            <w:r>
              <w:rPr>
                <w:rFonts w:hint="eastAsia" w:ascii="宋体" w:hAnsi="宋体"/>
                <w:sz w:val="24"/>
                <w:highlight w:val="none"/>
              </w:rPr>
              <w:t>乘以中标的费率据实结算，一年结算一次。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97" w:hRule="atLeast"/>
          <w:jc w:val="center"/>
        </w:trPr>
        <w:tc>
          <w:tcPr>
            <w:tcW w:w="646" w:type="dxa"/>
            <w:tcBorders>
              <w:right w:val="single" w:color="auto" w:sz="4" w:space="0"/>
            </w:tcBorders>
            <w:vAlign w:val="center"/>
          </w:tcPr>
          <w:p>
            <w:pPr>
              <w:spacing w:line="360" w:lineRule="auto"/>
              <w:jc w:val="center"/>
              <w:rPr>
                <w:rFonts w:ascii="宋体" w:hAnsi="宋体"/>
                <w:sz w:val="24"/>
              </w:rPr>
            </w:pPr>
            <w:r>
              <w:rPr>
                <w:rFonts w:ascii="宋体" w:hAnsi="宋体"/>
                <w:sz w:val="24"/>
              </w:rPr>
              <w:t>2</w:t>
            </w:r>
            <w:r>
              <w:rPr>
                <w:rFonts w:hint="eastAsia" w:ascii="宋体" w:hAnsi="宋体"/>
                <w:sz w:val="24"/>
              </w:rPr>
              <w:t>9</w:t>
            </w:r>
          </w:p>
        </w:tc>
        <w:tc>
          <w:tcPr>
            <w:tcW w:w="8325" w:type="dxa"/>
            <w:tcBorders>
              <w:left w:val="single" w:color="auto" w:sz="4" w:space="0"/>
            </w:tcBorders>
            <w:vAlign w:val="center"/>
          </w:tcPr>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本项目不需缴纳履约担保。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97" w:hRule="atLeast"/>
          <w:jc w:val="center"/>
        </w:trPr>
        <w:tc>
          <w:tcPr>
            <w:tcW w:w="646" w:type="dxa"/>
            <w:tcBorders>
              <w:right w:val="single" w:color="auto" w:sz="4" w:space="0"/>
            </w:tcBorders>
            <w:vAlign w:val="center"/>
          </w:tcPr>
          <w:p>
            <w:pPr>
              <w:spacing w:line="360" w:lineRule="auto"/>
              <w:jc w:val="center"/>
              <w:rPr>
                <w:rFonts w:ascii="宋体" w:hAnsi="宋体"/>
                <w:sz w:val="24"/>
              </w:rPr>
            </w:pPr>
            <w:r>
              <w:rPr>
                <w:rFonts w:hint="eastAsia" w:ascii="宋体" w:hAnsi="宋体"/>
                <w:sz w:val="24"/>
              </w:rPr>
              <w:t>30</w:t>
            </w:r>
          </w:p>
        </w:tc>
        <w:tc>
          <w:tcPr>
            <w:tcW w:w="8325" w:type="dxa"/>
            <w:tcBorders>
              <w:left w:val="single" w:color="auto" w:sz="4" w:space="0"/>
            </w:tcBorders>
            <w:vAlign w:val="center"/>
          </w:tcPr>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采购标的对应的中小企业划分标准所属行业:</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其他未列明行业，具体划分标准详见本章附表2。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97" w:hRule="atLeast"/>
          <w:jc w:val="center"/>
        </w:trPr>
        <w:tc>
          <w:tcPr>
            <w:tcW w:w="646" w:type="dxa"/>
            <w:tcBorders>
              <w:right w:val="single" w:color="auto" w:sz="4" w:space="0"/>
            </w:tcBorders>
            <w:vAlign w:val="center"/>
          </w:tcPr>
          <w:p>
            <w:pPr>
              <w:spacing w:line="360" w:lineRule="auto"/>
              <w:jc w:val="center"/>
              <w:rPr>
                <w:rFonts w:ascii="宋体" w:hAnsi="宋体"/>
                <w:sz w:val="24"/>
              </w:rPr>
            </w:pPr>
            <w:r>
              <w:rPr>
                <w:rFonts w:hint="eastAsia" w:ascii="宋体" w:hAnsi="宋体"/>
                <w:sz w:val="24"/>
              </w:rPr>
              <w:t>31</w:t>
            </w:r>
          </w:p>
        </w:tc>
        <w:tc>
          <w:tcPr>
            <w:tcW w:w="8325" w:type="dxa"/>
            <w:tcBorders>
              <w:left w:val="single" w:color="auto" w:sz="4" w:space="0"/>
            </w:tcBorders>
            <w:vAlign w:val="center"/>
          </w:tcPr>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1）磋商文件各章节中，有加粗的文字，表示是重要的内容，应引起响应人的注意。</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2）采购人认为具备相关条件的，将在签订合同时对中小企业在资金支付期限、预付款比例等方面提供明确的优惠措施。</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本文件中涉及的“单位公章”、“单位章”、“公章”“盖章”处均指与响应人名称全称相一致的标准公章，不得使用其他形式（如带有“专用章”、“合同章”、“财务章”、“业务章”等字样）的印章；如响应人为自然人，上述关于印章的约定均指参与项目的该自然人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16" w:hRule="atLeast"/>
          <w:jc w:val="center"/>
        </w:trPr>
        <w:tc>
          <w:tcPr>
            <w:tcW w:w="646" w:type="dxa"/>
            <w:tcBorders>
              <w:right w:val="single" w:color="auto" w:sz="4" w:space="0"/>
            </w:tcBorders>
            <w:vAlign w:val="center"/>
          </w:tcPr>
          <w:p>
            <w:pPr>
              <w:spacing w:line="360" w:lineRule="auto"/>
              <w:jc w:val="center"/>
              <w:rPr>
                <w:rFonts w:ascii="宋体" w:hAnsi="宋体"/>
                <w:sz w:val="24"/>
              </w:rPr>
            </w:pPr>
            <w:r>
              <w:rPr>
                <w:rFonts w:hint="eastAsia" w:ascii="宋体" w:hAnsi="宋体"/>
                <w:sz w:val="24"/>
              </w:rPr>
              <w:t>32</w:t>
            </w:r>
          </w:p>
        </w:tc>
        <w:tc>
          <w:tcPr>
            <w:tcW w:w="8325" w:type="dxa"/>
            <w:tcBorders>
              <w:left w:val="single" w:color="auto" w:sz="4" w:space="0"/>
            </w:tcBorders>
            <w:vAlign w:val="center"/>
          </w:tcPr>
          <w:p>
            <w:pPr>
              <w:adjustRightInd w:val="0"/>
              <w:snapToGrid w:val="0"/>
              <w:spacing w:line="360" w:lineRule="auto"/>
              <w:ind w:firstLine="482" w:firstLineChars="200"/>
              <w:jc w:val="left"/>
              <w:rPr>
                <w:rFonts w:ascii="宋体" w:hAnsi="宋体" w:cs="宋体"/>
                <w:kern w:val="0"/>
                <w:sz w:val="24"/>
              </w:rPr>
            </w:pPr>
            <w:r>
              <w:rPr>
                <w:rFonts w:hint="eastAsia" w:ascii="宋体" w:hAnsi="宋体" w:cs="宋体"/>
                <w:b/>
                <w:bCs/>
                <w:kern w:val="0"/>
                <w:sz w:val="24"/>
              </w:rPr>
              <w:t>响应人应派熟知本项目的人员出席磋商会议，在评审过程中磋商小组可能会要求响应人代表进行澄清、说明或补正。</w:t>
            </w:r>
          </w:p>
        </w:tc>
      </w:tr>
    </w:tbl>
    <w:p>
      <w:pPr>
        <w:spacing w:line="360" w:lineRule="auto"/>
        <w:rPr>
          <w:rFonts w:ascii="宋体" w:hAnsi="宋体"/>
          <w:sz w:val="24"/>
        </w:rPr>
      </w:pPr>
      <w:r>
        <w:rPr>
          <w:rFonts w:ascii="宋体" w:hAnsi="宋体"/>
          <w:sz w:val="24"/>
        </w:rPr>
        <w:br w:type="page"/>
      </w:r>
      <w:r>
        <w:rPr>
          <w:rFonts w:ascii="宋体" w:hAnsi="宋体"/>
          <w:sz w:val="24"/>
        </w:rPr>
        <w:t>附表</w:t>
      </w:r>
      <w:r>
        <w:rPr>
          <w:rFonts w:hint="eastAsia" w:ascii="宋体" w:hAnsi="宋体"/>
          <w:sz w:val="24"/>
        </w:rPr>
        <w:t>1：</w:t>
      </w:r>
    </w:p>
    <w:p>
      <w:pPr>
        <w:spacing w:line="360" w:lineRule="auto"/>
        <w:jc w:val="center"/>
        <w:rPr>
          <w:rFonts w:ascii="宋体" w:hAnsi="宋体"/>
          <w:sz w:val="24"/>
        </w:rPr>
      </w:pPr>
      <w:r>
        <w:rPr>
          <w:rFonts w:hint="eastAsia" w:ascii="宋体" w:hAnsi="宋体"/>
          <w:sz w:val="24"/>
        </w:rPr>
        <w:t>采购代理服务费收费标准</w:t>
      </w:r>
    </w:p>
    <w:tbl>
      <w:tblPr>
        <w:tblStyle w:val="75"/>
        <w:tblW w:w="0" w:type="auto"/>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3"/>
        <w:gridCol w:w="1755"/>
        <w:gridCol w:w="2023"/>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3643" w:type="dxa"/>
            <w:tcBorders>
              <w:tl2br w:val="single" w:color="auto" w:sz="2" w:space="0"/>
            </w:tcBorders>
            <w:vAlign w:val="center"/>
          </w:tcPr>
          <w:p>
            <w:pPr>
              <w:widowControl/>
              <w:spacing w:line="360" w:lineRule="auto"/>
              <w:jc w:val="right"/>
              <w:rPr>
                <w:rFonts w:ascii="宋体" w:hAnsi="宋体" w:cs="楷体"/>
                <w:bCs/>
                <w:kern w:val="0"/>
                <w:sz w:val="24"/>
              </w:rPr>
            </w:pPr>
            <w:r>
              <w:rPr>
                <w:rFonts w:hint="eastAsia" w:ascii="宋体" w:hAnsi="宋体" w:cs="楷体"/>
                <w:bCs/>
                <w:kern w:val="0"/>
                <w:sz w:val="24"/>
              </w:rPr>
              <w:t>代理服务类型</w:t>
            </w:r>
          </w:p>
          <w:p>
            <w:pPr>
              <w:widowControl/>
              <w:spacing w:line="360" w:lineRule="auto"/>
              <w:jc w:val="left"/>
              <w:rPr>
                <w:rFonts w:ascii="宋体" w:hAnsi="宋体" w:cs="楷体"/>
                <w:bCs/>
                <w:kern w:val="0"/>
                <w:sz w:val="24"/>
              </w:rPr>
            </w:pPr>
            <w:r>
              <w:rPr>
                <w:rFonts w:hint="eastAsia" w:ascii="宋体" w:hAnsi="宋体" w:cs="楷体"/>
                <w:bCs/>
                <w:kern w:val="0"/>
                <w:sz w:val="24"/>
              </w:rPr>
              <w:t>中标（成交）</w:t>
            </w:r>
          </w:p>
          <w:p>
            <w:pPr>
              <w:widowControl/>
              <w:spacing w:line="360" w:lineRule="auto"/>
              <w:jc w:val="left"/>
              <w:rPr>
                <w:rFonts w:ascii="宋体" w:hAnsi="宋体" w:cs="楷体"/>
                <w:kern w:val="0"/>
                <w:sz w:val="24"/>
              </w:rPr>
            </w:pPr>
            <w:r>
              <w:rPr>
                <w:rFonts w:hint="eastAsia" w:ascii="宋体" w:hAnsi="宋体" w:cs="楷体"/>
                <w:bCs/>
                <w:kern w:val="0"/>
                <w:sz w:val="24"/>
              </w:rPr>
              <w:t>金额（万元）</w:t>
            </w:r>
          </w:p>
        </w:tc>
        <w:tc>
          <w:tcPr>
            <w:tcW w:w="1755" w:type="dxa"/>
            <w:vAlign w:val="center"/>
          </w:tcPr>
          <w:p>
            <w:pPr>
              <w:widowControl/>
              <w:spacing w:line="360" w:lineRule="auto"/>
              <w:jc w:val="center"/>
              <w:rPr>
                <w:rFonts w:ascii="宋体" w:hAnsi="宋体" w:cs="楷体"/>
                <w:kern w:val="0"/>
                <w:sz w:val="24"/>
              </w:rPr>
            </w:pPr>
            <w:r>
              <w:rPr>
                <w:rFonts w:hint="eastAsia" w:ascii="宋体" w:hAnsi="宋体" w:cs="楷体"/>
                <w:bCs/>
                <w:kern w:val="0"/>
                <w:sz w:val="24"/>
              </w:rPr>
              <w:t>货物采购</w:t>
            </w:r>
          </w:p>
        </w:tc>
        <w:tc>
          <w:tcPr>
            <w:tcW w:w="2023" w:type="dxa"/>
            <w:vAlign w:val="center"/>
          </w:tcPr>
          <w:p>
            <w:pPr>
              <w:widowControl/>
              <w:spacing w:line="360" w:lineRule="auto"/>
              <w:jc w:val="center"/>
              <w:rPr>
                <w:rFonts w:ascii="宋体" w:hAnsi="宋体" w:cs="楷体"/>
                <w:kern w:val="0"/>
                <w:sz w:val="24"/>
              </w:rPr>
            </w:pPr>
            <w:r>
              <w:rPr>
                <w:rFonts w:hint="eastAsia" w:ascii="宋体" w:hAnsi="宋体" w:cs="楷体"/>
                <w:bCs/>
                <w:kern w:val="0"/>
                <w:sz w:val="24"/>
              </w:rPr>
              <w:t>服务采购</w:t>
            </w:r>
          </w:p>
        </w:tc>
        <w:tc>
          <w:tcPr>
            <w:tcW w:w="1863" w:type="dxa"/>
            <w:vAlign w:val="center"/>
          </w:tcPr>
          <w:p>
            <w:pPr>
              <w:widowControl/>
              <w:spacing w:line="360" w:lineRule="auto"/>
              <w:jc w:val="center"/>
              <w:rPr>
                <w:rFonts w:ascii="宋体" w:hAnsi="宋体" w:cs="楷体"/>
                <w:kern w:val="0"/>
                <w:sz w:val="24"/>
              </w:rPr>
            </w:pPr>
            <w:r>
              <w:rPr>
                <w:rFonts w:hint="eastAsia" w:ascii="宋体" w:hAnsi="宋体" w:cs="楷体"/>
                <w:bCs/>
                <w:kern w:val="0"/>
                <w:sz w:val="24"/>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43" w:type="dxa"/>
            <w:vAlign w:val="center"/>
          </w:tcPr>
          <w:p>
            <w:pPr>
              <w:widowControl/>
              <w:jc w:val="left"/>
              <w:rPr>
                <w:rFonts w:ascii="宋体" w:hAnsi="宋体" w:cs="楷体"/>
                <w:kern w:val="0"/>
                <w:sz w:val="24"/>
              </w:rPr>
            </w:pPr>
            <w:r>
              <w:rPr>
                <w:rFonts w:hint="eastAsia" w:ascii="宋体" w:hAnsi="宋体" w:cs="楷体"/>
                <w:kern w:val="0"/>
                <w:sz w:val="24"/>
              </w:rPr>
              <w:t>100以下</w:t>
            </w:r>
          </w:p>
        </w:tc>
        <w:tc>
          <w:tcPr>
            <w:tcW w:w="1755" w:type="dxa"/>
            <w:vAlign w:val="center"/>
          </w:tcPr>
          <w:p>
            <w:pPr>
              <w:widowControl/>
              <w:jc w:val="center"/>
              <w:rPr>
                <w:rFonts w:ascii="宋体" w:hAnsi="宋体" w:cs="楷体"/>
                <w:kern w:val="0"/>
                <w:sz w:val="24"/>
              </w:rPr>
            </w:pPr>
            <w:r>
              <w:rPr>
                <w:rFonts w:hint="eastAsia" w:ascii="宋体" w:hAnsi="宋体" w:cs="楷体"/>
                <w:kern w:val="0"/>
                <w:sz w:val="24"/>
              </w:rPr>
              <w:t>1.5％</w:t>
            </w:r>
          </w:p>
        </w:tc>
        <w:tc>
          <w:tcPr>
            <w:tcW w:w="2023" w:type="dxa"/>
            <w:vAlign w:val="center"/>
          </w:tcPr>
          <w:p>
            <w:pPr>
              <w:widowControl/>
              <w:jc w:val="center"/>
              <w:rPr>
                <w:rFonts w:ascii="宋体" w:hAnsi="宋体" w:cs="楷体"/>
                <w:kern w:val="0"/>
                <w:sz w:val="24"/>
              </w:rPr>
            </w:pPr>
            <w:r>
              <w:rPr>
                <w:rFonts w:hint="eastAsia" w:ascii="宋体" w:hAnsi="宋体" w:cs="楷体"/>
                <w:kern w:val="0"/>
                <w:sz w:val="24"/>
              </w:rPr>
              <w:t>1.5％</w:t>
            </w:r>
          </w:p>
        </w:tc>
        <w:tc>
          <w:tcPr>
            <w:tcW w:w="1863" w:type="dxa"/>
            <w:vAlign w:val="center"/>
          </w:tcPr>
          <w:p>
            <w:pPr>
              <w:widowControl/>
              <w:jc w:val="center"/>
              <w:rPr>
                <w:rFonts w:ascii="宋体" w:hAnsi="宋体" w:cs="楷体"/>
                <w:kern w:val="0"/>
                <w:sz w:val="24"/>
              </w:rPr>
            </w:pPr>
            <w:r>
              <w:rPr>
                <w:rFonts w:hint="eastAsia" w:ascii="宋体" w:hAnsi="宋体" w:cs="楷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643" w:type="dxa"/>
            <w:vAlign w:val="center"/>
          </w:tcPr>
          <w:p>
            <w:pPr>
              <w:widowControl/>
              <w:jc w:val="left"/>
              <w:rPr>
                <w:rFonts w:ascii="宋体" w:hAnsi="宋体" w:cs="楷体"/>
                <w:kern w:val="0"/>
                <w:sz w:val="24"/>
              </w:rPr>
            </w:pPr>
            <w:r>
              <w:rPr>
                <w:rFonts w:hint="eastAsia" w:ascii="宋体" w:hAnsi="宋体" w:cs="楷体"/>
                <w:kern w:val="0"/>
                <w:sz w:val="24"/>
              </w:rPr>
              <w:t>100—500</w:t>
            </w:r>
          </w:p>
        </w:tc>
        <w:tc>
          <w:tcPr>
            <w:tcW w:w="1755" w:type="dxa"/>
            <w:vAlign w:val="center"/>
          </w:tcPr>
          <w:p>
            <w:pPr>
              <w:widowControl/>
              <w:jc w:val="center"/>
              <w:rPr>
                <w:rFonts w:ascii="宋体" w:hAnsi="宋体" w:cs="楷体"/>
                <w:kern w:val="0"/>
                <w:sz w:val="24"/>
              </w:rPr>
            </w:pPr>
            <w:r>
              <w:rPr>
                <w:rFonts w:hint="eastAsia" w:ascii="宋体" w:hAnsi="宋体" w:cs="楷体"/>
                <w:kern w:val="0"/>
                <w:sz w:val="24"/>
              </w:rPr>
              <w:t>1.1％</w:t>
            </w:r>
          </w:p>
        </w:tc>
        <w:tc>
          <w:tcPr>
            <w:tcW w:w="2023" w:type="dxa"/>
            <w:vAlign w:val="center"/>
          </w:tcPr>
          <w:p>
            <w:pPr>
              <w:widowControl/>
              <w:jc w:val="center"/>
              <w:rPr>
                <w:rFonts w:ascii="宋体" w:hAnsi="宋体" w:cs="楷体"/>
                <w:kern w:val="0"/>
                <w:sz w:val="24"/>
              </w:rPr>
            </w:pPr>
            <w:r>
              <w:rPr>
                <w:rFonts w:hint="eastAsia" w:ascii="宋体" w:hAnsi="宋体" w:cs="楷体"/>
                <w:kern w:val="0"/>
                <w:sz w:val="24"/>
              </w:rPr>
              <w:t>0.8％</w:t>
            </w:r>
          </w:p>
        </w:tc>
        <w:tc>
          <w:tcPr>
            <w:tcW w:w="1863" w:type="dxa"/>
            <w:vAlign w:val="center"/>
          </w:tcPr>
          <w:p>
            <w:pPr>
              <w:widowControl/>
              <w:jc w:val="center"/>
              <w:rPr>
                <w:rFonts w:ascii="宋体" w:hAnsi="宋体" w:cs="楷体"/>
                <w:kern w:val="0"/>
                <w:sz w:val="24"/>
              </w:rPr>
            </w:pPr>
            <w:r>
              <w:rPr>
                <w:rFonts w:hint="eastAsia" w:ascii="宋体" w:hAnsi="宋体" w:cs="楷体"/>
                <w:kern w:val="0"/>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643" w:type="dxa"/>
            <w:vAlign w:val="center"/>
          </w:tcPr>
          <w:p>
            <w:pPr>
              <w:widowControl/>
              <w:jc w:val="left"/>
              <w:rPr>
                <w:rFonts w:ascii="宋体" w:hAnsi="宋体" w:cs="楷体"/>
                <w:kern w:val="0"/>
                <w:sz w:val="24"/>
              </w:rPr>
            </w:pPr>
            <w:r>
              <w:rPr>
                <w:rFonts w:hint="eastAsia" w:ascii="宋体" w:hAnsi="宋体" w:cs="楷体"/>
                <w:kern w:val="0"/>
                <w:sz w:val="24"/>
              </w:rPr>
              <w:t>500—1000</w:t>
            </w:r>
          </w:p>
        </w:tc>
        <w:tc>
          <w:tcPr>
            <w:tcW w:w="1755" w:type="dxa"/>
            <w:vAlign w:val="center"/>
          </w:tcPr>
          <w:p>
            <w:pPr>
              <w:widowControl/>
              <w:jc w:val="center"/>
              <w:rPr>
                <w:rFonts w:ascii="宋体" w:hAnsi="宋体" w:cs="楷体"/>
                <w:kern w:val="0"/>
                <w:sz w:val="24"/>
              </w:rPr>
            </w:pPr>
            <w:r>
              <w:rPr>
                <w:rFonts w:hint="eastAsia" w:ascii="宋体" w:hAnsi="宋体" w:cs="楷体"/>
                <w:kern w:val="0"/>
                <w:sz w:val="24"/>
              </w:rPr>
              <w:t>0.8％</w:t>
            </w:r>
          </w:p>
        </w:tc>
        <w:tc>
          <w:tcPr>
            <w:tcW w:w="2023" w:type="dxa"/>
            <w:vAlign w:val="center"/>
          </w:tcPr>
          <w:p>
            <w:pPr>
              <w:widowControl/>
              <w:jc w:val="center"/>
              <w:rPr>
                <w:rFonts w:ascii="宋体" w:hAnsi="宋体" w:cs="楷体"/>
                <w:kern w:val="0"/>
                <w:sz w:val="24"/>
              </w:rPr>
            </w:pPr>
            <w:r>
              <w:rPr>
                <w:rFonts w:hint="eastAsia" w:ascii="宋体" w:hAnsi="宋体" w:cs="楷体"/>
                <w:kern w:val="0"/>
                <w:sz w:val="24"/>
              </w:rPr>
              <w:t>0.45％</w:t>
            </w:r>
          </w:p>
        </w:tc>
        <w:tc>
          <w:tcPr>
            <w:tcW w:w="1863" w:type="dxa"/>
            <w:vAlign w:val="center"/>
          </w:tcPr>
          <w:p>
            <w:pPr>
              <w:widowControl/>
              <w:jc w:val="center"/>
              <w:rPr>
                <w:rFonts w:ascii="宋体" w:hAnsi="宋体" w:cs="楷体"/>
                <w:kern w:val="0"/>
                <w:sz w:val="24"/>
              </w:rPr>
            </w:pPr>
            <w:r>
              <w:rPr>
                <w:rFonts w:hint="eastAsia" w:ascii="宋体" w:hAnsi="宋体" w:cs="楷体"/>
                <w:kern w:val="0"/>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43" w:type="dxa"/>
            <w:vAlign w:val="center"/>
          </w:tcPr>
          <w:p>
            <w:pPr>
              <w:widowControl/>
              <w:jc w:val="left"/>
              <w:rPr>
                <w:rFonts w:ascii="宋体" w:hAnsi="宋体" w:cs="楷体"/>
                <w:kern w:val="0"/>
                <w:sz w:val="24"/>
              </w:rPr>
            </w:pPr>
            <w:r>
              <w:rPr>
                <w:rFonts w:hint="eastAsia" w:ascii="宋体" w:hAnsi="宋体" w:cs="楷体"/>
                <w:kern w:val="0"/>
                <w:sz w:val="24"/>
              </w:rPr>
              <w:t>1000—5000</w:t>
            </w:r>
          </w:p>
        </w:tc>
        <w:tc>
          <w:tcPr>
            <w:tcW w:w="1755" w:type="dxa"/>
            <w:vAlign w:val="center"/>
          </w:tcPr>
          <w:p>
            <w:pPr>
              <w:widowControl/>
              <w:jc w:val="center"/>
              <w:rPr>
                <w:rFonts w:ascii="宋体" w:hAnsi="宋体" w:cs="楷体"/>
                <w:kern w:val="0"/>
                <w:sz w:val="24"/>
              </w:rPr>
            </w:pPr>
            <w:r>
              <w:rPr>
                <w:rFonts w:hint="eastAsia" w:ascii="宋体" w:hAnsi="宋体" w:cs="楷体"/>
                <w:kern w:val="0"/>
                <w:sz w:val="24"/>
              </w:rPr>
              <w:t>0.5％</w:t>
            </w:r>
          </w:p>
        </w:tc>
        <w:tc>
          <w:tcPr>
            <w:tcW w:w="2023" w:type="dxa"/>
            <w:vAlign w:val="center"/>
          </w:tcPr>
          <w:p>
            <w:pPr>
              <w:widowControl/>
              <w:jc w:val="center"/>
              <w:rPr>
                <w:rFonts w:ascii="宋体" w:hAnsi="宋体" w:cs="楷体"/>
                <w:kern w:val="0"/>
                <w:sz w:val="24"/>
              </w:rPr>
            </w:pPr>
            <w:r>
              <w:rPr>
                <w:rFonts w:hint="eastAsia" w:ascii="宋体" w:hAnsi="宋体" w:cs="楷体"/>
                <w:kern w:val="0"/>
                <w:sz w:val="24"/>
              </w:rPr>
              <w:t>0.25％</w:t>
            </w:r>
          </w:p>
        </w:tc>
        <w:tc>
          <w:tcPr>
            <w:tcW w:w="1863" w:type="dxa"/>
            <w:vAlign w:val="center"/>
          </w:tcPr>
          <w:p>
            <w:pPr>
              <w:widowControl/>
              <w:jc w:val="center"/>
              <w:rPr>
                <w:rFonts w:ascii="宋体" w:hAnsi="宋体" w:cs="楷体"/>
                <w:kern w:val="0"/>
                <w:sz w:val="24"/>
              </w:rPr>
            </w:pPr>
            <w:r>
              <w:rPr>
                <w:rFonts w:hint="eastAsia" w:ascii="宋体" w:hAnsi="宋体" w:cs="楷体"/>
                <w:kern w:val="0"/>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643" w:type="dxa"/>
            <w:vAlign w:val="center"/>
          </w:tcPr>
          <w:p>
            <w:pPr>
              <w:widowControl/>
              <w:jc w:val="left"/>
              <w:rPr>
                <w:rFonts w:ascii="宋体" w:hAnsi="宋体" w:cs="楷体"/>
                <w:kern w:val="0"/>
                <w:sz w:val="24"/>
              </w:rPr>
            </w:pPr>
            <w:r>
              <w:rPr>
                <w:rFonts w:hint="eastAsia" w:ascii="宋体" w:hAnsi="宋体" w:cs="楷体"/>
                <w:kern w:val="0"/>
                <w:sz w:val="24"/>
              </w:rPr>
              <w:t>5000—10000</w:t>
            </w:r>
          </w:p>
        </w:tc>
        <w:tc>
          <w:tcPr>
            <w:tcW w:w="1755" w:type="dxa"/>
            <w:vAlign w:val="center"/>
          </w:tcPr>
          <w:p>
            <w:pPr>
              <w:widowControl/>
              <w:jc w:val="center"/>
              <w:rPr>
                <w:rFonts w:ascii="宋体" w:hAnsi="宋体" w:cs="楷体"/>
                <w:kern w:val="0"/>
                <w:sz w:val="24"/>
              </w:rPr>
            </w:pPr>
            <w:r>
              <w:rPr>
                <w:rFonts w:hint="eastAsia" w:ascii="宋体" w:hAnsi="宋体" w:cs="楷体"/>
                <w:kern w:val="0"/>
                <w:sz w:val="24"/>
              </w:rPr>
              <w:t>0.25％</w:t>
            </w:r>
          </w:p>
        </w:tc>
        <w:tc>
          <w:tcPr>
            <w:tcW w:w="2023" w:type="dxa"/>
            <w:vAlign w:val="center"/>
          </w:tcPr>
          <w:p>
            <w:pPr>
              <w:widowControl/>
              <w:jc w:val="center"/>
              <w:rPr>
                <w:rFonts w:ascii="宋体" w:hAnsi="宋体" w:cs="楷体"/>
                <w:kern w:val="0"/>
                <w:sz w:val="24"/>
              </w:rPr>
            </w:pPr>
            <w:r>
              <w:rPr>
                <w:rFonts w:hint="eastAsia" w:ascii="宋体" w:hAnsi="宋体" w:cs="楷体"/>
                <w:kern w:val="0"/>
                <w:sz w:val="24"/>
              </w:rPr>
              <w:t>0.1％</w:t>
            </w:r>
          </w:p>
        </w:tc>
        <w:tc>
          <w:tcPr>
            <w:tcW w:w="1863" w:type="dxa"/>
            <w:vAlign w:val="center"/>
          </w:tcPr>
          <w:p>
            <w:pPr>
              <w:widowControl/>
              <w:jc w:val="center"/>
              <w:rPr>
                <w:rFonts w:ascii="宋体" w:hAnsi="宋体" w:cs="楷体"/>
                <w:kern w:val="0"/>
                <w:sz w:val="24"/>
              </w:rPr>
            </w:pPr>
            <w:r>
              <w:rPr>
                <w:rFonts w:hint="eastAsia" w:ascii="宋体" w:hAnsi="宋体" w:cs="楷体"/>
                <w:kern w:val="0"/>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43" w:type="dxa"/>
            <w:vAlign w:val="center"/>
          </w:tcPr>
          <w:p>
            <w:pPr>
              <w:widowControl/>
              <w:jc w:val="left"/>
              <w:rPr>
                <w:rFonts w:ascii="宋体" w:hAnsi="宋体" w:cs="楷体"/>
                <w:kern w:val="0"/>
                <w:sz w:val="24"/>
              </w:rPr>
            </w:pPr>
            <w:r>
              <w:rPr>
                <w:rFonts w:hint="eastAsia" w:ascii="宋体" w:hAnsi="宋体" w:cs="楷体"/>
                <w:kern w:val="0"/>
                <w:sz w:val="24"/>
              </w:rPr>
              <w:t>10000—100000</w:t>
            </w:r>
          </w:p>
        </w:tc>
        <w:tc>
          <w:tcPr>
            <w:tcW w:w="1755" w:type="dxa"/>
            <w:vAlign w:val="center"/>
          </w:tcPr>
          <w:p>
            <w:pPr>
              <w:widowControl/>
              <w:jc w:val="center"/>
              <w:rPr>
                <w:rFonts w:ascii="宋体" w:hAnsi="宋体" w:cs="楷体"/>
                <w:kern w:val="0"/>
                <w:sz w:val="24"/>
              </w:rPr>
            </w:pPr>
            <w:r>
              <w:rPr>
                <w:rFonts w:hint="eastAsia" w:ascii="宋体" w:hAnsi="宋体" w:cs="楷体"/>
                <w:kern w:val="0"/>
                <w:sz w:val="24"/>
              </w:rPr>
              <w:t>0.05％</w:t>
            </w:r>
          </w:p>
        </w:tc>
        <w:tc>
          <w:tcPr>
            <w:tcW w:w="2023" w:type="dxa"/>
            <w:vAlign w:val="center"/>
          </w:tcPr>
          <w:p>
            <w:pPr>
              <w:widowControl/>
              <w:jc w:val="center"/>
              <w:rPr>
                <w:rFonts w:ascii="宋体" w:hAnsi="宋体" w:cs="楷体"/>
                <w:kern w:val="0"/>
                <w:sz w:val="24"/>
              </w:rPr>
            </w:pPr>
            <w:r>
              <w:rPr>
                <w:rFonts w:hint="eastAsia" w:ascii="宋体" w:hAnsi="宋体" w:cs="楷体"/>
                <w:kern w:val="0"/>
                <w:sz w:val="24"/>
              </w:rPr>
              <w:t>0.05％</w:t>
            </w:r>
          </w:p>
        </w:tc>
        <w:tc>
          <w:tcPr>
            <w:tcW w:w="1863" w:type="dxa"/>
            <w:vAlign w:val="center"/>
          </w:tcPr>
          <w:p>
            <w:pPr>
              <w:widowControl/>
              <w:jc w:val="center"/>
              <w:rPr>
                <w:rFonts w:ascii="宋体" w:hAnsi="宋体" w:cs="楷体"/>
                <w:kern w:val="0"/>
                <w:sz w:val="24"/>
              </w:rPr>
            </w:pPr>
            <w:r>
              <w:rPr>
                <w:rFonts w:hint="eastAsia" w:ascii="宋体" w:hAnsi="宋体" w:cs="楷体"/>
                <w:kern w:val="0"/>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43" w:type="dxa"/>
            <w:vAlign w:val="center"/>
          </w:tcPr>
          <w:p>
            <w:pPr>
              <w:widowControl/>
              <w:jc w:val="left"/>
              <w:rPr>
                <w:rFonts w:ascii="宋体" w:hAnsi="宋体" w:cs="楷体"/>
                <w:kern w:val="0"/>
                <w:sz w:val="24"/>
              </w:rPr>
            </w:pPr>
            <w:r>
              <w:rPr>
                <w:rFonts w:hint="eastAsia" w:ascii="宋体" w:hAnsi="宋体" w:cs="楷体"/>
                <w:kern w:val="0"/>
                <w:sz w:val="24"/>
              </w:rPr>
              <w:t>100000以上</w:t>
            </w:r>
          </w:p>
        </w:tc>
        <w:tc>
          <w:tcPr>
            <w:tcW w:w="1755" w:type="dxa"/>
            <w:vAlign w:val="center"/>
          </w:tcPr>
          <w:p>
            <w:pPr>
              <w:widowControl/>
              <w:jc w:val="center"/>
              <w:rPr>
                <w:rFonts w:ascii="宋体" w:hAnsi="宋体" w:cs="楷体"/>
                <w:kern w:val="0"/>
                <w:sz w:val="24"/>
              </w:rPr>
            </w:pPr>
            <w:r>
              <w:rPr>
                <w:rFonts w:hint="eastAsia" w:ascii="宋体" w:hAnsi="宋体" w:cs="楷体"/>
                <w:kern w:val="0"/>
                <w:sz w:val="24"/>
              </w:rPr>
              <w:t>0.01％</w:t>
            </w:r>
          </w:p>
        </w:tc>
        <w:tc>
          <w:tcPr>
            <w:tcW w:w="2023" w:type="dxa"/>
            <w:vAlign w:val="center"/>
          </w:tcPr>
          <w:p>
            <w:pPr>
              <w:widowControl/>
              <w:jc w:val="center"/>
              <w:rPr>
                <w:rFonts w:ascii="宋体" w:hAnsi="宋体" w:cs="楷体"/>
                <w:kern w:val="0"/>
                <w:sz w:val="24"/>
              </w:rPr>
            </w:pPr>
            <w:r>
              <w:rPr>
                <w:rFonts w:hint="eastAsia" w:ascii="宋体" w:hAnsi="宋体" w:cs="楷体"/>
                <w:kern w:val="0"/>
                <w:sz w:val="24"/>
              </w:rPr>
              <w:t>0.01％</w:t>
            </w:r>
          </w:p>
        </w:tc>
        <w:tc>
          <w:tcPr>
            <w:tcW w:w="1863" w:type="dxa"/>
            <w:vAlign w:val="center"/>
          </w:tcPr>
          <w:p>
            <w:pPr>
              <w:widowControl/>
              <w:jc w:val="center"/>
              <w:rPr>
                <w:rFonts w:ascii="宋体" w:hAnsi="宋体" w:cs="楷体"/>
                <w:kern w:val="0"/>
                <w:sz w:val="24"/>
              </w:rPr>
            </w:pPr>
            <w:r>
              <w:rPr>
                <w:rFonts w:hint="eastAsia" w:ascii="宋体" w:hAnsi="宋体" w:cs="楷体"/>
                <w:kern w:val="0"/>
                <w:sz w:val="24"/>
              </w:rPr>
              <w:t>0.01％</w:t>
            </w:r>
          </w:p>
        </w:tc>
      </w:tr>
    </w:tbl>
    <w:p>
      <w:pPr>
        <w:pStyle w:val="14"/>
        <w:tabs>
          <w:tab w:val="left" w:pos="1146"/>
        </w:tabs>
        <w:spacing w:line="560" w:lineRule="exact"/>
        <w:ind w:left="571" w:leftChars="272" w:firstLine="2" w:firstLineChars="0"/>
        <w:jc w:val="center"/>
        <w:rPr>
          <w:rFonts w:ascii="宋体" w:hAnsi="宋体"/>
          <w:b/>
          <w:sz w:val="28"/>
        </w:rPr>
      </w:pPr>
    </w:p>
    <w:p>
      <w:pPr>
        <w:pStyle w:val="14"/>
        <w:tabs>
          <w:tab w:val="left" w:pos="1146"/>
        </w:tabs>
        <w:spacing w:line="560" w:lineRule="exact"/>
        <w:ind w:left="0" w:leftChars="0" w:firstLine="0" w:firstLineChars="0"/>
        <w:jc w:val="left"/>
        <w:rPr>
          <w:rFonts w:ascii="宋体" w:hAnsi="宋体"/>
          <w:snapToGrid w:val="0"/>
          <w:kern w:val="0"/>
          <w:sz w:val="24"/>
        </w:rPr>
      </w:pPr>
      <w:r>
        <w:rPr>
          <w:rFonts w:hint="eastAsia" w:ascii="宋体" w:hAnsi="宋体"/>
          <w:snapToGrid w:val="0"/>
          <w:kern w:val="0"/>
          <w:sz w:val="24"/>
        </w:rPr>
        <w:t>附表2</w:t>
      </w:r>
    </w:p>
    <w:p>
      <w:pPr>
        <w:pStyle w:val="69"/>
        <w:spacing w:line="432" w:lineRule="auto"/>
        <w:jc w:val="center"/>
        <w:rPr>
          <w:rStyle w:val="121"/>
          <w:sz w:val="36"/>
          <w:szCs w:val="36"/>
        </w:rPr>
      </w:pPr>
      <w:r>
        <w:rPr>
          <w:rStyle w:val="121"/>
          <w:rFonts w:hint="eastAsia"/>
          <w:sz w:val="36"/>
          <w:szCs w:val="36"/>
        </w:rPr>
        <w:t>关于印发中小企业划型标准规定的通知</w:t>
      </w:r>
    </w:p>
    <w:p>
      <w:pPr>
        <w:pStyle w:val="69"/>
        <w:spacing w:line="432" w:lineRule="auto"/>
        <w:jc w:val="center"/>
      </w:pPr>
      <w:r>
        <w:rPr>
          <w:rFonts w:ascii="楷体_GB2312" w:eastAsia="楷体_GB2312" w:cs="楷体_GB2312"/>
        </w:rPr>
        <w:t>工信部联企业〔2011〕300号</w:t>
      </w:r>
    </w:p>
    <w:p>
      <w:pPr>
        <w:pStyle w:val="69"/>
        <w:spacing w:line="432" w:lineRule="auto"/>
      </w:pPr>
      <w:r>
        <w:rPr>
          <w:rFonts w:hint="eastAsia"/>
        </w:rPr>
        <w:t>各省、自治区、直辖市人民政府，国务院各部委、各直属机构及有关单位：</w:t>
      </w:r>
    </w:p>
    <w:p>
      <w:pPr>
        <w:pStyle w:val="69"/>
        <w:spacing w:line="432" w:lineRule="auto"/>
      </w:pPr>
      <w:r>
        <w:rPr>
          <w:rFonts w:hint="eastAsia"/>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69"/>
        <w:spacing w:line="432" w:lineRule="auto"/>
      </w:pPr>
      <w:r>
        <w:rPr>
          <w:rFonts w:hint="eastAsia"/>
        </w:rPr>
        <w:t>　　　　　　　　　　　　　　　　　　　　　　 工业和信息化部　国家统计局</w:t>
      </w:r>
    </w:p>
    <w:p>
      <w:pPr>
        <w:pStyle w:val="69"/>
        <w:spacing w:line="432" w:lineRule="auto"/>
      </w:pPr>
      <w:r>
        <w:rPr>
          <w:rFonts w:hint="eastAsia"/>
        </w:rPr>
        <w:t>　　　　　　　　　　　　　　　　　　　　　　国家发展和改革委员会　财政部</w:t>
      </w:r>
    </w:p>
    <w:p>
      <w:pPr>
        <w:pStyle w:val="69"/>
        <w:spacing w:line="432" w:lineRule="auto"/>
      </w:pPr>
      <w:r>
        <w:rPr>
          <w:rFonts w:hint="eastAsia"/>
        </w:rPr>
        <w:t>　　　　　　　　　　　　　　　　　　　　　　　　二○一一年六月十八日</w:t>
      </w:r>
    </w:p>
    <w:p>
      <w:pPr>
        <w:pStyle w:val="69"/>
        <w:spacing w:line="432" w:lineRule="auto"/>
      </w:pPr>
    </w:p>
    <w:p>
      <w:pPr>
        <w:pStyle w:val="69"/>
        <w:spacing w:line="432" w:lineRule="auto"/>
        <w:jc w:val="center"/>
      </w:pPr>
      <w:r>
        <w:rPr>
          <w:rStyle w:val="121"/>
          <w:rFonts w:hint="eastAsia"/>
          <w:sz w:val="36"/>
          <w:szCs w:val="36"/>
        </w:rPr>
        <w:t>中小企业划型标准规定</w:t>
      </w:r>
    </w:p>
    <w:p>
      <w:pPr>
        <w:pStyle w:val="14"/>
        <w:tabs>
          <w:tab w:val="left" w:pos="1146"/>
        </w:tabs>
        <w:spacing w:line="560" w:lineRule="exact"/>
        <w:ind w:left="571" w:leftChars="272" w:firstLine="2" w:firstLineChars="0"/>
        <w:jc w:val="left"/>
        <w:rPr>
          <w:sz w:val="24"/>
        </w:rPr>
      </w:pPr>
      <w:r>
        <w:rPr>
          <w:rFonts w:hint="eastAsia"/>
          <w:sz w:val="24"/>
        </w:rPr>
        <w:t>一、根据《中华人民共和国中小企业促进法》和《国务院关于进一步促进中小企业发展的若干意见》(国发〔2009〕36号)，制定本规定。</w:t>
      </w:r>
    </w:p>
    <w:p>
      <w:pPr>
        <w:pStyle w:val="14"/>
        <w:tabs>
          <w:tab w:val="left" w:pos="1146"/>
        </w:tabs>
        <w:spacing w:line="560" w:lineRule="exact"/>
        <w:ind w:left="571" w:leftChars="272" w:firstLine="2" w:firstLineChars="0"/>
        <w:jc w:val="left"/>
        <w:rPr>
          <w:sz w:val="24"/>
        </w:rPr>
      </w:pPr>
      <w:r>
        <w:rPr>
          <w:rFonts w:hint="eastAsia"/>
          <w:sz w:val="24"/>
        </w:rPr>
        <w:t>二、中小企业划分为中型、小型、微型三种类型，具体标准根据企业从业人员、营业收入、资产总额等指标，结合行业特点制定。</w:t>
      </w:r>
    </w:p>
    <w:p>
      <w:pPr>
        <w:pStyle w:val="14"/>
        <w:tabs>
          <w:tab w:val="left" w:pos="1146"/>
        </w:tabs>
        <w:spacing w:line="560" w:lineRule="exact"/>
        <w:ind w:left="571" w:leftChars="272" w:firstLine="2" w:firstLineChars="0"/>
        <w:jc w:val="left"/>
        <w:rPr>
          <w:sz w:val="24"/>
        </w:rPr>
      </w:pPr>
      <w:r>
        <w:rPr>
          <w:rFonts w:hint="eastAsia"/>
          <w:sz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14"/>
        <w:tabs>
          <w:tab w:val="left" w:pos="1146"/>
        </w:tabs>
        <w:spacing w:line="560" w:lineRule="exact"/>
        <w:ind w:left="571" w:leftChars="272" w:firstLine="2" w:firstLineChars="0"/>
        <w:jc w:val="left"/>
        <w:rPr>
          <w:sz w:val="24"/>
        </w:rPr>
      </w:pPr>
      <w:r>
        <w:rPr>
          <w:rFonts w:hint="eastAsia"/>
          <w:sz w:val="24"/>
        </w:rPr>
        <w:t>四、各行业划型标准为：</w:t>
      </w:r>
    </w:p>
    <w:p>
      <w:pPr>
        <w:pStyle w:val="14"/>
        <w:tabs>
          <w:tab w:val="left" w:pos="1146"/>
        </w:tabs>
        <w:spacing w:line="560" w:lineRule="exact"/>
        <w:ind w:left="571" w:leftChars="272" w:firstLine="2" w:firstLineChars="0"/>
        <w:jc w:val="left"/>
        <w:rPr>
          <w:sz w:val="24"/>
        </w:rPr>
      </w:pPr>
      <w:r>
        <w:rPr>
          <w:rFonts w:hint="eastAsia"/>
          <w:sz w:val="24"/>
        </w:rPr>
        <w:t>（一）农、林、牧、渔业。营业收入20000万元以下的为中小微型企业。其中，营业收入500万元及以上的为中型企业，营业收入50万元及以上的为小型企业，营业收入50万元以下的为微型企业。</w:t>
      </w:r>
    </w:p>
    <w:p>
      <w:pPr>
        <w:pStyle w:val="14"/>
        <w:tabs>
          <w:tab w:val="left" w:pos="1146"/>
        </w:tabs>
        <w:spacing w:line="560" w:lineRule="exact"/>
        <w:ind w:left="571" w:leftChars="272" w:firstLine="2" w:firstLineChars="0"/>
        <w:jc w:val="left"/>
        <w:rPr>
          <w:sz w:val="24"/>
        </w:rPr>
      </w:pPr>
      <w:r>
        <w:rPr>
          <w:rFonts w:hint="eastAsia"/>
          <w:sz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14"/>
        <w:tabs>
          <w:tab w:val="left" w:pos="1146"/>
        </w:tabs>
        <w:spacing w:line="560" w:lineRule="exact"/>
        <w:ind w:left="571" w:leftChars="272" w:firstLine="2" w:firstLineChars="0"/>
        <w:jc w:val="left"/>
        <w:rPr>
          <w:sz w:val="24"/>
        </w:rPr>
      </w:pPr>
      <w:r>
        <w:rPr>
          <w:rFonts w:hint="eastAsia"/>
          <w:sz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14"/>
        <w:tabs>
          <w:tab w:val="left" w:pos="1146"/>
        </w:tabs>
        <w:spacing w:line="560" w:lineRule="exact"/>
        <w:ind w:left="571" w:leftChars="272" w:firstLine="2" w:firstLineChars="0"/>
        <w:jc w:val="left"/>
        <w:rPr>
          <w:sz w:val="24"/>
        </w:rPr>
      </w:pPr>
      <w:r>
        <w:rPr>
          <w:rFonts w:hint="eastAsia"/>
          <w:sz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14"/>
        <w:tabs>
          <w:tab w:val="left" w:pos="1146"/>
        </w:tabs>
        <w:spacing w:line="560" w:lineRule="exact"/>
        <w:ind w:left="571" w:leftChars="272" w:firstLine="2" w:firstLineChars="0"/>
        <w:jc w:val="left"/>
        <w:rPr>
          <w:sz w:val="24"/>
        </w:rPr>
      </w:pPr>
      <w:r>
        <w:rPr>
          <w:rFonts w:hint="eastAsia"/>
          <w:sz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14"/>
        <w:tabs>
          <w:tab w:val="left" w:pos="1146"/>
        </w:tabs>
        <w:spacing w:line="560" w:lineRule="exact"/>
        <w:ind w:left="571" w:leftChars="272" w:firstLine="2" w:firstLineChars="0"/>
        <w:jc w:val="left"/>
        <w:rPr>
          <w:sz w:val="24"/>
        </w:rPr>
      </w:pPr>
      <w:r>
        <w:rPr>
          <w:rFonts w:hint="eastAsia"/>
          <w:sz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14"/>
        <w:tabs>
          <w:tab w:val="left" w:pos="1146"/>
        </w:tabs>
        <w:spacing w:line="560" w:lineRule="exact"/>
        <w:ind w:left="571" w:leftChars="272" w:firstLine="2" w:firstLineChars="0"/>
        <w:jc w:val="left"/>
        <w:rPr>
          <w:sz w:val="24"/>
        </w:rPr>
      </w:pPr>
      <w:r>
        <w:rPr>
          <w:rFonts w:hint="eastAsia"/>
          <w:sz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14"/>
        <w:tabs>
          <w:tab w:val="left" w:pos="1146"/>
        </w:tabs>
        <w:spacing w:line="560" w:lineRule="exact"/>
        <w:ind w:left="571" w:leftChars="272" w:firstLine="2" w:firstLineChars="0"/>
        <w:jc w:val="left"/>
        <w:rPr>
          <w:sz w:val="24"/>
        </w:rPr>
      </w:pPr>
      <w:r>
        <w:rPr>
          <w:rFonts w:hint="eastAsia"/>
          <w:sz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14"/>
        <w:tabs>
          <w:tab w:val="left" w:pos="1146"/>
        </w:tabs>
        <w:spacing w:line="560" w:lineRule="exact"/>
        <w:ind w:left="571" w:leftChars="272" w:firstLine="2" w:firstLineChars="0"/>
        <w:jc w:val="left"/>
        <w:rPr>
          <w:sz w:val="24"/>
        </w:rPr>
      </w:pPr>
      <w:r>
        <w:rPr>
          <w:rFonts w:hint="eastAsia"/>
          <w:sz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4"/>
        <w:tabs>
          <w:tab w:val="left" w:pos="1146"/>
        </w:tabs>
        <w:spacing w:line="560" w:lineRule="exact"/>
        <w:ind w:left="571" w:leftChars="272" w:firstLine="2" w:firstLineChars="0"/>
        <w:jc w:val="left"/>
        <w:rPr>
          <w:sz w:val="24"/>
        </w:rPr>
      </w:pPr>
      <w:r>
        <w:rPr>
          <w:rFonts w:hint="eastAsia"/>
          <w:sz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4"/>
        <w:tabs>
          <w:tab w:val="left" w:pos="1146"/>
        </w:tabs>
        <w:spacing w:line="560" w:lineRule="exact"/>
        <w:ind w:left="571" w:leftChars="272" w:firstLine="2" w:firstLineChars="0"/>
        <w:jc w:val="left"/>
        <w:rPr>
          <w:sz w:val="24"/>
        </w:rPr>
      </w:pPr>
      <w:r>
        <w:rPr>
          <w:rFonts w:hint="eastAsia"/>
          <w:sz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14"/>
        <w:tabs>
          <w:tab w:val="left" w:pos="1146"/>
        </w:tabs>
        <w:spacing w:line="560" w:lineRule="exact"/>
        <w:ind w:left="571" w:leftChars="272" w:firstLine="2" w:firstLineChars="0"/>
        <w:jc w:val="left"/>
        <w:rPr>
          <w:sz w:val="24"/>
        </w:rPr>
      </w:pPr>
      <w:r>
        <w:rPr>
          <w:rFonts w:hint="eastAsia"/>
          <w:sz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14"/>
        <w:tabs>
          <w:tab w:val="left" w:pos="1146"/>
        </w:tabs>
        <w:spacing w:line="560" w:lineRule="exact"/>
        <w:ind w:left="571" w:leftChars="272" w:firstLine="2" w:firstLineChars="0"/>
        <w:jc w:val="left"/>
        <w:rPr>
          <w:sz w:val="24"/>
        </w:rPr>
      </w:pPr>
      <w:r>
        <w:rPr>
          <w:rFonts w:hint="eastAsia"/>
          <w:sz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14"/>
        <w:tabs>
          <w:tab w:val="left" w:pos="1146"/>
        </w:tabs>
        <w:spacing w:line="560" w:lineRule="exact"/>
        <w:ind w:left="571" w:leftChars="272" w:firstLine="2" w:firstLineChars="0"/>
        <w:jc w:val="left"/>
        <w:rPr>
          <w:sz w:val="24"/>
        </w:rPr>
      </w:pPr>
      <w:r>
        <w:rPr>
          <w:rFonts w:hint="eastAsia"/>
          <w:sz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14"/>
        <w:tabs>
          <w:tab w:val="left" w:pos="1146"/>
        </w:tabs>
        <w:spacing w:line="560" w:lineRule="exact"/>
        <w:ind w:left="571" w:leftChars="272" w:firstLine="2" w:firstLineChars="0"/>
        <w:jc w:val="left"/>
        <w:rPr>
          <w:sz w:val="24"/>
        </w:rPr>
      </w:pPr>
      <w:r>
        <w:rPr>
          <w:rFonts w:hint="eastAsia"/>
          <w:sz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14"/>
        <w:tabs>
          <w:tab w:val="left" w:pos="1146"/>
        </w:tabs>
        <w:spacing w:line="560" w:lineRule="exact"/>
        <w:ind w:left="571" w:leftChars="272" w:firstLine="2" w:firstLineChars="0"/>
        <w:jc w:val="left"/>
        <w:rPr>
          <w:sz w:val="24"/>
        </w:rPr>
      </w:pPr>
      <w:r>
        <w:rPr>
          <w:rFonts w:hint="eastAsia"/>
          <w:sz w:val="24"/>
        </w:rPr>
        <w:t>（十六）其他未列明行业。从业人员300人以下的为中小微型企业。其中，从业人员100人及以上的为中型企业；从业人员10人及以上的为小型企业；从业人员10人以下的为微型企业。</w:t>
      </w:r>
    </w:p>
    <w:p>
      <w:pPr>
        <w:pStyle w:val="14"/>
        <w:tabs>
          <w:tab w:val="left" w:pos="1146"/>
        </w:tabs>
        <w:spacing w:line="560" w:lineRule="exact"/>
        <w:ind w:left="571" w:leftChars="272" w:firstLine="2" w:firstLineChars="0"/>
        <w:jc w:val="left"/>
        <w:rPr>
          <w:sz w:val="24"/>
        </w:rPr>
      </w:pPr>
      <w:r>
        <w:rPr>
          <w:rFonts w:hint="eastAsia"/>
          <w:sz w:val="24"/>
        </w:rPr>
        <w:t>五、企业类型的划分以统计部门的统计数据为依据。</w:t>
      </w:r>
    </w:p>
    <w:p>
      <w:pPr>
        <w:pStyle w:val="14"/>
        <w:tabs>
          <w:tab w:val="left" w:pos="1146"/>
        </w:tabs>
        <w:spacing w:line="560" w:lineRule="exact"/>
        <w:ind w:left="571" w:leftChars="272" w:firstLine="2" w:firstLineChars="0"/>
        <w:jc w:val="left"/>
        <w:rPr>
          <w:sz w:val="24"/>
        </w:rPr>
      </w:pPr>
      <w:r>
        <w:rPr>
          <w:rFonts w:hint="eastAsia"/>
          <w:sz w:val="24"/>
        </w:rPr>
        <w:t>六、本规定适用于在中华人民共和国境内依法设立的各类所有制和各种组织形式的企业。个体工商户和本规定以外的行业，参照本规定进行划型。</w:t>
      </w:r>
    </w:p>
    <w:p>
      <w:pPr>
        <w:pStyle w:val="14"/>
        <w:tabs>
          <w:tab w:val="left" w:pos="1146"/>
        </w:tabs>
        <w:spacing w:line="560" w:lineRule="exact"/>
        <w:ind w:left="571" w:leftChars="272" w:firstLine="2" w:firstLineChars="0"/>
        <w:jc w:val="left"/>
        <w:rPr>
          <w:sz w:val="24"/>
        </w:rPr>
      </w:pPr>
      <w:r>
        <w:rPr>
          <w:rFonts w:hint="eastAsia"/>
          <w:sz w:val="24"/>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14"/>
        <w:tabs>
          <w:tab w:val="left" w:pos="1146"/>
        </w:tabs>
        <w:spacing w:line="560" w:lineRule="exact"/>
        <w:ind w:left="571" w:leftChars="272" w:firstLine="2" w:firstLineChars="0"/>
        <w:jc w:val="left"/>
        <w:rPr>
          <w:sz w:val="24"/>
        </w:rPr>
      </w:pPr>
      <w:r>
        <w:rPr>
          <w:rFonts w:hint="eastAsia"/>
          <w:sz w:val="24"/>
        </w:rPr>
        <w:t>八、本规定由工业和信息化部、国家统计局会同有关部门根据《国民经济行业分类》修订情况和企业发展变化情况适时修订。</w:t>
      </w:r>
    </w:p>
    <w:p>
      <w:pPr>
        <w:pStyle w:val="14"/>
        <w:tabs>
          <w:tab w:val="left" w:pos="1146"/>
        </w:tabs>
        <w:spacing w:line="560" w:lineRule="exact"/>
        <w:ind w:left="571" w:leftChars="272" w:firstLine="2" w:firstLineChars="0"/>
        <w:jc w:val="left"/>
        <w:rPr>
          <w:rFonts w:ascii="宋体" w:hAnsi="宋体"/>
          <w:b/>
          <w:sz w:val="30"/>
          <w:szCs w:val="30"/>
        </w:rPr>
      </w:pPr>
      <w:r>
        <w:rPr>
          <w:rFonts w:hint="eastAsia"/>
          <w:sz w:val="24"/>
        </w:rPr>
        <w:t>九、本规定由工业和信息化部、国家统计局会同有关部门负责解释。</w:t>
      </w:r>
      <w:r>
        <w:rPr>
          <w:rFonts w:ascii="宋体" w:hAnsi="宋体"/>
          <w:b/>
          <w:sz w:val="28"/>
        </w:rPr>
        <w:br w:type="page"/>
      </w:r>
      <w:bookmarkEnd w:id="53"/>
      <w:r>
        <w:rPr>
          <w:rFonts w:hint="eastAsia" w:ascii="宋体" w:hAnsi="宋体"/>
          <w:b/>
          <w:sz w:val="30"/>
          <w:szCs w:val="30"/>
        </w:rPr>
        <w:t>响应人须知正文</w:t>
      </w:r>
    </w:p>
    <w:p>
      <w:pPr>
        <w:pStyle w:val="5"/>
        <w:spacing w:before="120" w:after="120" w:line="360" w:lineRule="exact"/>
        <w:ind w:firstLine="516" w:firstLineChars="214"/>
        <w:rPr>
          <w:rFonts w:ascii="宋体" w:hAnsi="宋体" w:eastAsia="宋体"/>
          <w:sz w:val="24"/>
          <w:szCs w:val="24"/>
        </w:rPr>
      </w:pPr>
      <w:bookmarkStart w:id="54" w:name="_Toc30208"/>
      <w:bookmarkStart w:id="55" w:name="_Toc18041"/>
      <w:bookmarkStart w:id="56" w:name="_Toc60585208"/>
      <w:bookmarkStart w:id="57" w:name="_Toc18630"/>
      <w:r>
        <w:rPr>
          <w:rFonts w:hint="eastAsia" w:ascii="宋体" w:hAnsi="宋体" w:eastAsia="宋体"/>
          <w:sz w:val="24"/>
          <w:szCs w:val="24"/>
        </w:rPr>
        <w:t>一、说明</w:t>
      </w:r>
      <w:bookmarkEnd w:id="54"/>
      <w:bookmarkEnd w:id="55"/>
      <w:bookmarkEnd w:id="56"/>
      <w:bookmarkEnd w:id="57"/>
    </w:p>
    <w:p>
      <w:pPr>
        <w:pStyle w:val="7"/>
        <w:spacing w:before="0" w:after="0" w:line="500" w:lineRule="exact"/>
        <w:ind w:firstLine="504" w:firstLineChars="209"/>
        <w:rPr>
          <w:rFonts w:ascii="宋体" w:hAnsi="宋体"/>
          <w:sz w:val="24"/>
          <w:szCs w:val="24"/>
        </w:rPr>
      </w:pPr>
      <w:bookmarkStart w:id="58" w:name="_Toc346306730"/>
      <w:bookmarkStart w:id="59" w:name="_Toc352332851"/>
      <w:bookmarkStart w:id="60" w:name="_Toc346372877"/>
      <w:r>
        <w:rPr>
          <w:rFonts w:ascii="宋体" w:hAnsi="宋体"/>
          <w:sz w:val="24"/>
          <w:szCs w:val="24"/>
        </w:rPr>
        <w:t xml:space="preserve">1.   </w:t>
      </w:r>
      <w:bookmarkEnd w:id="58"/>
      <w:bookmarkEnd w:id="59"/>
      <w:bookmarkEnd w:id="60"/>
      <w:r>
        <w:rPr>
          <w:rFonts w:hint="eastAsia" w:ascii="宋体" w:hAnsi="宋体"/>
          <w:sz w:val="24"/>
          <w:szCs w:val="24"/>
        </w:rPr>
        <w:t>采购人</w:t>
      </w:r>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hint="eastAsia" w:ascii="宋体" w:hAnsi="宋体" w:cs="TimesNewRomanPSMT"/>
          <w:kern w:val="0"/>
          <w:sz w:val="24"/>
        </w:rPr>
        <w:t>详见响应人须知前附表。</w:t>
      </w:r>
    </w:p>
    <w:p>
      <w:pPr>
        <w:pStyle w:val="7"/>
        <w:spacing w:before="0" w:after="0" w:line="500" w:lineRule="exact"/>
        <w:ind w:firstLine="504" w:firstLineChars="209"/>
        <w:rPr>
          <w:rFonts w:ascii="宋体" w:hAnsi="宋体"/>
          <w:sz w:val="24"/>
          <w:szCs w:val="24"/>
        </w:rPr>
      </w:pPr>
      <w:bookmarkStart w:id="61" w:name="_Toc346372878"/>
      <w:bookmarkStart w:id="62" w:name="_Toc352332852"/>
      <w:bookmarkStart w:id="63" w:name="_Toc346306731"/>
      <w:r>
        <w:rPr>
          <w:rFonts w:ascii="宋体" w:hAnsi="宋体"/>
          <w:sz w:val="24"/>
          <w:szCs w:val="24"/>
        </w:rPr>
        <w:t xml:space="preserve">2.   </w:t>
      </w:r>
      <w:bookmarkEnd w:id="61"/>
      <w:bookmarkEnd w:id="62"/>
      <w:bookmarkEnd w:id="63"/>
      <w:r>
        <w:rPr>
          <w:rFonts w:hint="eastAsia" w:ascii="宋体" w:hAnsi="宋体"/>
          <w:sz w:val="24"/>
          <w:szCs w:val="24"/>
        </w:rPr>
        <w:t>代理机构</w:t>
      </w:r>
    </w:p>
    <w:p>
      <w:pPr>
        <w:autoSpaceDE w:val="0"/>
        <w:autoSpaceDN w:val="0"/>
        <w:adjustRightInd w:val="0"/>
        <w:snapToGrid w:val="0"/>
        <w:spacing w:line="560" w:lineRule="exact"/>
        <w:ind w:firstLine="600" w:firstLineChars="250"/>
        <w:jc w:val="left"/>
        <w:rPr>
          <w:rFonts w:ascii="宋体" w:hAnsi="宋体" w:cs="TimesNewRomanPSMT"/>
          <w:kern w:val="0"/>
          <w:sz w:val="24"/>
        </w:rPr>
      </w:pPr>
      <w:bookmarkStart w:id="64" w:name="_Toc352332853"/>
      <w:bookmarkStart w:id="65" w:name="_Toc346306732"/>
      <w:bookmarkStart w:id="66" w:name="_Toc346372879"/>
      <w:r>
        <w:rPr>
          <w:rFonts w:hint="eastAsia" w:ascii="宋体" w:hAnsi="宋体" w:cs="TimesNewRomanPSMT"/>
          <w:kern w:val="0"/>
          <w:sz w:val="24"/>
        </w:rPr>
        <w:t>详见响应人须知前附表。</w:t>
      </w:r>
    </w:p>
    <w:p>
      <w:pPr>
        <w:pStyle w:val="7"/>
        <w:spacing w:before="0" w:after="0" w:line="500" w:lineRule="exact"/>
        <w:ind w:firstLine="504" w:firstLineChars="209"/>
        <w:rPr>
          <w:rFonts w:ascii="宋体" w:hAnsi="宋体"/>
          <w:sz w:val="24"/>
          <w:szCs w:val="24"/>
        </w:rPr>
      </w:pPr>
      <w:r>
        <w:rPr>
          <w:rFonts w:ascii="宋体" w:hAnsi="宋体"/>
          <w:sz w:val="24"/>
          <w:szCs w:val="24"/>
        </w:rPr>
        <w:t xml:space="preserve">3.   </w:t>
      </w:r>
      <w:r>
        <w:rPr>
          <w:rFonts w:hint="eastAsia" w:ascii="宋体" w:hAnsi="宋体"/>
          <w:sz w:val="24"/>
          <w:szCs w:val="24"/>
        </w:rPr>
        <w:t>合格</w:t>
      </w:r>
      <w:bookmarkEnd w:id="64"/>
      <w:bookmarkEnd w:id="65"/>
      <w:bookmarkEnd w:id="66"/>
      <w:r>
        <w:rPr>
          <w:rFonts w:hint="eastAsia" w:ascii="宋体" w:hAnsi="宋体"/>
          <w:sz w:val="24"/>
          <w:szCs w:val="24"/>
        </w:rPr>
        <w:t>响应人</w:t>
      </w:r>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hint="eastAsia" w:ascii="宋体" w:hAnsi="宋体" w:cs="TimesNewRomanPSMT"/>
          <w:kern w:val="0"/>
          <w:sz w:val="24"/>
        </w:rPr>
        <w:t>详见响应人须知前附表。</w:t>
      </w:r>
    </w:p>
    <w:p>
      <w:pPr>
        <w:pStyle w:val="7"/>
        <w:spacing w:before="0" w:after="0" w:line="500" w:lineRule="exact"/>
        <w:ind w:firstLine="504" w:firstLineChars="209"/>
        <w:rPr>
          <w:rFonts w:ascii="宋体" w:hAnsi="宋体"/>
          <w:sz w:val="24"/>
          <w:szCs w:val="24"/>
        </w:rPr>
      </w:pPr>
      <w:bookmarkStart w:id="67" w:name="_Toc346372880"/>
      <w:bookmarkStart w:id="68" w:name="_Toc346306733"/>
      <w:bookmarkStart w:id="69" w:name="_Toc352332854"/>
      <w:r>
        <w:rPr>
          <w:rFonts w:ascii="宋体" w:hAnsi="宋体"/>
          <w:sz w:val="24"/>
          <w:szCs w:val="24"/>
        </w:rPr>
        <w:t xml:space="preserve">4.   </w:t>
      </w:r>
      <w:r>
        <w:rPr>
          <w:rFonts w:hint="eastAsia" w:ascii="宋体" w:hAnsi="宋体"/>
          <w:sz w:val="24"/>
          <w:szCs w:val="24"/>
        </w:rPr>
        <w:t>参加竞争性磋商的费用</w:t>
      </w:r>
      <w:bookmarkEnd w:id="67"/>
      <w:bookmarkEnd w:id="68"/>
      <w:bookmarkEnd w:id="69"/>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hint="eastAsia" w:ascii="宋体" w:hAnsi="宋体" w:cs="TimesNewRomanPSMT"/>
          <w:kern w:val="0"/>
          <w:sz w:val="24"/>
        </w:rPr>
        <w:t>无论磋商过程中的方法和结果如何，响应人自行承担所有与参加磋商有关费用。</w:t>
      </w:r>
    </w:p>
    <w:p>
      <w:pPr>
        <w:pStyle w:val="5"/>
        <w:spacing w:before="120" w:after="120" w:line="360" w:lineRule="exact"/>
        <w:ind w:firstLine="516" w:firstLineChars="214"/>
        <w:rPr>
          <w:rFonts w:ascii="宋体" w:hAnsi="宋体" w:eastAsia="宋体"/>
          <w:sz w:val="24"/>
          <w:szCs w:val="24"/>
        </w:rPr>
      </w:pPr>
      <w:bookmarkStart w:id="70" w:name="_Toc60585209"/>
      <w:bookmarkStart w:id="71" w:name="_Toc5867"/>
      <w:bookmarkStart w:id="72" w:name="_Toc1397"/>
      <w:bookmarkStart w:id="73" w:name="_Toc19412"/>
      <w:r>
        <w:rPr>
          <w:rFonts w:hint="eastAsia" w:ascii="宋体" w:hAnsi="宋体" w:eastAsia="宋体"/>
          <w:sz w:val="24"/>
          <w:szCs w:val="24"/>
        </w:rPr>
        <w:t>二、采购文件</w:t>
      </w:r>
      <w:bookmarkEnd w:id="70"/>
      <w:bookmarkEnd w:id="71"/>
      <w:bookmarkEnd w:id="72"/>
      <w:bookmarkEnd w:id="73"/>
    </w:p>
    <w:p>
      <w:pPr>
        <w:pStyle w:val="7"/>
        <w:spacing w:before="0" w:after="0" w:line="500" w:lineRule="exact"/>
        <w:ind w:firstLine="504" w:firstLineChars="209"/>
        <w:rPr>
          <w:rFonts w:ascii="宋体" w:hAnsi="宋体"/>
          <w:sz w:val="24"/>
          <w:szCs w:val="24"/>
        </w:rPr>
      </w:pPr>
      <w:bookmarkStart w:id="74" w:name="_Toc346306735"/>
      <w:bookmarkStart w:id="75" w:name="_Toc346372882"/>
      <w:bookmarkStart w:id="76" w:name="_Toc352332856"/>
      <w:r>
        <w:rPr>
          <w:rFonts w:ascii="宋体" w:hAnsi="宋体"/>
          <w:sz w:val="24"/>
          <w:szCs w:val="24"/>
        </w:rPr>
        <w:t xml:space="preserve">5.   </w:t>
      </w:r>
      <w:r>
        <w:rPr>
          <w:rFonts w:hint="eastAsia" w:ascii="宋体" w:hAnsi="宋体"/>
          <w:sz w:val="24"/>
          <w:szCs w:val="24"/>
        </w:rPr>
        <w:t>采购文件组成</w:t>
      </w:r>
      <w:bookmarkEnd w:id="74"/>
      <w:bookmarkEnd w:id="75"/>
      <w:bookmarkEnd w:id="76"/>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hint="eastAsia" w:ascii="宋体" w:hAnsi="宋体" w:cs="TimesNewRomanPSMT"/>
          <w:kern w:val="0"/>
          <w:sz w:val="24"/>
        </w:rPr>
        <w:t>本采购文件由采购文件目录所列内容及按本采购文件要求发出的澄清、答疑和修改组成。</w:t>
      </w:r>
    </w:p>
    <w:p>
      <w:pPr>
        <w:pStyle w:val="7"/>
        <w:spacing w:before="0" w:after="0" w:line="500" w:lineRule="exact"/>
        <w:ind w:firstLine="504" w:firstLineChars="209"/>
        <w:rPr>
          <w:rFonts w:ascii="宋体" w:hAnsi="宋体"/>
          <w:sz w:val="24"/>
          <w:szCs w:val="24"/>
        </w:rPr>
      </w:pPr>
      <w:bookmarkStart w:id="77" w:name="_Toc352332857"/>
      <w:bookmarkStart w:id="78" w:name="_Toc346306736"/>
      <w:bookmarkStart w:id="79" w:name="_Toc346372883"/>
      <w:r>
        <w:rPr>
          <w:rFonts w:ascii="宋体" w:hAnsi="宋体"/>
          <w:sz w:val="24"/>
          <w:szCs w:val="24"/>
        </w:rPr>
        <w:t xml:space="preserve">6.   </w:t>
      </w:r>
      <w:r>
        <w:rPr>
          <w:rFonts w:hint="eastAsia" w:ascii="宋体" w:hAnsi="宋体"/>
          <w:sz w:val="24"/>
          <w:szCs w:val="24"/>
        </w:rPr>
        <w:t>采购文件答疑</w:t>
      </w:r>
      <w:bookmarkEnd w:id="77"/>
      <w:bookmarkEnd w:id="78"/>
      <w:bookmarkEnd w:id="79"/>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hint="eastAsia" w:ascii="宋体" w:hAnsi="宋体" w:cs="TimesNewRomanPSMT"/>
          <w:kern w:val="0"/>
          <w:sz w:val="24"/>
        </w:rPr>
        <w:t>响应人对采购文件如有疑问，应于前附表所述时间以前以书面形式通知到代理机构。在前附表所述时间之前，代理机构将视情况以书面形式予以答复，如有必要可将答复内容包括原提出的问题（但不表明问题的来源），分发给所有取得同一采购文件的响应人。响应人须在收到代理机构的书面答复后</w:t>
      </w:r>
      <w:r>
        <w:rPr>
          <w:rFonts w:ascii="宋体" w:hAnsi="宋体" w:cs="TimesNewRomanPSMT"/>
          <w:kern w:val="0"/>
          <w:sz w:val="24"/>
        </w:rPr>
        <w:t>24</w:t>
      </w:r>
      <w:r>
        <w:rPr>
          <w:rFonts w:hint="eastAsia" w:ascii="宋体" w:hAnsi="宋体" w:cs="TimesNewRomanPSMT"/>
          <w:kern w:val="0"/>
          <w:sz w:val="24"/>
        </w:rPr>
        <w:t>小时内书面回复。</w:t>
      </w:r>
    </w:p>
    <w:p>
      <w:pPr>
        <w:pStyle w:val="7"/>
        <w:spacing w:before="0" w:after="0" w:line="500" w:lineRule="exact"/>
        <w:ind w:firstLine="504" w:firstLineChars="209"/>
        <w:rPr>
          <w:rFonts w:ascii="宋体" w:hAnsi="宋体"/>
          <w:sz w:val="24"/>
          <w:szCs w:val="24"/>
        </w:rPr>
      </w:pPr>
      <w:bookmarkStart w:id="80" w:name="_Toc352332858"/>
      <w:bookmarkStart w:id="81" w:name="_Toc346372884"/>
      <w:bookmarkStart w:id="82" w:name="_Toc346306737"/>
      <w:r>
        <w:rPr>
          <w:rFonts w:ascii="宋体" w:hAnsi="宋体"/>
          <w:sz w:val="24"/>
          <w:szCs w:val="24"/>
        </w:rPr>
        <w:t xml:space="preserve">7.   </w:t>
      </w:r>
      <w:r>
        <w:rPr>
          <w:rFonts w:hint="eastAsia" w:ascii="宋体" w:hAnsi="宋体"/>
          <w:sz w:val="24"/>
          <w:szCs w:val="24"/>
        </w:rPr>
        <w:t>采购文件澄清和修改</w:t>
      </w:r>
      <w:bookmarkEnd w:id="80"/>
      <w:bookmarkEnd w:id="81"/>
      <w:bookmarkEnd w:id="82"/>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ascii="宋体" w:hAnsi="宋体" w:cs="TimesNewRomanPSMT"/>
          <w:kern w:val="0"/>
          <w:sz w:val="24"/>
        </w:rPr>
        <w:t xml:space="preserve">7.1  </w:t>
      </w:r>
      <w:r>
        <w:rPr>
          <w:rFonts w:hint="eastAsia" w:ascii="宋体" w:hAnsi="宋体" w:cs="TimesNewRomanPSMT"/>
          <w:kern w:val="0"/>
          <w:sz w:val="24"/>
        </w:rPr>
        <w:t>代理机构对采购文件有澄清或修改的内容，将以书面补充文件形式通知已购买采购文件的所有响应人。补充文件作为采购文件的组成部分，对所有响应人具有约束力。</w:t>
      </w:r>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ascii="宋体" w:hAnsi="宋体" w:cs="TimesNewRomanPSMT"/>
          <w:kern w:val="0"/>
          <w:sz w:val="24"/>
        </w:rPr>
        <w:t xml:space="preserve">7.2  </w:t>
      </w:r>
      <w:r>
        <w:rPr>
          <w:rFonts w:hint="eastAsia" w:ascii="宋体" w:hAnsi="宋体" w:cs="TimesNewRomanPSMT"/>
          <w:kern w:val="0"/>
          <w:sz w:val="24"/>
        </w:rPr>
        <w:t>为使响应人有足够的时间按采购文件的要求修改响应文件，代理机构可酌情推迟响应文件递交的截止时间，并将此变更书面通知各响应人。</w:t>
      </w:r>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ascii="宋体" w:hAnsi="宋体" w:cs="TimesNewRomanPSMT"/>
          <w:kern w:val="0"/>
          <w:sz w:val="24"/>
        </w:rPr>
        <w:t xml:space="preserve">7.3  </w:t>
      </w:r>
      <w:r>
        <w:rPr>
          <w:rFonts w:hint="eastAsia" w:ascii="宋体" w:hAnsi="宋体" w:cs="TimesNewRomanPSMT"/>
          <w:kern w:val="0"/>
          <w:sz w:val="24"/>
        </w:rPr>
        <w:t>响应人须在收到代理机构的澄清、修改或变更后</w:t>
      </w:r>
      <w:r>
        <w:rPr>
          <w:rFonts w:ascii="宋体" w:hAnsi="宋体" w:cs="TimesNewRomanPSMT"/>
          <w:kern w:val="0"/>
          <w:sz w:val="24"/>
        </w:rPr>
        <w:t>24</w:t>
      </w:r>
      <w:r>
        <w:rPr>
          <w:rFonts w:hint="eastAsia" w:ascii="宋体" w:hAnsi="宋体" w:cs="TimesNewRomanPSMT"/>
          <w:kern w:val="0"/>
          <w:sz w:val="24"/>
        </w:rPr>
        <w:t>小时内书面回执。响应人未回复的，视同已知晓澄清或者修改的内容。</w:t>
      </w:r>
    </w:p>
    <w:p>
      <w:pPr>
        <w:pStyle w:val="5"/>
        <w:spacing w:before="120" w:after="120" w:line="360" w:lineRule="exact"/>
        <w:ind w:firstLine="516" w:firstLineChars="214"/>
        <w:rPr>
          <w:rFonts w:ascii="宋体" w:hAnsi="宋体" w:eastAsia="宋体"/>
          <w:sz w:val="24"/>
          <w:szCs w:val="24"/>
        </w:rPr>
      </w:pPr>
      <w:bookmarkStart w:id="83" w:name="_Toc4267"/>
      <w:bookmarkStart w:id="84" w:name="_Toc30790"/>
      <w:bookmarkStart w:id="85" w:name="_Toc60585210"/>
      <w:bookmarkStart w:id="86" w:name="_Toc24018"/>
      <w:r>
        <w:rPr>
          <w:rFonts w:hint="eastAsia" w:ascii="宋体" w:hAnsi="宋体" w:eastAsia="宋体"/>
          <w:sz w:val="24"/>
          <w:szCs w:val="24"/>
        </w:rPr>
        <w:t>三、响应文件编写</w:t>
      </w:r>
      <w:bookmarkEnd w:id="83"/>
      <w:bookmarkEnd w:id="84"/>
      <w:bookmarkEnd w:id="85"/>
      <w:bookmarkEnd w:id="86"/>
    </w:p>
    <w:p>
      <w:pPr>
        <w:pStyle w:val="7"/>
        <w:spacing w:before="0" w:after="0" w:line="500" w:lineRule="exact"/>
        <w:ind w:firstLine="504" w:firstLineChars="209"/>
        <w:rPr>
          <w:rFonts w:ascii="宋体" w:hAnsi="宋体"/>
          <w:sz w:val="24"/>
          <w:szCs w:val="24"/>
        </w:rPr>
      </w:pPr>
      <w:bookmarkStart w:id="87" w:name="_Toc346372886"/>
      <w:bookmarkStart w:id="88" w:name="_Toc346306739"/>
      <w:bookmarkStart w:id="89" w:name="_Toc352332860"/>
      <w:r>
        <w:rPr>
          <w:rFonts w:ascii="宋体" w:hAnsi="宋体"/>
          <w:sz w:val="24"/>
          <w:szCs w:val="24"/>
        </w:rPr>
        <w:t xml:space="preserve">8.   </w:t>
      </w:r>
      <w:r>
        <w:rPr>
          <w:rFonts w:hint="eastAsia" w:ascii="宋体" w:hAnsi="宋体"/>
          <w:sz w:val="24"/>
          <w:szCs w:val="24"/>
        </w:rPr>
        <w:t>报价语言及计量单位</w:t>
      </w:r>
      <w:bookmarkEnd w:id="87"/>
      <w:bookmarkEnd w:id="88"/>
      <w:bookmarkEnd w:id="89"/>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ascii="宋体" w:hAnsi="宋体" w:cs="TimesNewRomanPSMT"/>
          <w:kern w:val="0"/>
          <w:sz w:val="24"/>
        </w:rPr>
        <w:t xml:space="preserve">8.1  </w:t>
      </w:r>
      <w:r>
        <w:rPr>
          <w:rFonts w:hint="eastAsia" w:ascii="宋体" w:hAnsi="宋体" w:cs="TimesNewRomanPSMT"/>
          <w:kern w:val="0"/>
          <w:sz w:val="24"/>
        </w:rPr>
        <w:t>响应人和代理机构就采购过程交换的文件和来往信函均使用中文。</w:t>
      </w:r>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ascii="宋体" w:hAnsi="宋体" w:cs="TimesNewRomanPSMT"/>
          <w:kern w:val="0"/>
          <w:sz w:val="24"/>
        </w:rPr>
        <w:t xml:space="preserve">8.2  </w:t>
      </w:r>
      <w:r>
        <w:rPr>
          <w:rFonts w:hint="eastAsia" w:ascii="宋体" w:hAnsi="宋体" w:cs="TimesNewRomanPSMT"/>
          <w:kern w:val="0"/>
          <w:sz w:val="24"/>
        </w:rPr>
        <w:t>除采购文件的技术要求中另有规定外，响应文件中所使用的计量单位应使用中华人民共和国法定计量单位。</w:t>
      </w:r>
    </w:p>
    <w:p>
      <w:pPr>
        <w:pStyle w:val="7"/>
        <w:spacing w:before="0" w:after="0" w:line="500" w:lineRule="exact"/>
        <w:ind w:firstLine="504" w:firstLineChars="209"/>
        <w:rPr>
          <w:rFonts w:ascii="宋体" w:hAnsi="宋体"/>
          <w:sz w:val="24"/>
          <w:szCs w:val="24"/>
        </w:rPr>
      </w:pPr>
      <w:bookmarkStart w:id="90" w:name="_Toc346306740"/>
      <w:bookmarkStart w:id="91" w:name="_Toc346372887"/>
      <w:bookmarkStart w:id="92" w:name="_Toc352332861"/>
      <w:r>
        <w:rPr>
          <w:rFonts w:ascii="宋体" w:hAnsi="宋体"/>
          <w:sz w:val="24"/>
          <w:szCs w:val="24"/>
        </w:rPr>
        <w:t xml:space="preserve">9.   </w:t>
      </w:r>
      <w:r>
        <w:rPr>
          <w:rFonts w:hint="eastAsia" w:ascii="宋体" w:hAnsi="宋体"/>
          <w:sz w:val="24"/>
          <w:szCs w:val="24"/>
        </w:rPr>
        <w:t>响应文件组成</w:t>
      </w:r>
      <w:bookmarkEnd w:id="90"/>
      <w:bookmarkEnd w:id="91"/>
      <w:bookmarkEnd w:id="92"/>
    </w:p>
    <w:p>
      <w:pPr>
        <w:pStyle w:val="2"/>
        <w:spacing w:after="0" w:line="560" w:lineRule="exact"/>
        <w:ind w:firstLine="573" w:firstLineChars="238"/>
        <w:rPr>
          <w:rFonts w:ascii="宋体" w:hAnsi="宋体"/>
          <w:b/>
          <w:sz w:val="24"/>
        </w:rPr>
      </w:pPr>
      <w:r>
        <w:rPr>
          <w:rFonts w:hint="eastAsia" w:ascii="宋体" w:hAnsi="宋体"/>
          <w:b/>
          <w:sz w:val="24"/>
        </w:rPr>
        <w:t>响应文件由下列部分组成，但不限于以下部分：</w:t>
      </w:r>
    </w:p>
    <w:p>
      <w:pPr>
        <w:pStyle w:val="2"/>
        <w:spacing w:after="0" w:line="560" w:lineRule="exact"/>
        <w:ind w:firstLine="573" w:firstLineChars="238"/>
        <w:rPr>
          <w:rFonts w:ascii="宋体" w:hAnsi="宋体"/>
          <w:b/>
          <w:sz w:val="24"/>
        </w:rPr>
      </w:pPr>
      <w:r>
        <w:rPr>
          <w:rFonts w:ascii="宋体" w:hAnsi="宋体"/>
          <w:b/>
          <w:sz w:val="24"/>
        </w:rPr>
        <w:t xml:space="preserve">9.1 </w:t>
      </w:r>
      <w:r>
        <w:rPr>
          <w:rFonts w:hint="eastAsia" w:ascii="宋体" w:hAnsi="宋体"/>
          <w:b/>
          <w:sz w:val="24"/>
        </w:rPr>
        <w:t>商务部分</w:t>
      </w:r>
    </w:p>
    <w:p>
      <w:pPr>
        <w:pStyle w:val="47"/>
        <w:spacing w:line="560" w:lineRule="exact"/>
        <w:ind w:left="1144" w:leftChars="272" w:hanging="573" w:hangingChars="239"/>
        <w:rPr>
          <w:rFonts w:ascii="宋体" w:hAnsi="宋体"/>
          <w:sz w:val="24"/>
          <w:szCs w:val="20"/>
        </w:rPr>
      </w:pPr>
      <w:bookmarkStart w:id="93" w:name="_Toc346372889"/>
      <w:bookmarkStart w:id="94" w:name="_Toc346306742"/>
      <w:bookmarkStart w:id="95" w:name="_Toc352332863"/>
      <w:r>
        <w:rPr>
          <w:rFonts w:hint="eastAsia" w:ascii="宋体" w:hAnsi="宋体"/>
          <w:sz w:val="24"/>
          <w:szCs w:val="20"/>
        </w:rPr>
        <w:t>（</w:t>
      </w:r>
      <w:r>
        <w:rPr>
          <w:rFonts w:ascii="宋体" w:hAnsi="宋体"/>
          <w:sz w:val="24"/>
          <w:szCs w:val="20"/>
        </w:rPr>
        <w:t>1</w:t>
      </w:r>
      <w:r>
        <w:rPr>
          <w:rFonts w:hint="eastAsia" w:ascii="宋体" w:hAnsi="宋体"/>
          <w:sz w:val="24"/>
          <w:szCs w:val="20"/>
        </w:rPr>
        <w:t>）报价函；</w:t>
      </w:r>
    </w:p>
    <w:p>
      <w:pPr>
        <w:pStyle w:val="2"/>
        <w:spacing w:after="0" w:line="560" w:lineRule="exact"/>
        <w:ind w:firstLine="571" w:firstLineChars="238"/>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）法定代表人授权委托书；</w:t>
      </w:r>
    </w:p>
    <w:p>
      <w:pPr>
        <w:pStyle w:val="2"/>
        <w:spacing w:after="0" w:line="560" w:lineRule="exact"/>
        <w:ind w:firstLine="571" w:firstLineChars="238"/>
        <w:rPr>
          <w:rFonts w:ascii="宋体" w:hAnsi="宋体"/>
          <w:sz w:val="24"/>
        </w:rPr>
      </w:pPr>
      <w:r>
        <w:rPr>
          <w:rFonts w:hint="eastAsia" w:ascii="宋体" w:hAnsi="宋体"/>
          <w:sz w:val="24"/>
        </w:rPr>
        <w:t>（3）首轮报价一览表；</w:t>
      </w:r>
    </w:p>
    <w:p>
      <w:pPr>
        <w:pStyle w:val="2"/>
        <w:spacing w:after="0" w:line="560" w:lineRule="exact"/>
        <w:ind w:firstLine="571" w:firstLineChars="238"/>
        <w:rPr>
          <w:rFonts w:ascii="宋体" w:hAnsi="宋体"/>
          <w:sz w:val="24"/>
        </w:rPr>
      </w:pPr>
      <w:r>
        <w:rPr>
          <w:rFonts w:hint="eastAsia" w:ascii="宋体" w:hAnsi="宋体"/>
          <w:sz w:val="24"/>
        </w:rPr>
        <w:t>（4）商务响应一览表；</w:t>
      </w:r>
    </w:p>
    <w:p>
      <w:pPr>
        <w:pStyle w:val="2"/>
        <w:spacing w:after="0" w:line="560" w:lineRule="exact"/>
        <w:ind w:firstLine="571" w:firstLineChars="238"/>
        <w:rPr>
          <w:rFonts w:ascii="宋体" w:hAnsi="宋体"/>
          <w:sz w:val="24"/>
        </w:rPr>
      </w:pPr>
      <w:r>
        <w:rPr>
          <w:rFonts w:hint="eastAsia" w:ascii="宋体" w:hAnsi="宋体"/>
          <w:sz w:val="24"/>
        </w:rPr>
        <w:t>（5）近年类似业绩一览表，附相关证明材料；</w:t>
      </w:r>
    </w:p>
    <w:p>
      <w:pPr>
        <w:pStyle w:val="2"/>
        <w:spacing w:after="0" w:line="560" w:lineRule="exact"/>
        <w:ind w:firstLine="571" w:firstLineChars="238"/>
        <w:rPr>
          <w:rFonts w:ascii="宋体" w:hAnsi="宋体"/>
          <w:sz w:val="24"/>
        </w:rPr>
      </w:pPr>
      <w:r>
        <w:rPr>
          <w:rFonts w:hint="eastAsia" w:ascii="宋体" w:hAnsi="宋体"/>
          <w:sz w:val="24"/>
        </w:rPr>
        <w:t>（6）人员配备相关证明材料；</w:t>
      </w:r>
    </w:p>
    <w:p>
      <w:pPr>
        <w:pStyle w:val="2"/>
        <w:spacing w:after="0" w:line="560" w:lineRule="exact"/>
        <w:ind w:firstLine="571" w:firstLineChars="238"/>
        <w:rPr>
          <w:rFonts w:ascii="宋体" w:hAnsi="宋体"/>
          <w:sz w:val="24"/>
        </w:rPr>
      </w:pPr>
      <w:r>
        <w:rPr>
          <w:rFonts w:hint="eastAsia" w:ascii="宋体" w:hAnsi="宋体"/>
          <w:sz w:val="24"/>
        </w:rPr>
        <w:t>（7）综合实力相关证明材料；</w:t>
      </w:r>
    </w:p>
    <w:p>
      <w:pPr>
        <w:pStyle w:val="2"/>
        <w:spacing w:after="0" w:line="560" w:lineRule="exact"/>
        <w:ind w:firstLine="571" w:firstLineChars="238"/>
        <w:rPr>
          <w:rFonts w:ascii="宋体" w:hAnsi="宋体"/>
          <w:sz w:val="24"/>
        </w:rPr>
      </w:pPr>
      <w:r>
        <w:rPr>
          <w:rFonts w:hint="eastAsia" w:ascii="宋体" w:hAnsi="宋体"/>
          <w:sz w:val="24"/>
        </w:rPr>
        <w:t>（8）商务情况表；</w:t>
      </w:r>
    </w:p>
    <w:p>
      <w:pPr>
        <w:pStyle w:val="2"/>
        <w:spacing w:after="0" w:line="560" w:lineRule="exact"/>
        <w:ind w:firstLine="571" w:firstLineChars="238"/>
        <w:rPr>
          <w:rFonts w:ascii="宋体" w:hAnsi="宋体"/>
          <w:sz w:val="24"/>
        </w:rPr>
      </w:pPr>
      <w:r>
        <w:rPr>
          <w:rFonts w:hint="eastAsia" w:ascii="宋体" w:hAnsi="宋体"/>
          <w:sz w:val="24"/>
        </w:rPr>
        <w:t>（9）中小企业声明函（如有）；</w:t>
      </w:r>
    </w:p>
    <w:p>
      <w:pPr>
        <w:pStyle w:val="2"/>
        <w:spacing w:after="0" w:line="560" w:lineRule="exact"/>
        <w:ind w:firstLine="571" w:firstLineChars="238"/>
        <w:rPr>
          <w:rFonts w:ascii="宋体" w:hAnsi="宋体"/>
          <w:sz w:val="24"/>
        </w:rPr>
      </w:pPr>
      <w:r>
        <w:rPr>
          <w:rFonts w:hint="eastAsia" w:ascii="宋体" w:hAnsi="宋体"/>
          <w:sz w:val="24"/>
        </w:rPr>
        <w:t>（10）残疾人福利性单位声明函（如有）；</w:t>
      </w:r>
    </w:p>
    <w:p>
      <w:pPr>
        <w:pStyle w:val="2"/>
        <w:spacing w:after="0" w:line="560" w:lineRule="exact"/>
        <w:ind w:firstLine="571" w:firstLineChars="238"/>
        <w:rPr>
          <w:rFonts w:ascii="宋体" w:hAnsi="宋体"/>
          <w:sz w:val="24"/>
        </w:rPr>
      </w:pPr>
      <w:r>
        <w:rPr>
          <w:rFonts w:hint="eastAsia" w:ascii="宋体" w:hAnsi="宋体"/>
          <w:sz w:val="24"/>
        </w:rPr>
        <w:t>（11）省级以上监狱管理局、戒毒管理局（含新疆生产建设兵团）出具的属于监狱企业的证明文件（如有）；</w:t>
      </w:r>
    </w:p>
    <w:p>
      <w:pPr>
        <w:pStyle w:val="2"/>
        <w:spacing w:after="0" w:line="560" w:lineRule="exact"/>
        <w:ind w:firstLine="571" w:firstLineChars="238"/>
        <w:rPr>
          <w:rFonts w:ascii="宋体" w:hAnsi="宋体"/>
          <w:sz w:val="24"/>
        </w:rPr>
      </w:pPr>
      <w:r>
        <w:rPr>
          <w:rFonts w:hint="eastAsia" w:ascii="宋体" w:hAnsi="宋体"/>
          <w:sz w:val="24"/>
        </w:rPr>
        <w:t>（12）响应人认为需要加以说明的其他内容。</w:t>
      </w:r>
    </w:p>
    <w:p>
      <w:pPr>
        <w:pStyle w:val="2"/>
        <w:spacing w:after="0" w:line="560" w:lineRule="exact"/>
        <w:ind w:firstLine="573" w:firstLineChars="238"/>
        <w:rPr>
          <w:rFonts w:ascii="宋体" w:hAnsi="宋体"/>
          <w:b/>
          <w:sz w:val="24"/>
        </w:rPr>
      </w:pPr>
      <w:r>
        <w:rPr>
          <w:rFonts w:ascii="宋体" w:hAnsi="宋体"/>
          <w:b/>
          <w:sz w:val="24"/>
        </w:rPr>
        <w:t xml:space="preserve">9.2 </w:t>
      </w:r>
      <w:r>
        <w:rPr>
          <w:rFonts w:hint="eastAsia" w:ascii="宋体" w:hAnsi="宋体"/>
          <w:b/>
          <w:sz w:val="24"/>
        </w:rPr>
        <w:t>技术部分</w:t>
      </w:r>
    </w:p>
    <w:p>
      <w:pPr>
        <w:pStyle w:val="2"/>
        <w:spacing w:line="560" w:lineRule="exact"/>
        <w:ind w:firstLine="571" w:firstLineChars="238"/>
        <w:rPr>
          <w:rFonts w:ascii="宋体" w:hAnsi="宋体"/>
          <w:sz w:val="24"/>
        </w:rPr>
      </w:pPr>
      <w:r>
        <w:rPr>
          <w:rFonts w:hint="eastAsia" w:ascii="宋体" w:hAnsi="宋体"/>
          <w:sz w:val="24"/>
        </w:rPr>
        <w:t>（1）造价咨询服务实施方案；</w:t>
      </w:r>
    </w:p>
    <w:p>
      <w:pPr>
        <w:pStyle w:val="2"/>
        <w:spacing w:line="560" w:lineRule="exact"/>
        <w:ind w:firstLine="571" w:firstLineChars="238"/>
        <w:rPr>
          <w:rFonts w:ascii="宋体" w:hAnsi="宋体"/>
          <w:sz w:val="24"/>
        </w:rPr>
      </w:pPr>
      <w:r>
        <w:rPr>
          <w:rFonts w:hint="eastAsia" w:ascii="宋体" w:hAnsi="宋体"/>
          <w:sz w:val="24"/>
        </w:rPr>
        <w:t>（2）工程造价咨询人员岗位职责、职业道德、行为守则、工作制度；</w:t>
      </w:r>
    </w:p>
    <w:p>
      <w:pPr>
        <w:pStyle w:val="2"/>
        <w:spacing w:line="560" w:lineRule="exact"/>
        <w:ind w:firstLine="571" w:firstLineChars="238"/>
        <w:rPr>
          <w:rFonts w:ascii="宋体" w:hAnsi="宋体"/>
          <w:sz w:val="24"/>
        </w:rPr>
      </w:pPr>
      <w:r>
        <w:rPr>
          <w:rFonts w:hint="eastAsia" w:ascii="宋体" w:hAnsi="宋体"/>
          <w:sz w:val="24"/>
        </w:rPr>
        <w:t>（3）驻场方案；</w:t>
      </w:r>
    </w:p>
    <w:p>
      <w:pPr>
        <w:pStyle w:val="2"/>
        <w:spacing w:line="560" w:lineRule="exact"/>
        <w:ind w:firstLine="571" w:firstLineChars="238"/>
        <w:rPr>
          <w:rFonts w:ascii="宋体" w:hAnsi="宋体"/>
          <w:sz w:val="24"/>
        </w:rPr>
      </w:pPr>
      <w:r>
        <w:rPr>
          <w:rFonts w:hint="eastAsia" w:ascii="宋体" w:hAnsi="宋体"/>
          <w:sz w:val="24"/>
        </w:rPr>
        <w:t>（4）承诺及保障措施；</w:t>
      </w:r>
    </w:p>
    <w:p>
      <w:pPr>
        <w:pStyle w:val="2"/>
        <w:spacing w:line="560" w:lineRule="exact"/>
        <w:ind w:firstLine="571" w:firstLineChars="238"/>
        <w:rPr>
          <w:rFonts w:ascii="宋体" w:hAnsi="宋体"/>
          <w:sz w:val="24"/>
        </w:rPr>
      </w:pPr>
      <w:r>
        <w:rPr>
          <w:rFonts w:hint="eastAsia" w:ascii="宋体" w:hAnsi="宋体"/>
          <w:sz w:val="24"/>
        </w:rPr>
        <w:t>（5）企业能力相关证明材料；</w:t>
      </w:r>
    </w:p>
    <w:p>
      <w:pPr>
        <w:pStyle w:val="2"/>
        <w:spacing w:line="560" w:lineRule="exact"/>
        <w:ind w:firstLine="571" w:firstLineChars="238"/>
        <w:rPr>
          <w:rFonts w:ascii="宋体" w:hAnsi="宋体"/>
          <w:sz w:val="24"/>
        </w:rPr>
      </w:pPr>
      <w:r>
        <w:rPr>
          <w:rFonts w:hint="eastAsia" w:ascii="宋体" w:hAnsi="宋体"/>
          <w:sz w:val="24"/>
        </w:rPr>
        <w:t>（6）响应人认为需要提供的其他材料或说明。</w:t>
      </w:r>
    </w:p>
    <w:p>
      <w:pPr>
        <w:pStyle w:val="2"/>
        <w:spacing w:after="0" w:line="560" w:lineRule="exact"/>
        <w:ind w:firstLine="573" w:firstLineChars="238"/>
        <w:rPr>
          <w:rFonts w:ascii="宋体" w:hAnsi="宋体"/>
          <w:b/>
          <w:sz w:val="24"/>
        </w:rPr>
      </w:pPr>
      <w:r>
        <w:rPr>
          <w:rFonts w:ascii="宋体" w:hAnsi="宋体"/>
          <w:b/>
          <w:sz w:val="24"/>
        </w:rPr>
        <w:t>9.3</w:t>
      </w:r>
      <w:r>
        <w:rPr>
          <w:rFonts w:hint="eastAsia" w:ascii="宋体" w:hAnsi="宋体"/>
          <w:b/>
          <w:sz w:val="24"/>
        </w:rPr>
        <w:t>资格证明文件：</w:t>
      </w:r>
    </w:p>
    <w:p>
      <w:pPr>
        <w:pStyle w:val="2"/>
        <w:spacing w:after="0" w:line="560" w:lineRule="exact"/>
        <w:ind w:firstLine="571" w:firstLineChars="238"/>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）按《政府采购法实施条例》第十七条的规定，应提供的基本资格条件证明材料，详见响应人须知前附表</w:t>
      </w:r>
      <w:r>
        <w:rPr>
          <w:rFonts w:hint="eastAsia" w:ascii="宋体" w:hAnsi="宋体"/>
          <w:b/>
          <w:bCs/>
          <w:sz w:val="24"/>
        </w:rPr>
        <w:t>第六条</w:t>
      </w:r>
      <w:r>
        <w:rPr>
          <w:rFonts w:hint="eastAsia" w:ascii="宋体" w:hAnsi="宋体"/>
          <w:sz w:val="24"/>
        </w:rPr>
        <w:t>。</w:t>
      </w:r>
    </w:p>
    <w:p>
      <w:pPr>
        <w:pStyle w:val="2"/>
        <w:spacing w:after="0" w:line="560" w:lineRule="exact"/>
        <w:ind w:firstLine="571" w:firstLineChars="238"/>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）响应人认为需要提交的其他相关证明文件。</w:t>
      </w:r>
    </w:p>
    <w:p>
      <w:pPr>
        <w:pStyle w:val="2"/>
        <w:spacing w:after="0" w:line="560" w:lineRule="exact"/>
        <w:ind w:firstLine="571" w:firstLineChars="238"/>
        <w:rPr>
          <w:rFonts w:ascii="宋体" w:hAnsi="宋体" w:cs="宋体"/>
        </w:rPr>
      </w:pPr>
      <w:r>
        <w:rPr>
          <w:rFonts w:hint="eastAsia" w:ascii="宋体" w:hAnsi="宋体"/>
          <w:sz w:val="24"/>
        </w:rPr>
        <w:t>响应人可将商务部分、技术部分、资格证明部分顺序胶装装订，并自正文首页开始编制连续页码。页数较多时，可以分册装订。采购文件中未提供格式，响应人可自拟格式</w:t>
      </w:r>
      <w:r>
        <w:rPr>
          <w:rFonts w:hint="eastAsia" w:ascii="宋体" w:hAnsi="宋体" w:cs="宋体"/>
        </w:rPr>
        <w:t>。</w:t>
      </w:r>
      <w:r>
        <w:rPr>
          <w:rFonts w:hint="eastAsia" w:ascii="宋体" w:hAnsi="宋体"/>
          <w:b/>
          <w:sz w:val="24"/>
        </w:rPr>
        <w:t>因未按上述顺序装订或响应文件未胶装散页导致无法评审等，由此造成的评审问题由响应人自行承担责任。资格、资质证明部分须装订在响应文件中，否则不予认可。</w:t>
      </w:r>
    </w:p>
    <w:p>
      <w:pPr>
        <w:pStyle w:val="2"/>
        <w:spacing w:after="0" w:line="560" w:lineRule="exact"/>
        <w:ind w:firstLine="571" w:firstLineChars="238"/>
        <w:rPr>
          <w:rFonts w:ascii="宋体" w:hAnsi="宋体"/>
          <w:sz w:val="24"/>
        </w:rPr>
      </w:pPr>
      <w:r>
        <w:rPr>
          <w:rFonts w:ascii="宋体" w:hAnsi="宋体"/>
          <w:sz w:val="24"/>
        </w:rPr>
        <w:t xml:space="preserve">10.  </w:t>
      </w:r>
      <w:r>
        <w:rPr>
          <w:rFonts w:hint="eastAsia" w:ascii="宋体" w:hAnsi="宋体"/>
          <w:sz w:val="24"/>
        </w:rPr>
        <w:t>报价</w:t>
      </w:r>
      <w:bookmarkEnd w:id="93"/>
      <w:bookmarkEnd w:id="94"/>
      <w:bookmarkEnd w:id="95"/>
    </w:p>
    <w:p>
      <w:pPr>
        <w:pStyle w:val="2"/>
        <w:spacing w:after="0" w:line="560" w:lineRule="exact"/>
        <w:ind w:firstLine="573" w:firstLineChars="238"/>
        <w:rPr>
          <w:rFonts w:ascii="宋体" w:hAnsi="宋体"/>
          <w:sz w:val="24"/>
        </w:rPr>
      </w:pPr>
      <w:r>
        <w:rPr>
          <w:rFonts w:ascii="宋体" w:hAnsi="宋体"/>
          <w:b/>
          <w:sz w:val="24"/>
        </w:rPr>
        <w:t>10.1</w:t>
      </w:r>
      <w:r>
        <w:rPr>
          <w:rFonts w:hint="eastAsia" w:ascii="宋体" w:hAnsi="宋体"/>
          <w:b/>
          <w:sz w:val="24"/>
        </w:rPr>
        <w:t>响应人限报一种方案报价，采购人不接受可选择的报价方案。</w:t>
      </w:r>
      <w:r>
        <w:rPr>
          <w:rFonts w:hint="eastAsia" w:ascii="宋体" w:hAnsi="宋体"/>
          <w:sz w:val="24"/>
        </w:rPr>
        <w:t>响应人的报价中应包括直接成本（现场审计人员工资及差旅费、补助费等用于工程审计人员的其他专项开支、工程造价咨询期间与审计工作相关的设备、仪器费用、常规试验检测费用等），间接成本（公司管理人员工资、行政办公费、业务培训费用等）、税金、利润等完成本工程造价咨询工作所需的全部费用。报价币种为人民币。</w:t>
      </w:r>
    </w:p>
    <w:p>
      <w:pPr>
        <w:pStyle w:val="2"/>
        <w:spacing w:after="0" w:line="560" w:lineRule="exact"/>
        <w:ind w:firstLine="573" w:firstLineChars="238"/>
        <w:rPr>
          <w:rFonts w:ascii="宋体" w:hAnsi="宋体"/>
          <w:b/>
          <w:sz w:val="24"/>
        </w:rPr>
      </w:pPr>
      <w:r>
        <w:rPr>
          <w:rFonts w:ascii="宋体" w:hAnsi="宋体"/>
          <w:b/>
          <w:sz w:val="24"/>
        </w:rPr>
        <w:t>10.2</w:t>
      </w:r>
      <w:r>
        <w:rPr>
          <w:rFonts w:hint="eastAsia" w:ascii="宋体" w:hAnsi="宋体"/>
          <w:b/>
          <w:sz w:val="24"/>
        </w:rPr>
        <w:t xml:space="preserve"> 本项目为竞争性磋商项目，磋商小组可要求所有实质性响应本采购文件的响应人在规定时间内提交二次报价或最终报价，最终报价是响应人响应文件的有效组成部分。</w:t>
      </w:r>
    </w:p>
    <w:p>
      <w:pPr>
        <w:pStyle w:val="2"/>
        <w:spacing w:after="0" w:line="560" w:lineRule="exact"/>
        <w:ind w:firstLine="571" w:firstLineChars="238"/>
        <w:rPr>
          <w:rFonts w:ascii="宋体" w:hAnsi="宋体"/>
          <w:sz w:val="24"/>
        </w:rPr>
      </w:pPr>
      <w:r>
        <w:rPr>
          <w:rFonts w:hint="eastAsia" w:ascii="宋体" w:hAnsi="宋体"/>
          <w:sz w:val="24"/>
        </w:rPr>
        <w:t>10.3</w:t>
      </w:r>
      <w:r>
        <w:rPr>
          <w:rFonts w:hint="eastAsia" w:ascii="宋体" w:hAnsi="宋体" w:cs="宋体"/>
          <w:bCs/>
          <w:sz w:val="24"/>
        </w:rPr>
        <w:t>★</w:t>
      </w:r>
      <w:r>
        <w:rPr>
          <w:rFonts w:hint="eastAsia" w:ascii="宋体" w:hAnsi="宋体" w:cs="宋体"/>
          <w:b/>
          <w:sz w:val="24"/>
        </w:rPr>
        <w:t>响应人所投同一个包中，两个或以上报价一览表不一致的，视为投报多个方案，除非竞争性磋商文件明确规定接受备选方案外，均按未实质性响应磋商文件处理</w:t>
      </w:r>
      <w:r>
        <w:rPr>
          <w:rFonts w:hint="eastAsia" w:ascii="宋体" w:hAnsi="宋体" w:cs="宋体"/>
          <w:b/>
          <w:bCs/>
          <w:sz w:val="24"/>
        </w:rPr>
        <w:t>。</w:t>
      </w:r>
    </w:p>
    <w:p>
      <w:pPr>
        <w:pStyle w:val="7"/>
        <w:spacing w:before="0" w:after="0" w:line="500" w:lineRule="exact"/>
        <w:ind w:firstLine="504" w:firstLineChars="209"/>
        <w:rPr>
          <w:rFonts w:ascii="宋体" w:hAnsi="宋体"/>
          <w:sz w:val="24"/>
          <w:szCs w:val="24"/>
        </w:rPr>
      </w:pPr>
      <w:bookmarkStart w:id="96" w:name="_Toc346306753"/>
      <w:bookmarkStart w:id="97" w:name="_Toc346372900"/>
      <w:bookmarkStart w:id="98" w:name="_Toc352332874"/>
      <w:r>
        <w:rPr>
          <w:rFonts w:hint="eastAsia" w:ascii="宋体" w:hAnsi="宋体"/>
          <w:sz w:val="24"/>
          <w:szCs w:val="24"/>
        </w:rPr>
        <w:t>11.  响应文件编写</w:t>
      </w:r>
    </w:p>
    <w:p>
      <w:pPr>
        <w:pStyle w:val="2"/>
        <w:spacing w:after="0" w:line="560" w:lineRule="exact"/>
        <w:ind w:firstLine="571" w:firstLineChars="238"/>
        <w:rPr>
          <w:rFonts w:ascii="宋体" w:hAnsi="宋体"/>
          <w:sz w:val="24"/>
        </w:rPr>
      </w:pPr>
      <w:r>
        <w:rPr>
          <w:rFonts w:hint="eastAsia" w:ascii="宋体" w:hAnsi="宋体"/>
          <w:sz w:val="24"/>
        </w:rPr>
        <w:t>11.1响应文件应按“响应文件组成”进行编写，如有必要，可以增加附页，作为响应文件的组成部分。</w:t>
      </w:r>
    </w:p>
    <w:p>
      <w:pPr>
        <w:pStyle w:val="2"/>
        <w:spacing w:after="0" w:line="560" w:lineRule="exact"/>
        <w:ind w:firstLine="571" w:firstLineChars="238"/>
        <w:rPr>
          <w:rFonts w:ascii="宋体" w:hAnsi="宋体"/>
          <w:sz w:val="24"/>
        </w:rPr>
      </w:pPr>
      <w:r>
        <w:rPr>
          <w:rFonts w:hint="eastAsia" w:ascii="宋体" w:hAnsi="宋体"/>
          <w:sz w:val="24"/>
        </w:rPr>
        <w:t>11.2响应文件应用不褪色的材料打印或复印。</w:t>
      </w:r>
    </w:p>
    <w:p>
      <w:pPr>
        <w:pStyle w:val="2"/>
        <w:spacing w:after="0" w:line="560" w:lineRule="exact"/>
        <w:ind w:firstLine="571" w:firstLineChars="238"/>
        <w:rPr>
          <w:rFonts w:ascii="宋体" w:hAnsi="宋体"/>
          <w:sz w:val="24"/>
        </w:rPr>
      </w:pPr>
      <w:r>
        <w:rPr>
          <w:rFonts w:hint="eastAsia" w:ascii="宋体" w:hAnsi="宋体"/>
          <w:sz w:val="24"/>
        </w:rPr>
        <w:t>11.3响应文件应尽量避免涂改、行间插字或删除。如果出现上述情况，改动之处应加盖单位章或由响应人的法定代表人或其授权的代理人签字确认。</w:t>
      </w:r>
    </w:p>
    <w:p>
      <w:pPr>
        <w:pStyle w:val="2"/>
        <w:spacing w:line="560" w:lineRule="exact"/>
        <w:ind w:firstLine="571" w:firstLineChars="238"/>
        <w:rPr>
          <w:rFonts w:ascii="宋体" w:hAnsi="宋体"/>
          <w:sz w:val="24"/>
        </w:rPr>
      </w:pPr>
      <w:r>
        <w:rPr>
          <w:rFonts w:hint="eastAsia" w:ascii="宋体" w:hAnsi="宋体"/>
          <w:sz w:val="24"/>
        </w:rPr>
        <w:t>11.4响应人须如实响应采购文件要求，在响应文件中如实提供其服务方案。响应人不得复制粘贴采购文件中的商务及服务要求作为其响应文件的响应情况，否则，磋商小组有权作出不利于响应人的认定。</w:t>
      </w:r>
    </w:p>
    <w:p>
      <w:pPr>
        <w:pStyle w:val="2"/>
        <w:spacing w:line="560" w:lineRule="exact"/>
        <w:ind w:firstLine="571" w:firstLineChars="238"/>
        <w:rPr>
          <w:rFonts w:ascii="宋体" w:hAnsi="宋体"/>
          <w:sz w:val="24"/>
        </w:rPr>
      </w:pPr>
      <w:r>
        <w:rPr>
          <w:rFonts w:hint="eastAsia" w:ascii="宋体" w:hAnsi="宋体"/>
          <w:sz w:val="24"/>
        </w:rPr>
        <w:t>11.5响应人提供的支持资料和已印刷的文献（如有关服务的技术部分）可以用另一种语言，但相应内容应附有中文翻译本或中外文对照，在解释响应文件时以中文翻译本为准。若响应人的中文翻译本与外文版明显不符的，则磋商小组有权作出不利于响应人的认定。</w:t>
      </w:r>
    </w:p>
    <w:p>
      <w:pPr>
        <w:pStyle w:val="2"/>
        <w:spacing w:line="560" w:lineRule="exact"/>
        <w:ind w:firstLine="571" w:firstLineChars="238"/>
        <w:rPr>
          <w:rFonts w:ascii="宋体" w:hAnsi="宋体"/>
          <w:sz w:val="24"/>
        </w:rPr>
      </w:pPr>
      <w:r>
        <w:rPr>
          <w:rFonts w:hint="eastAsia" w:ascii="宋体" w:hAnsi="宋体"/>
          <w:sz w:val="24"/>
        </w:rPr>
        <w:t>11.6响应人须注意：为合理节约政府采购评审成本，提倡诚实信用的报价行为，特别要求响应人应本着诚信精神，在本次响应文件的偏离表中，均以审慎的态度明确、清楚地披露各项偏离。若响应人对某一事项是否存在或是否属于偏离不能确定，亦必须在偏离表中清楚地表明该偏离事项，并可以注明不能确定的字样。</w:t>
      </w:r>
    </w:p>
    <w:p>
      <w:pPr>
        <w:pStyle w:val="7"/>
        <w:spacing w:before="0" w:after="0" w:line="500" w:lineRule="exact"/>
        <w:ind w:firstLine="504" w:firstLineChars="209"/>
        <w:rPr>
          <w:rFonts w:ascii="宋体" w:hAnsi="宋体"/>
          <w:sz w:val="24"/>
          <w:szCs w:val="24"/>
        </w:rPr>
      </w:pPr>
      <w:r>
        <w:rPr>
          <w:rFonts w:hint="eastAsia" w:ascii="宋体" w:hAnsi="宋体"/>
          <w:sz w:val="24"/>
          <w:szCs w:val="24"/>
        </w:rPr>
        <w:t xml:space="preserve">12.  </w:t>
      </w:r>
      <w:r>
        <w:rPr>
          <w:rFonts w:hint="eastAsia" w:ascii="宋体" w:hAnsi="宋体"/>
          <w:sz w:val="24"/>
        </w:rPr>
        <w:t>响应文件</w:t>
      </w:r>
      <w:r>
        <w:rPr>
          <w:rFonts w:hint="eastAsia" w:ascii="宋体" w:hAnsi="宋体"/>
          <w:sz w:val="24"/>
          <w:szCs w:val="24"/>
        </w:rPr>
        <w:t>签署</w:t>
      </w:r>
    </w:p>
    <w:p>
      <w:pPr>
        <w:pStyle w:val="2"/>
        <w:spacing w:after="0" w:line="560" w:lineRule="exact"/>
        <w:ind w:firstLine="573" w:firstLineChars="238"/>
        <w:rPr>
          <w:rFonts w:ascii="宋体" w:hAnsi="宋体"/>
          <w:b/>
          <w:sz w:val="24"/>
        </w:rPr>
      </w:pPr>
      <w:r>
        <w:rPr>
          <w:rFonts w:hint="eastAsia" w:ascii="宋体" w:hAnsi="宋体"/>
          <w:b/>
          <w:sz w:val="24"/>
        </w:rPr>
        <w:t>★响应文件应加盖响应人公章（不得使用其他形式如带有“专用章”等字样的印章）并经法定代表人或其委托代理人签署（签字或加盖人名章），由委托代理人签字的响应文件中须附授权委托书。响应人代表必须按采购文件的规定签署响应文件正本（副本可用正本复印件）。未按采购文件要求签署及盖章的响应文件无效。</w:t>
      </w:r>
    </w:p>
    <w:p>
      <w:pPr>
        <w:pStyle w:val="7"/>
        <w:spacing w:before="0" w:after="0" w:line="500" w:lineRule="exact"/>
        <w:ind w:firstLine="504" w:firstLineChars="209"/>
        <w:rPr>
          <w:rFonts w:ascii="宋体" w:hAnsi="宋体"/>
          <w:sz w:val="24"/>
          <w:szCs w:val="24"/>
        </w:rPr>
      </w:pPr>
      <w:r>
        <w:rPr>
          <w:rFonts w:hint="eastAsia" w:ascii="宋体" w:hAnsi="宋体"/>
          <w:sz w:val="24"/>
          <w:szCs w:val="24"/>
        </w:rPr>
        <w:t xml:space="preserve">13.  </w:t>
      </w:r>
      <w:r>
        <w:rPr>
          <w:rFonts w:hint="eastAsia" w:ascii="宋体" w:hAnsi="宋体"/>
          <w:sz w:val="24"/>
        </w:rPr>
        <w:t>响应文件</w:t>
      </w:r>
      <w:r>
        <w:rPr>
          <w:rFonts w:hint="eastAsia" w:ascii="宋体" w:hAnsi="宋体"/>
          <w:sz w:val="24"/>
          <w:szCs w:val="24"/>
        </w:rPr>
        <w:t>密封和标记</w:t>
      </w:r>
    </w:p>
    <w:p>
      <w:pPr>
        <w:pStyle w:val="2"/>
        <w:spacing w:after="0" w:line="560" w:lineRule="exact"/>
        <w:ind w:firstLine="571" w:firstLineChars="238"/>
        <w:rPr>
          <w:rFonts w:ascii="宋体" w:hAnsi="宋体"/>
          <w:sz w:val="24"/>
        </w:rPr>
      </w:pPr>
      <w:r>
        <w:rPr>
          <w:rFonts w:hint="eastAsia" w:ascii="宋体" w:hAnsi="宋体"/>
          <w:sz w:val="24"/>
        </w:rPr>
        <w:t>13.1响应人应准备的响应文件份数见响应人须知前附表，响应人应在每一份响应文件上注明“正本”或“副本”字样。</w:t>
      </w:r>
    </w:p>
    <w:p>
      <w:pPr>
        <w:pStyle w:val="2"/>
        <w:spacing w:after="0" w:line="560" w:lineRule="exact"/>
        <w:ind w:firstLine="571" w:firstLineChars="238"/>
        <w:rPr>
          <w:rFonts w:ascii="宋体" w:hAnsi="宋体"/>
          <w:sz w:val="24"/>
        </w:rPr>
      </w:pPr>
      <w:r>
        <w:rPr>
          <w:rFonts w:hint="eastAsia" w:ascii="宋体" w:hAnsi="宋体"/>
          <w:sz w:val="24"/>
        </w:rPr>
        <w:t>13.2响应文件的密封和标记详见响应人须知前附表。</w:t>
      </w:r>
    </w:p>
    <w:p>
      <w:pPr>
        <w:pStyle w:val="2"/>
        <w:spacing w:after="0" w:line="560" w:lineRule="exact"/>
        <w:ind w:firstLine="571" w:firstLineChars="238"/>
        <w:rPr>
          <w:rFonts w:ascii="宋体" w:hAnsi="宋体"/>
          <w:sz w:val="24"/>
        </w:rPr>
      </w:pPr>
      <w:r>
        <w:rPr>
          <w:rFonts w:hint="eastAsia" w:ascii="宋体" w:hAnsi="宋体"/>
          <w:sz w:val="24"/>
        </w:rPr>
        <w:t>13.3</w:t>
      </w:r>
      <w:r>
        <w:rPr>
          <w:rFonts w:ascii="宋体" w:hAnsi="宋体"/>
          <w:sz w:val="24"/>
        </w:rPr>
        <w:t>如果</w:t>
      </w:r>
      <w:r>
        <w:rPr>
          <w:rFonts w:hint="eastAsia" w:ascii="宋体" w:hAnsi="宋体"/>
          <w:sz w:val="24"/>
        </w:rPr>
        <w:t>响应人</w:t>
      </w:r>
      <w:r>
        <w:rPr>
          <w:rFonts w:ascii="宋体" w:hAnsi="宋体"/>
          <w:sz w:val="24"/>
        </w:rPr>
        <w:t>未按上述要求对响应文件密封及加写标记，</w:t>
      </w:r>
      <w:r>
        <w:rPr>
          <w:rFonts w:hint="eastAsia" w:ascii="宋体" w:hAnsi="宋体"/>
          <w:sz w:val="24"/>
        </w:rPr>
        <w:t>采购人及采购代理</w:t>
      </w:r>
      <w:r>
        <w:rPr>
          <w:rFonts w:ascii="宋体" w:hAnsi="宋体"/>
          <w:sz w:val="24"/>
        </w:rPr>
        <w:t>对响应文件的误投和提前启封概不负责。对由此造成提前开封的响应文件，</w:t>
      </w:r>
      <w:r>
        <w:rPr>
          <w:rFonts w:hint="eastAsia" w:ascii="宋体" w:hAnsi="宋体"/>
          <w:sz w:val="24"/>
        </w:rPr>
        <w:t>采购人及采购代理</w:t>
      </w:r>
      <w:r>
        <w:rPr>
          <w:rFonts w:ascii="宋体" w:hAnsi="宋体"/>
          <w:sz w:val="24"/>
        </w:rPr>
        <w:t>有权予以拒绝，并退回</w:t>
      </w:r>
      <w:r>
        <w:rPr>
          <w:rFonts w:hint="eastAsia" w:ascii="宋体" w:hAnsi="宋体"/>
          <w:sz w:val="24"/>
        </w:rPr>
        <w:t>响应人</w:t>
      </w:r>
      <w:r>
        <w:rPr>
          <w:rFonts w:ascii="宋体" w:hAnsi="宋体"/>
          <w:sz w:val="24"/>
        </w:rPr>
        <w:t>。</w:t>
      </w:r>
    </w:p>
    <w:p>
      <w:pPr>
        <w:pStyle w:val="7"/>
        <w:spacing w:before="0" w:after="0" w:line="500" w:lineRule="exact"/>
        <w:ind w:firstLine="504" w:firstLineChars="209"/>
        <w:rPr>
          <w:rFonts w:ascii="宋体" w:hAnsi="宋体"/>
          <w:sz w:val="24"/>
          <w:szCs w:val="24"/>
        </w:rPr>
      </w:pPr>
      <w:r>
        <w:rPr>
          <w:rFonts w:hint="eastAsia" w:ascii="宋体" w:hAnsi="宋体"/>
          <w:sz w:val="24"/>
          <w:szCs w:val="24"/>
        </w:rPr>
        <w:t xml:space="preserve">14.  </w:t>
      </w:r>
      <w:r>
        <w:rPr>
          <w:rFonts w:hint="eastAsia" w:ascii="宋体" w:hAnsi="宋体"/>
          <w:sz w:val="24"/>
        </w:rPr>
        <w:t>响应文件</w:t>
      </w:r>
      <w:r>
        <w:rPr>
          <w:rFonts w:hint="eastAsia" w:ascii="宋体" w:hAnsi="宋体"/>
          <w:sz w:val="24"/>
          <w:szCs w:val="24"/>
        </w:rPr>
        <w:t>装订</w:t>
      </w:r>
    </w:p>
    <w:p>
      <w:pPr>
        <w:pStyle w:val="2"/>
        <w:spacing w:after="0" w:line="560" w:lineRule="exact"/>
        <w:ind w:firstLine="600" w:firstLineChars="250"/>
        <w:rPr>
          <w:rFonts w:ascii="宋体" w:hAnsi="宋体"/>
          <w:sz w:val="24"/>
        </w:rPr>
      </w:pPr>
      <w:r>
        <w:rPr>
          <w:rFonts w:hint="eastAsia" w:ascii="宋体" w:hAnsi="宋体"/>
          <w:sz w:val="24"/>
        </w:rPr>
        <w:t>详见响应人须知前附表。</w:t>
      </w:r>
    </w:p>
    <w:p>
      <w:pPr>
        <w:pStyle w:val="7"/>
        <w:spacing w:before="0" w:after="0" w:line="500" w:lineRule="exact"/>
        <w:ind w:firstLine="504" w:firstLineChars="209"/>
        <w:rPr>
          <w:rFonts w:ascii="宋体" w:hAnsi="宋体"/>
          <w:sz w:val="24"/>
          <w:szCs w:val="24"/>
        </w:rPr>
      </w:pPr>
      <w:r>
        <w:rPr>
          <w:rFonts w:hint="eastAsia" w:ascii="宋体" w:hAnsi="宋体"/>
          <w:sz w:val="24"/>
          <w:szCs w:val="24"/>
        </w:rPr>
        <w:t>15.  磋商保证金</w:t>
      </w:r>
    </w:p>
    <w:p>
      <w:pPr>
        <w:pStyle w:val="2"/>
        <w:spacing w:after="0" w:line="560" w:lineRule="exact"/>
        <w:ind w:firstLine="571" w:firstLineChars="238"/>
        <w:rPr>
          <w:rFonts w:ascii="宋体" w:hAnsi="宋体"/>
          <w:sz w:val="24"/>
        </w:rPr>
      </w:pPr>
      <w:r>
        <w:rPr>
          <w:rFonts w:hint="eastAsia" w:ascii="宋体" w:hAnsi="宋体"/>
          <w:sz w:val="24"/>
        </w:rPr>
        <w:t>15.1★属于应缴纳磋商保证金的响应人，应按前附表的规定提交磋商保证金，作为其响应文件的一部分。</w:t>
      </w:r>
    </w:p>
    <w:p>
      <w:pPr>
        <w:pStyle w:val="2"/>
        <w:spacing w:after="0" w:line="560" w:lineRule="exact"/>
        <w:ind w:firstLine="571" w:firstLineChars="238"/>
        <w:rPr>
          <w:rFonts w:ascii="宋体" w:hAnsi="宋体"/>
          <w:sz w:val="24"/>
        </w:rPr>
      </w:pPr>
      <w:r>
        <w:rPr>
          <w:rFonts w:hint="eastAsia" w:ascii="宋体" w:hAnsi="宋体"/>
          <w:sz w:val="24"/>
        </w:rPr>
        <w:t>15.2如响应人有下列情况，磋商保证金不予退还：</w:t>
      </w:r>
    </w:p>
    <w:p>
      <w:pPr>
        <w:pStyle w:val="2"/>
        <w:spacing w:line="560" w:lineRule="exact"/>
        <w:ind w:firstLine="571" w:firstLineChars="238"/>
        <w:rPr>
          <w:rFonts w:ascii="宋体" w:hAnsi="宋体"/>
          <w:sz w:val="24"/>
        </w:rPr>
      </w:pPr>
      <w:r>
        <w:rPr>
          <w:rFonts w:hint="eastAsia" w:ascii="宋体" w:hAnsi="宋体"/>
          <w:sz w:val="24"/>
        </w:rPr>
        <w:t>1）响应人在提交响应文件截止时间后撤回响应文件的；</w:t>
      </w:r>
    </w:p>
    <w:p>
      <w:pPr>
        <w:pStyle w:val="2"/>
        <w:spacing w:line="560" w:lineRule="exact"/>
        <w:ind w:firstLine="571" w:firstLineChars="238"/>
        <w:rPr>
          <w:rFonts w:ascii="宋体" w:hAnsi="宋体"/>
          <w:sz w:val="24"/>
        </w:rPr>
      </w:pPr>
      <w:r>
        <w:rPr>
          <w:rFonts w:hint="eastAsia" w:ascii="宋体" w:hAnsi="宋体"/>
          <w:sz w:val="24"/>
        </w:rPr>
        <w:t>2）响应人在响应文件中提供虚假材料的；</w:t>
      </w:r>
    </w:p>
    <w:p>
      <w:pPr>
        <w:pStyle w:val="2"/>
        <w:spacing w:line="560" w:lineRule="exact"/>
        <w:ind w:firstLine="571" w:firstLineChars="238"/>
        <w:rPr>
          <w:rFonts w:ascii="宋体" w:hAnsi="宋体"/>
          <w:sz w:val="24"/>
        </w:rPr>
      </w:pPr>
      <w:r>
        <w:rPr>
          <w:rFonts w:hint="eastAsia" w:ascii="宋体" w:hAnsi="宋体"/>
          <w:sz w:val="24"/>
        </w:rPr>
        <w:t>3）除因不可抗力或磋商文件认可的情形以外，成交人不与采购人签订合同的；</w:t>
      </w:r>
    </w:p>
    <w:p>
      <w:pPr>
        <w:pStyle w:val="2"/>
        <w:spacing w:line="560" w:lineRule="exact"/>
        <w:ind w:firstLine="571" w:firstLineChars="238"/>
        <w:rPr>
          <w:rFonts w:ascii="宋体" w:hAnsi="宋体"/>
          <w:sz w:val="24"/>
        </w:rPr>
      </w:pPr>
      <w:r>
        <w:rPr>
          <w:rFonts w:hint="eastAsia" w:ascii="宋体" w:hAnsi="宋体"/>
          <w:sz w:val="24"/>
        </w:rPr>
        <w:t>4）响应人与采购人、其他响应人或者采购代理机构恶意串通的；</w:t>
      </w:r>
    </w:p>
    <w:p>
      <w:pPr>
        <w:pStyle w:val="2"/>
        <w:spacing w:after="0" w:line="560" w:lineRule="exact"/>
        <w:ind w:firstLine="571" w:firstLineChars="238"/>
        <w:rPr>
          <w:rFonts w:ascii="宋体" w:hAnsi="宋体"/>
          <w:sz w:val="24"/>
        </w:rPr>
      </w:pPr>
      <w:r>
        <w:rPr>
          <w:rFonts w:hint="eastAsia" w:ascii="宋体" w:hAnsi="宋体"/>
          <w:sz w:val="24"/>
        </w:rPr>
        <w:t>5）法律法规和采购文件规定的其他情形。</w:t>
      </w:r>
    </w:p>
    <w:p>
      <w:pPr>
        <w:pStyle w:val="2"/>
        <w:spacing w:after="0" w:line="560" w:lineRule="exact"/>
        <w:ind w:firstLine="571" w:firstLineChars="238"/>
        <w:rPr>
          <w:rFonts w:ascii="宋体" w:hAnsi="宋体"/>
          <w:sz w:val="24"/>
        </w:rPr>
      </w:pPr>
      <w:r>
        <w:rPr>
          <w:rFonts w:hint="eastAsia" w:ascii="宋体" w:hAnsi="宋体"/>
          <w:sz w:val="24"/>
        </w:rPr>
        <w:t>15.3磋商保证金的退还：</w:t>
      </w:r>
    </w:p>
    <w:p>
      <w:pPr>
        <w:pStyle w:val="2"/>
        <w:spacing w:after="0" w:line="560" w:lineRule="exact"/>
        <w:ind w:firstLine="571" w:firstLineChars="238"/>
        <w:rPr>
          <w:rFonts w:ascii="宋体" w:hAnsi="宋体"/>
          <w:sz w:val="24"/>
        </w:rPr>
      </w:pPr>
      <w:r>
        <w:rPr>
          <w:rFonts w:hint="eastAsia" w:ascii="宋体" w:hAnsi="宋体"/>
          <w:sz w:val="24"/>
        </w:rPr>
        <w:t>1）未成交人的磋商保证金，在成交通知书发出后5个工作日内退还；</w:t>
      </w:r>
    </w:p>
    <w:p>
      <w:pPr>
        <w:pStyle w:val="2"/>
        <w:spacing w:after="0" w:line="560" w:lineRule="exact"/>
        <w:ind w:firstLine="571" w:firstLineChars="238"/>
        <w:rPr>
          <w:rFonts w:ascii="宋体" w:hAnsi="宋体"/>
          <w:sz w:val="24"/>
        </w:rPr>
      </w:pPr>
      <w:r>
        <w:rPr>
          <w:rFonts w:hint="eastAsia" w:ascii="宋体" w:hAnsi="宋体"/>
          <w:sz w:val="24"/>
        </w:rPr>
        <w:t>2）成交人的磋商保证金在签订合同后5个工作日内退还。</w:t>
      </w:r>
    </w:p>
    <w:p>
      <w:pPr>
        <w:pStyle w:val="7"/>
        <w:spacing w:before="0" w:after="0" w:line="500" w:lineRule="exact"/>
        <w:ind w:firstLine="504" w:firstLineChars="209"/>
        <w:rPr>
          <w:rFonts w:ascii="宋体" w:hAnsi="宋体"/>
          <w:sz w:val="24"/>
          <w:szCs w:val="24"/>
        </w:rPr>
      </w:pPr>
      <w:r>
        <w:rPr>
          <w:rFonts w:hint="eastAsia" w:ascii="宋体" w:hAnsi="宋体"/>
          <w:sz w:val="24"/>
          <w:szCs w:val="24"/>
        </w:rPr>
        <w:t>16.  报价有效期</w:t>
      </w:r>
    </w:p>
    <w:p>
      <w:pPr>
        <w:pStyle w:val="2"/>
        <w:spacing w:after="0" w:line="560" w:lineRule="exact"/>
        <w:ind w:firstLine="571" w:firstLineChars="238"/>
        <w:rPr>
          <w:rFonts w:ascii="宋体" w:hAnsi="宋体"/>
          <w:sz w:val="24"/>
        </w:rPr>
      </w:pPr>
      <w:r>
        <w:rPr>
          <w:rFonts w:hint="eastAsia" w:ascii="宋体" w:hAnsi="宋体"/>
          <w:sz w:val="24"/>
        </w:rPr>
        <w:t>16.1 ★</w:t>
      </w:r>
      <w:r>
        <w:rPr>
          <w:rFonts w:hint="eastAsia" w:ascii="宋体" w:hAnsi="宋体"/>
          <w:b/>
          <w:bCs/>
          <w:sz w:val="24"/>
        </w:rPr>
        <w:t>本项目报价有效期见响应人须知前附表。</w:t>
      </w:r>
      <w:r>
        <w:rPr>
          <w:rFonts w:hint="eastAsia" w:ascii="宋体" w:hAnsi="宋体"/>
          <w:b/>
          <w:sz w:val="24"/>
        </w:rPr>
        <w:t>有效期比本须知规定的有效期短的，按无效报价处理。</w:t>
      </w:r>
    </w:p>
    <w:p>
      <w:pPr>
        <w:pStyle w:val="2"/>
        <w:spacing w:after="0" w:line="560" w:lineRule="exact"/>
        <w:ind w:firstLine="571" w:firstLineChars="238"/>
        <w:rPr>
          <w:rFonts w:ascii="宋体" w:hAnsi="宋体"/>
          <w:sz w:val="24"/>
        </w:rPr>
      </w:pPr>
      <w:r>
        <w:rPr>
          <w:rFonts w:hint="eastAsia" w:ascii="宋体" w:hAnsi="宋体"/>
          <w:sz w:val="24"/>
        </w:rPr>
        <w:t>16.2 特殊情况下，在报价有效期满之前，代理机构可以以书面形式要求响应人同意延长报价有效期。响应人可以以书面形式拒绝或接受上述要求。拒绝延长报价有效期的响应人有权收回磋商保证金；同意延长报价有效期的响应人应当相应延长其磋商保证金的有效期，但不得修改响应文件的实质性内容。</w:t>
      </w:r>
    </w:p>
    <w:p>
      <w:pPr>
        <w:pStyle w:val="5"/>
        <w:spacing w:before="120" w:after="120" w:line="360" w:lineRule="exact"/>
        <w:ind w:firstLine="516" w:firstLineChars="214"/>
        <w:rPr>
          <w:rFonts w:ascii="宋体" w:hAnsi="宋体" w:eastAsia="宋体"/>
          <w:sz w:val="24"/>
          <w:szCs w:val="24"/>
        </w:rPr>
      </w:pPr>
      <w:bookmarkStart w:id="99" w:name="_Toc16266"/>
      <w:bookmarkStart w:id="100" w:name="_Toc20025"/>
      <w:bookmarkStart w:id="101" w:name="_Toc60585211"/>
      <w:bookmarkStart w:id="102" w:name="_Toc32023"/>
      <w:r>
        <w:rPr>
          <w:rFonts w:hint="eastAsia" w:ascii="宋体" w:hAnsi="宋体" w:eastAsia="宋体"/>
          <w:sz w:val="24"/>
          <w:szCs w:val="24"/>
        </w:rPr>
        <w:t>四、</w:t>
      </w:r>
      <w:r>
        <w:rPr>
          <w:rFonts w:hint="eastAsia" w:ascii="宋体" w:hAnsi="宋体" w:eastAsia="宋体"/>
          <w:sz w:val="24"/>
        </w:rPr>
        <w:t>响应文件</w:t>
      </w:r>
      <w:r>
        <w:rPr>
          <w:rFonts w:hint="eastAsia" w:ascii="宋体" w:hAnsi="宋体" w:eastAsia="宋体"/>
          <w:sz w:val="24"/>
          <w:szCs w:val="24"/>
        </w:rPr>
        <w:t>递交</w:t>
      </w:r>
      <w:bookmarkEnd w:id="99"/>
      <w:bookmarkEnd w:id="100"/>
      <w:bookmarkEnd w:id="101"/>
      <w:bookmarkEnd w:id="102"/>
    </w:p>
    <w:p>
      <w:pPr>
        <w:pStyle w:val="7"/>
        <w:spacing w:before="0" w:after="0" w:line="500" w:lineRule="exact"/>
        <w:ind w:firstLine="504" w:firstLineChars="209"/>
        <w:rPr>
          <w:rFonts w:ascii="宋体" w:hAnsi="宋体"/>
          <w:sz w:val="24"/>
          <w:szCs w:val="24"/>
        </w:rPr>
      </w:pPr>
      <w:r>
        <w:rPr>
          <w:rFonts w:hint="eastAsia" w:ascii="宋体" w:hAnsi="宋体"/>
          <w:sz w:val="24"/>
          <w:szCs w:val="24"/>
        </w:rPr>
        <w:t>17.  响应文件递交时间和地点</w:t>
      </w:r>
    </w:p>
    <w:p>
      <w:pPr>
        <w:pStyle w:val="2"/>
        <w:spacing w:after="0" w:line="560" w:lineRule="exact"/>
        <w:ind w:firstLine="571" w:firstLineChars="238"/>
        <w:rPr>
          <w:rFonts w:ascii="宋体" w:hAnsi="宋体"/>
          <w:sz w:val="24"/>
        </w:rPr>
      </w:pPr>
      <w:r>
        <w:rPr>
          <w:rFonts w:hint="eastAsia" w:ascii="宋体" w:hAnsi="宋体"/>
          <w:sz w:val="24"/>
        </w:rPr>
        <w:t>17.1 响应文件递交时间及地点、响应文件截止时间详见响应人须知前附表。</w:t>
      </w:r>
    </w:p>
    <w:p>
      <w:pPr>
        <w:pStyle w:val="2"/>
        <w:spacing w:after="0" w:line="560" w:lineRule="exact"/>
        <w:ind w:firstLine="571" w:firstLineChars="238"/>
        <w:rPr>
          <w:rFonts w:ascii="宋体" w:hAnsi="宋体"/>
          <w:sz w:val="24"/>
        </w:rPr>
      </w:pPr>
      <w:r>
        <w:rPr>
          <w:rFonts w:hint="eastAsia" w:ascii="宋体" w:hAnsi="宋体"/>
          <w:sz w:val="24"/>
        </w:rPr>
        <w:t>17.2 响应人代表必须在递交响应文件截止时间前将响应文件送达指定地点。如因磋商文件的修改推迟报价截止日期的，则按代理机构另行通知规定的时间递交。</w:t>
      </w:r>
    </w:p>
    <w:p>
      <w:pPr>
        <w:pStyle w:val="2"/>
        <w:spacing w:after="0" w:line="560" w:lineRule="exact"/>
        <w:ind w:firstLine="571" w:firstLineChars="238"/>
        <w:rPr>
          <w:rFonts w:ascii="宋体" w:hAnsi="宋体"/>
          <w:sz w:val="24"/>
        </w:rPr>
      </w:pPr>
      <w:r>
        <w:rPr>
          <w:rFonts w:hint="eastAsia" w:ascii="宋体" w:hAnsi="宋体"/>
          <w:sz w:val="24"/>
        </w:rPr>
        <w:t>17.3 代理机构不接收响应文件递交截止时间后送达的响应文件。</w:t>
      </w:r>
    </w:p>
    <w:p>
      <w:pPr>
        <w:pStyle w:val="2"/>
        <w:spacing w:after="0" w:line="560" w:lineRule="exact"/>
        <w:ind w:firstLine="571" w:firstLineChars="238"/>
        <w:rPr>
          <w:rFonts w:ascii="宋体" w:hAnsi="宋体"/>
          <w:sz w:val="24"/>
        </w:rPr>
      </w:pPr>
      <w:r>
        <w:rPr>
          <w:rFonts w:hint="eastAsia" w:ascii="宋体" w:hAnsi="宋体"/>
          <w:sz w:val="24"/>
        </w:rPr>
        <w:t>17.4 遇有疫情防控政策变化，需按照最新要求执行，届时将另行通知。</w:t>
      </w:r>
    </w:p>
    <w:p>
      <w:pPr>
        <w:pStyle w:val="7"/>
        <w:spacing w:before="0" w:after="0" w:line="500" w:lineRule="exact"/>
        <w:ind w:firstLine="504" w:firstLineChars="209"/>
        <w:rPr>
          <w:rFonts w:ascii="宋体" w:hAnsi="宋体"/>
          <w:sz w:val="24"/>
          <w:szCs w:val="24"/>
        </w:rPr>
      </w:pPr>
      <w:r>
        <w:rPr>
          <w:rFonts w:hint="eastAsia" w:ascii="宋体" w:hAnsi="宋体"/>
          <w:sz w:val="24"/>
          <w:szCs w:val="24"/>
        </w:rPr>
        <w:t>18.  响应文件签收</w:t>
      </w:r>
    </w:p>
    <w:p>
      <w:pPr>
        <w:pStyle w:val="2"/>
        <w:spacing w:after="0" w:line="560" w:lineRule="exact"/>
        <w:ind w:firstLine="571" w:firstLineChars="238"/>
        <w:rPr>
          <w:rFonts w:ascii="宋体" w:hAnsi="宋体"/>
          <w:b/>
          <w:bCs/>
          <w:sz w:val="24"/>
        </w:rPr>
      </w:pPr>
      <w:r>
        <w:rPr>
          <w:rFonts w:hint="eastAsia" w:ascii="宋体" w:hAnsi="宋体"/>
          <w:sz w:val="24"/>
        </w:rPr>
        <w:t>18.1 递交方式：</w:t>
      </w:r>
      <w:r>
        <w:rPr>
          <w:rFonts w:hint="eastAsia" w:ascii="宋体" w:hAnsi="宋体"/>
          <w:b/>
          <w:bCs/>
          <w:sz w:val="24"/>
        </w:rPr>
        <w:t>现场递交</w:t>
      </w:r>
    </w:p>
    <w:p>
      <w:pPr>
        <w:pStyle w:val="2"/>
        <w:spacing w:after="0" w:line="560" w:lineRule="exact"/>
        <w:ind w:firstLine="571" w:firstLineChars="238"/>
        <w:rPr>
          <w:rFonts w:ascii="宋体" w:hAnsi="宋体"/>
          <w:sz w:val="24"/>
        </w:rPr>
      </w:pPr>
      <w:r>
        <w:rPr>
          <w:rFonts w:hint="eastAsia" w:ascii="宋体" w:hAnsi="宋体"/>
          <w:sz w:val="24"/>
        </w:rPr>
        <w:t>响应人应当在磋商文件要求提交响应文件的截止日期前，将响应文件密封送达。法定代表人参加开标会议的，应出示法定代表人身份证明原件和本人身份证复印件；被授权代表参加开标会议的，应出示授权委托书原件和本人身份证复印件。</w:t>
      </w:r>
    </w:p>
    <w:p>
      <w:pPr>
        <w:pStyle w:val="7"/>
        <w:spacing w:before="0" w:after="0" w:line="500" w:lineRule="exact"/>
        <w:ind w:firstLine="504" w:firstLineChars="209"/>
        <w:rPr>
          <w:rFonts w:ascii="宋体" w:hAnsi="宋体"/>
          <w:sz w:val="24"/>
        </w:rPr>
      </w:pPr>
      <w:r>
        <w:rPr>
          <w:rFonts w:hint="eastAsia" w:ascii="宋体" w:hAnsi="宋体"/>
          <w:sz w:val="24"/>
        </w:rPr>
        <w:t>18.2 响应文件递交截止时间后对响应人已提交的响应文件不予退还。</w:t>
      </w:r>
    </w:p>
    <w:p>
      <w:pPr>
        <w:pStyle w:val="7"/>
        <w:spacing w:before="0" w:after="0" w:line="500" w:lineRule="exact"/>
        <w:ind w:firstLine="504" w:firstLineChars="209"/>
        <w:rPr>
          <w:rFonts w:ascii="宋体" w:hAnsi="宋体"/>
          <w:sz w:val="24"/>
          <w:szCs w:val="24"/>
        </w:rPr>
      </w:pPr>
      <w:r>
        <w:rPr>
          <w:rFonts w:hint="eastAsia" w:ascii="宋体" w:hAnsi="宋体"/>
          <w:sz w:val="24"/>
          <w:szCs w:val="24"/>
        </w:rPr>
        <w:t>19.  响应文件修改与撤回</w:t>
      </w:r>
    </w:p>
    <w:p>
      <w:pPr>
        <w:pStyle w:val="2"/>
        <w:spacing w:after="0" w:line="560" w:lineRule="exact"/>
        <w:ind w:firstLine="571" w:firstLineChars="238"/>
        <w:rPr>
          <w:rFonts w:ascii="宋体" w:hAnsi="宋体"/>
          <w:sz w:val="24"/>
        </w:rPr>
      </w:pPr>
      <w:r>
        <w:rPr>
          <w:rFonts w:hint="eastAsia" w:ascii="宋体" w:hAnsi="宋体"/>
          <w:sz w:val="24"/>
        </w:rPr>
        <w:t>19.1 响应人在采购文件要求提交响应文件的截止时间前，可以修改或者撤回已提交的响应文件，并以书面形式通知代理机构。</w:t>
      </w:r>
    </w:p>
    <w:p>
      <w:pPr>
        <w:pStyle w:val="2"/>
        <w:spacing w:after="0" w:line="560" w:lineRule="exact"/>
        <w:ind w:firstLine="571" w:firstLineChars="238"/>
        <w:rPr>
          <w:rFonts w:ascii="宋体" w:hAnsi="宋体"/>
          <w:sz w:val="24"/>
        </w:rPr>
      </w:pPr>
      <w:r>
        <w:rPr>
          <w:rFonts w:hint="eastAsia" w:ascii="宋体" w:hAnsi="宋体"/>
          <w:sz w:val="24"/>
        </w:rPr>
        <w:t>19.2 响应文件任何修改内容必须由响应人的法定代表人或其委托代理人签字，不得涂抹。经法定代表人或其委托代理人正式签署的修改文件组成响应文件的一部分，份数和密封要求同响应文件一致。</w:t>
      </w:r>
    </w:p>
    <w:p>
      <w:pPr>
        <w:pStyle w:val="2"/>
        <w:spacing w:after="0" w:line="560" w:lineRule="exact"/>
        <w:ind w:firstLine="571" w:firstLineChars="238"/>
        <w:rPr>
          <w:rFonts w:ascii="宋体" w:hAnsi="宋体"/>
          <w:sz w:val="24"/>
        </w:rPr>
      </w:pPr>
      <w:r>
        <w:rPr>
          <w:rFonts w:hint="eastAsia" w:ascii="宋体" w:hAnsi="宋体"/>
          <w:sz w:val="24"/>
        </w:rPr>
        <w:t xml:space="preserve">19.3 报价有效期内不得撤回响应文件。 </w:t>
      </w:r>
    </w:p>
    <w:p>
      <w:pPr>
        <w:pStyle w:val="5"/>
        <w:spacing w:before="120" w:after="120" w:line="360" w:lineRule="exact"/>
        <w:ind w:firstLine="516" w:firstLineChars="214"/>
        <w:rPr>
          <w:rFonts w:ascii="宋体" w:hAnsi="宋体" w:eastAsia="宋体"/>
          <w:sz w:val="24"/>
          <w:szCs w:val="24"/>
        </w:rPr>
      </w:pPr>
      <w:bookmarkStart w:id="103" w:name="_Toc12427"/>
      <w:bookmarkStart w:id="104" w:name="_Toc31649"/>
      <w:bookmarkStart w:id="105" w:name="_Toc60585212"/>
      <w:bookmarkStart w:id="106" w:name="_Toc4333"/>
      <w:r>
        <w:rPr>
          <w:rFonts w:hint="eastAsia" w:ascii="宋体" w:hAnsi="宋体" w:eastAsia="宋体"/>
          <w:sz w:val="24"/>
          <w:szCs w:val="24"/>
        </w:rPr>
        <w:t>五、磋商会议仪式、磋商与评审</w:t>
      </w:r>
      <w:bookmarkEnd w:id="103"/>
      <w:bookmarkEnd w:id="104"/>
      <w:bookmarkEnd w:id="105"/>
      <w:bookmarkEnd w:id="106"/>
    </w:p>
    <w:p>
      <w:pPr>
        <w:pStyle w:val="2"/>
        <w:spacing w:after="0" w:line="560" w:lineRule="exact"/>
        <w:ind w:firstLine="571" w:firstLineChars="238"/>
        <w:rPr>
          <w:rFonts w:ascii="宋体" w:hAnsi="宋体"/>
          <w:sz w:val="24"/>
        </w:rPr>
      </w:pPr>
      <w:r>
        <w:rPr>
          <w:rFonts w:hint="eastAsia" w:ascii="宋体" w:hAnsi="宋体"/>
          <w:sz w:val="24"/>
        </w:rPr>
        <w:t>本次采购项目的磋商会议、磋商和评审过程由采购人依法组织实施。</w:t>
      </w:r>
    </w:p>
    <w:p>
      <w:pPr>
        <w:pStyle w:val="7"/>
        <w:spacing w:before="0" w:after="0" w:line="500" w:lineRule="exact"/>
        <w:ind w:firstLine="504" w:firstLineChars="209"/>
        <w:rPr>
          <w:rFonts w:ascii="宋体" w:hAnsi="宋体"/>
          <w:sz w:val="24"/>
          <w:szCs w:val="24"/>
        </w:rPr>
      </w:pPr>
      <w:r>
        <w:rPr>
          <w:rFonts w:ascii="宋体" w:hAnsi="宋体"/>
          <w:sz w:val="24"/>
          <w:szCs w:val="24"/>
        </w:rPr>
        <w:t xml:space="preserve">20.  </w:t>
      </w:r>
      <w:bookmarkEnd w:id="96"/>
      <w:bookmarkEnd w:id="97"/>
      <w:bookmarkEnd w:id="98"/>
      <w:r>
        <w:rPr>
          <w:rFonts w:hint="eastAsia" w:ascii="宋体" w:hAnsi="宋体"/>
          <w:sz w:val="24"/>
          <w:szCs w:val="24"/>
        </w:rPr>
        <w:t>磋商会议仪式</w:t>
      </w:r>
    </w:p>
    <w:p>
      <w:pPr>
        <w:pStyle w:val="2"/>
        <w:spacing w:after="0" w:line="560" w:lineRule="exact"/>
        <w:ind w:firstLine="600" w:firstLineChars="250"/>
        <w:rPr>
          <w:rFonts w:ascii="宋体" w:hAnsi="宋体"/>
          <w:sz w:val="24"/>
        </w:rPr>
      </w:pPr>
      <w:r>
        <w:rPr>
          <w:rFonts w:ascii="宋体" w:hAnsi="宋体"/>
          <w:sz w:val="24"/>
        </w:rPr>
        <w:t xml:space="preserve">20.1 </w:t>
      </w:r>
      <w:r>
        <w:rPr>
          <w:rFonts w:hint="eastAsia" w:ascii="宋体" w:hAnsi="宋体"/>
          <w:sz w:val="24"/>
        </w:rPr>
        <w:t>本项目开标时间和地点见响应人须知前附表。开标会议由代理机构组织并主持。参加响应人代表应签名报到，以证明其出席开标会议，未出席开标会议的视同为默认开标结果。采购人授权代理人、响应人授权代理人及有关工作人员参加。</w:t>
      </w:r>
    </w:p>
    <w:p>
      <w:pPr>
        <w:pStyle w:val="2"/>
        <w:spacing w:after="0" w:line="560" w:lineRule="exact"/>
        <w:ind w:firstLine="600" w:firstLineChars="250"/>
        <w:rPr>
          <w:rFonts w:ascii="宋体" w:hAnsi="宋体"/>
          <w:sz w:val="24"/>
        </w:rPr>
      </w:pPr>
      <w:r>
        <w:rPr>
          <w:rFonts w:ascii="宋体" w:hAnsi="宋体"/>
          <w:sz w:val="24"/>
        </w:rPr>
        <w:t>20.2</w:t>
      </w:r>
      <w:r>
        <w:rPr>
          <w:rFonts w:hint="eastAsia" w:ascii="宋体" w:hAnsi="宋体"/>
          <w:sz w:val="24"/>
        </w:rPr>
        <w:t xml:space="preserve"> 响应人对响应文件的密封情况进行检查，并现场宣布检查结果。</w:t>
      </w:r>
    </w:p>
    <w:p>
      <w:pPr>
        <w:pStyle w:val="2"/>
        <w:spacing w:after="0" w:line="560" w:lineRule="exact"/>
        <w:ind w:firstLine="600" w:firstLineChars="250"/>
        <w:rPr>
          <w:rFonts w:ascii="宋体" w:hAnsi="宋体" w:cs="宋体"/>
          <w:sz w:val="24"/>
        </w:rPr>
      </w:pPr>
      <w:r>
        <w:rPr>
          <w:rFonts w:ascii="宋体" w:hAnsi="宋体"/>
          <w:sz w:val="24"/>
        </w:rPr>
        <w:t>20.3</w:t>
      </w:r>
      <w:r>
        <w:rPr>
          <w:rFonts w:hint="eastAsia" w:ascii="宋体" w:hAnsi="宋体"/>
          <w:sz w:val="24"/>
        </w:rPr>
        <w:t xml:space="preserve"> 经检查无误后，开标会议结束。</w:t>
      </w:r>
    </w:p>
    <w:p>
      <w:pPr>
        <w:pStyle w:val="7"/>
        <w:spacing w:before="0" w:after="0" w:line="500" w:lineRule="exact"/>
        <w:ind w:firstLine="504" w:firstLineChars="209"/>
        <w:rPr>
          <w:rFonts w:ascii="宋体" w:hAnsi="宋体"/>
          <w:sz w:val="24"/>
          <w:szCs w:val="24"/>
        </w:rPr>
      </w:pPr>
      <w:bookmarkStart w:id="107" w:name="_Toc346306754"/>
      <w:bookmarkStart w:id="108" w:name="_Toc352332875"/>
      <w:bookmarkStart w:id="109" w:name="_Toc346372901"/>
      <w:r>
        <w:rPr>
          <w:rFonts w:ascii="宋体" w:hAnsi="宋体"/>
          <w:sz w:val="24"/>
          <w:szCs w:val="24"/>
        </w:rPr>
        <w:t xml:space="preserve">21.  </w:t>
      </w:r>
      <w:r>
        <w:rPr>
          <w:rFonts w:hint="eastAsia" w:ascii="宋体" w:hAnsi="宋体"/>
          <w:sz w:val="24"/>
          <w:szCs w:val="24"/>
        </w:rPr>
        <w:t>磋商小组</w:t>
      </w:r>
      <w:bookmarkEnd w:id="107"/>
      <w:bookmarkEnd w:id="108"/>
      <w:bookmarkEnd w:id="109"/>
    </w:p>
    <w:p>
      <w:pPr>
        <w:pStyle w:val="2"/>
        <w:spacing w:after="0" w:line="560" w:lineRule="exact"/>
        <w:ind w:firstLine="600" w:firstLineChars="250"/>
        <w:rPr>
          <w:rFonts w:ascii="宋体" w:hAnsi="宋体"/>
          <w:sz w:val="24"/>
        </w:rPr>
      </w:pPr>
      <w:r>
        <w:rPr>
          <w:rFonts w:hint="eastAsia" w:ascii="宋体" w:hAnsi="宋体"/>
          <w:sz w:val="24"/>
        </w:rPr>
        <w:t>采购人</w:t>
      </w:r>
      <w:r>
        <w:rPr>
          <w:rFonts w:ascii="宋体" w:hAnsi="宋体"/>
          <w:sz w:val="24"/>
        </w:rPr>
        <w:t>根据有关法律法规和本采购文件的规定，结合</w:t>
      </w:r>
      <w:r>
        <w:rPr>
          <w:rFonts w:hint="eastAsia" w:ascii="宋体" w:hAnsi="宋体"/>
          <w:sz w:val="24"/>
        </w:rPr>
        <w:t>采购</w:t>
      </w:r>
      <w:r>
        <w:rPr>
          <w:rFonts w:ascii="宋体" w:hAnsi="宋体"/>
          <w:sz w:val="24"/>
        </w:rPr>
        <w:t>项目的特点组建磋商小组</w:t>
      </w:r>
      <w:r>
        <w:rPr>
          <w:rFonts w:hint="eastAsia" w:ascii="宋体" w:hAnsi="宋体"/>
          <w:sz w:val="24"/>
        </w:rPr>
        <w:t>。磋商小组负责</w:t>
      </w:r>
      <w:r>
        <w:rPr>
          <w:rFonts w:ascii="宋体" w:hAnsi="宋体"/>
          <w:sz w:val="24"/>
        </w:rPr>
        <w:t>对响应文件进行评估和比较。磋商小组由</w:t>
      </w:r>
      <w:r>
        <w:rPr>
          <w:rFonts w:hint="eastAsia" w:ascii="宋体" w:hAnsi="宋体"/>
          <w:sz w:val="24"/>
        </w:rPr>
        <w:t>三</w:t>
      </w:r>
      <w:r>
        <w:rPr>
          <w:rFonts w:ascii="宋体" w:hAnsi="宋体"/>
          <w:sz w:val="24"/>
        </w:rPr>
        <w:t>人</w:t>
      </w:r>
      <w:r>
        <w:rPr>
          <w:rFonts w:hint="eastAsia" w:ascii="宋体" w:hAnsi="宋体"/>
          <w:sz w:val="24"/>
        </w:rPr>
        <w:t>或</w:t>
      </w:r>
      <w:r>
        <w:rPr>
          <w:rFonts w:ascii="宋体" w:hAnsi="宋体"/>
          <w:sz w:val="24"/>
        </w:rPr>
        <w:t>以上单数组成，其中</w:t>
      </w:r>
      <w:r>
        <w:rPr>
          <w:rFonts w:hint="eastAsia" w:ascii="宋体" w:hAnsi="宋体"/>
          <w:sz w:val="24"/>
        </w:rPr>
        <w:t>评审</w:t>
      </w:r>
      <w:r>
        <w:rPr>
          <w:rFonts w:ascii="宋体" w:hAnsi="宋体"/>
          <w:sz w:val="24"/>
        </w:rPr>
        <w:t>专家不少于三分之二。</w:t>
      </w:r>
      <w:r>
        <w:rPr>
          <w:rFonts w:hint="eastAsia" w:ascii="宋体" w:hAnsi="宋体"/>
          <w:sz w:val="24"/>
        </w:rPr>
        <w:t>磋商小组的组成见响应人须知前附表。</w:t>
      </w:r>
    </w:p>
    <w:p>
      <w:pPr>
        <w:pStyle w:val="7"/>
        <w:spacing w:before="0" w:after="0" w:line="500" w:lineRule="exact"/>
        <w:ind w:firstLine="504" w:firstLineChars="209"/>
        <w:rPr>
          <w:rFonts w:ascii="宋体" w:hAnsi="宋体"/>
          <w:sz w:val="24"/>
          <w:szCs w:val="24"/>
        </w:rPr>
      </w:pPr>
      <w:bookmarkStart w:id="110" w:name="_Toc352332876"/>
      <w:bookmarkStart w:id="111" w:name="_Toc346306755"/>
      <w:bookmarkStart w:id="112" w:name="_Toc346372902"/>
      <w:r>
        <w:rPr>
          <w:rFonts w:ascii="宋体" w:hAnsi="宋体"/>
          <w:sz w:val="24"/>
          <w:szCs w:val="24"/>
        </w:rPr>
        <w:t xml:space="preserve">22.  </w:t>
      </w:r>
      <w:r>
        <w:rPr>
          <w:rFonts w:hint="eastAsia" w:ascii="宋体" w:hAnsi="宋体"/>
          <w:sz w:val="24"/>
          <w:szCs w:val="24"/>
        </w:rPr>
        <w:t>评审原则</w:t>
      </w:r>
      <w:bookmarkEnd w:id="110"/>
      <w:bookmarkEnd w:id="111"/>
      <w:bookmarkEnd w:id="112"/>
    </w:p>
    <w:p>
      <w:pPr>
        <w:pStyle w:val="2"/>
        <w:spacing w:after="0" w:line="560" w:lineRule="exact"/>
        <w:ind w:firstLine="487" w:firstLineChars="203"/>
        <w:rPr>
          <w:rFonts w:ascii="宋体" w:hAnsi="宋体" w:cs="宋体"/>
          <w:sz w:val="24"/>
        </w:rPr>
      </w:pPr>
      <w:r>
        <w:rPr>
          <w:rFonts w:hint="eastAsia" w:ascii="宋体" w:hAnsi="宋体" w:cs="宋体"/>
          <w:sz w:val="24"/>
        </w:rPr>
        <w:t>“客观、公正、审慎”为本次评审的基本原则，评审小组将按照这一原则公正、平等地对待各响应人，同时在评审过程中遵守以下原则：</w:t>
      </w:r>
    </w:p>
    <w:p>
      <w:pPr>
        <w:pStyle w:val="2"/>
        <w:spacing w:after="0" w:line="560" w:lineRule="exact"/>
        <w:ind w:firstLine="487" w:firstLineChars="203"/>
        <w:rPr>
          <w:rFonts w:ascii="宋体" w:hAnsi="宋体" w:cs="宋体"/>
          <w:sz w:val="24"/>
        </w:rPr>
      </w:pPr>
      <w:r>
        <w:rPr>
          <w:rFonts w:hint="eastAsia" w:ascii="宋体" w:hAnsi="宋体" w:cs="宋体"/>
          <w:sz w:val="24"/>
        </w:rPr>
        <w:t>21.1 客观性原则；评审小组将严格按照采购文件的规定，对响应文件的评审仅依据响应文件本身，而不依据响应文件以外的任何因素。</w:t>
      </w:r>
    </w:p>
    <w:p>
      <w:pPr>
        <w:pStyle w:val="2"/>
        <w:spacing w:after="0" w:line="560" w:lineRule="exact"/>
        <w:ind w:firstLine="487" w:firstLineChars="203"/>
        <w:rPr>
          <w:rFonts w:ascii="宋体" w:hAnsi="宋体" w:cs="宋体"/>
          <w:sz w:val="24"/>
        </w:rPr>
      </w:pPr>
      <w:r>
        <w:rPr>
          <w:rFonts w:hint="eastAsia" w:ascii="宋体" w:hAnsi="宋体" w:cs="宋体"/>
          <w:sz w:val="24"/>
        </w:rPr>
        <w:t>21.2 公正性原则；评审小组依据采购文件规定的评审程序、评审方法和评审标准按统一方法、同一标准进行独立评审，并对响应文件的各项指标进行综合分析和比较，而不以单项指标的优劣进行评审。</w:t>
      </w:r>
    </w:p>
    <w:p>
      <w:pPr>
        <w:pStyle w:val="2"/>
        <w:spacing w:after="0" w:line="560" w:lineRule="exact"/>
        <w:ind w:firstLine="487" w:firstLineChars="203"/>
        <w:rPr>
          <w:rFonts w:ascii="宋体" w:hAnsi="宋体" w:cs="宋体"/>
          <w:sz w:val="24"/>
        </w:rPr>
      </w:pPr>
      <w:r>
        <w:rPr>
          <w:rFonts w:hint="eastAsia" w:ascii="宋体" w:hAnsi="宋体" w:cs="宋体"/>
          <w:sz w:val="24"/>
        </w:rPr>
        <w:t>21.3 审慎性原则：评审小组独立对响应文件进行审阅，依据竞争性磋商文件规定的评审标准审慎评审 。评审小组的评审不受外界任何因素的干扰和影响，评审小组成员对出具的评审意见承担个人责任。</w:t>
      </w:r>
    </w:p>
    <w:p>
      <w:pPr>
        <w:pStyle w:val="7"/>
        <w:spacing w:before="0" w:after="0" w:line="500" w:lineRule="exact"/>
        <w:ind w:firstLine="504" w:firstLineChars="209"/>
        <w:rPr>
          <w:rFonts w:ascii="宋体" w:hAnsi="宋体"/>
          <w:sz w:val="24"/>
          <w:szCs w:val="24"/>
        </w:rPr>
      </w:pPr>
      <w:bookmarkStart w:id="113" w:name="_Toc346372903"/>
      <w:bookmarkStart w:id="114" w:name="_Toc346306756"/>
      <w:bookmarkStart w:id="115" w:name="_Toc352332877"/>
      <w:r>
        <w:rPr>
          <w:rFonts w:ascii="宋体" w:hAnsi="宋体"/>
          <w:sz w:val="24"/>
          <w:szCs w:val="24"/>
        </w:rPr>
        <w:t xml:space="preserve">23.  </w:t>
      </w:r>
      <w:r>
        <w:rPr>
          <w:rFonts w:hint="eastAsia" w:ascii="宋体" w:hAnsi="宋体"/>
          <w:sz w:val="24"/>
          <w:szCs w:val="24"/>
        </w:rPr>
        <w:t>评审方法</w:t>
      </w:r>
      <w:bookmarkEnd w:id="113"/>
      <w:bookmarkEnd w:id="114"/>
      <w:bookmarkEnd w:id="115"/>
    </w:p>
    <w:p>
      <w:pPr>
        <w:pStyle w:val="2"/>
        <w:spacing w:after="0" w:line="560" w:lineRule="exact"/>
        <w:ind w:firstLine="600" w:firstLineChars="250"/>
        <w:rPr>
          <w:rFonts w:ascii="宋体" w:hAnsi="宋体"/>
          <w:sz w:val="24"/>
        </w:rPr>
      </w:pPr>
      <w:r>
        <w:rPr>
          <w:rFonts w:hint="eastAsia" w:ascii="宋体" w:hAnsi="宋体"/>
          <w:sz w:val="24"/>
        </w:rPr>
        <w:t>本项目评审方法见响应人须知前附表。</w:t>
      </w:r>
    </w:p>
    <w:p>
      <w:pPr>
        <w:pStyle w:val="7"/>
        <w:spacing w:before="0" w:after="0" w:line="500" w:lineRule="exact"/>
        <w:ind w:firstLine="504" w:firstLineChars="209"/>
        <w:rPr>
          <w:rFonts w:ascii="宋体" w:hAnsi="宋体"/>
          <w:sz w:val="24"/>
          <w:szCs w:val="24"/>
        </w:rPr>
      </w:pPr>
      <w:bookmarkStart w:id="116" w:name="_Toc352332878"/>
      <w:bookmarkStart w:id="117" w:name="_Toc346306757"/>
      <w:bookmarkStart w:id="118" w:name="_Toc346372904"/>
      <w:r>
        <w:rPr>
          <w:rFonts w:ascii="宋体" w:hAnsi="宋体"/>
          <w:sz w:val="24"/>
          <w:szCs w:val="24"/>
        </w:rPr>
        <w:t xml:space="preserve">24.  </w:t>
      </w:r>
      <w:r>
        <w:rPr>
          <w:rFonts w:hint="eastAsia" w:ascii="宋体" w:hAnsi="宋体"/>
          <w:sz w:val="24"/>
          <w:szCs w:val="24"/>
        </w:rPr>
        <w:t>初步评审</w:t>
      </w:r>
      <w:bookmarkEnd w:id="116"/>
      <w:bookmarkEnd w:id="117"/>
      <w:bookmarkEnd w:id="118"/>
    </w:p>
    <w:p>
      <w:pPr>
        <w:pStyle w:val="2"/>
        <w:spacing w:after="0" w:line="560" w:lineRule="exact"/>
        <w:ind w:firstLine="600" w:firstLineChars="250"/>
        <w:rPr>
          <w:rFonts w:ascii="宋体" w:hAnsi="宋体"/>
          <w:sz w:val="24"/>
        </w:rPr>
      </w:pPr>
      <w:r>
        <w:rPr>
          <w:rFonts w:hint="eastAsia" w:ascii="宋体" w:hAnsi="宋体"/>
          <w:sz w:val="24"/>
        </w:rPr>
        <w:t>24.1 初步评审是对响应文件的资格和符合性进行审查。</w:t>
      </w:r>
    </w:p>
    <w:p>
      <w:pPr>
        <w:pStyle w:val="2"/>
        <w:spacing w:after="0" w:line="560" w:lineRule="exact"/>
        <w:ind w:firstLine="600" w:firstLineChars="250"/>
        <w:rPr>
          <w:rFonts w:ascii="宋体" w:hAnsi="宋体"/>
          <w:sz w:val="24"/>
        </w:rPr>
      </w:pPr>
      <w:r>
        <w:rPr>
          <w:rFonts w:hint="eastAsia" w:ascii="宋体" w:hAnsi="宋体"/>
          <w:sz w:val="24"/>
        </w:rPr>
        <w:t>24.2 在评审活动开始前，采购人及采购代理机构宣布政府采购评审工作纪律。</w:t>
      </w:r>
    </w:p>
    <w:p>
      <w:pPr>
        <w:pStyle w:val="2"/>
        <w:spacing w:after="0" w:line="560" w:lineRule="exact"/>
        <w:ind w:firstLine="600" w:firstLineChars="250"/>
        <w:rPr>
          <w:rFonts w:ascii="宋体" w:hAnsi="宋体"/>
          <w:sz w:val="24"/>
        </w:rPr>
      </w:pPr>
      <w:r>
        <w:rPr>
          <w:rFonts w:hint="eastAsia" w:ascii="宋体" w:hAnsi="宋体"/>
          <w:sz w:val="24"/>
        </w:rPr>
        <w:t>24.3 磋商会议仪式后，磋商小组将依法对响应人的资格进行审查以确定响应人是否具备报价资格。</w:t>
      </w:r>
    </w:p>
    <w:p>
      <w:pPr>
        <w:pStyle w:val="2"/>
        <w:spacing w:after="0" w:line="560" w:lineRule="exact"/>
        <w:ind w:firstLine="600" w:firstLineChars="250"/>
        <w:rPr>
          <w:rFonts w:ascii="宋体" w:hAnsi="宋体"/>
          <w:sz w:val="24"/>
        </w:rPr>
      </w:pPr>
      <w:r>
        <w:rPr>
          <w:rFonts w:hint="eastAsia" w:ascii="宋体" w:hAnsi="宋体"/>
          <w:sz w:val="24"/>
        </w:rPr>
        <w:t>资格审查未通过的响应人，不得进入下一步评审。</w:t>
      </w:r>
    </w:p>
    <w:p>
      <w:pPr>
        <w:pStyle w:val="2"/>
        <w:spacing w:after="0" w:line="560" w:lineRule="exact"/>
        <w:ind w:firstLine="600" w:firstLineChars="250"/>
        <w:rPr>
          <w:rFonts w:ascii="宋体" w:hAnsi="宋体"/>
          <w:sz w:val="24"/>
        </w:rPr>
      </w:pPr>
      <w:r>
        <w:rPr>
          <w:rFonts w:hint="eastAsia" w:ascii="宋体" w:hAnsi="宋体"/>
          <w:sz w:val="24"/>
        </w:rPr>
        <w:t>24.4磋商小组应当对符合资格条件要求的响应人的响应文件进行符合性审查，以确定其是否满足采购文件的实质性要求而没有重大偏离。</w:t>
      </w:r>
    </w:p>
    <w:p>
      <w:pPr>
        <w:pStyle w:val="2"/>
        <w:spacing w:after="0" w:line="560" w:lineRule="exact"/>
        <w:ind w:firstLine="602" w:firstLineChars="250"/>
        <w:rPr>
          <w:rFonts w:ascii="宋体" w:hAnsi="宋体"/>
          <w:b/>
          <w:sz w:val="24"/>
        </w:rPr>
      </w:pPr>
      <w:r>
        <w:rPr>
          <w:rFonts w:hint="eastAsia" w:ascii="宋体" w:hAnsi="宋体"/>
          <w:b/>
          <w:sz w:val="24"/>
        </w:rPr>
        <w:t>★24.5 如出现下列情形之一的，视为对采购文件没有做出实质性响应，按照无效报价处理。</w:t>
      </w:r>
    </w:p>
    <w:p>
      <w:pPr>
        <w:pStyle w:val="2"/>
        <w:spacing w:after="0" w:line="560" w:lineRule="exact"/>
        <w:ind w:firstLine="602" w:firstLineChars="250"/>
        <w:rPr>
          <w:rFonts w:ascii="宋体" w:hAnsi="宋体"/>
          <w:b/>
          <w:sz w:val="24"/>
        </w:rPr>
      </w:pPr>
      <w:r>
        <w:rPr>
          <w:rFonts w:hint="eastAsia" w:ascii="宋体" w:hAnsi="宋体"/>
          <w:b/>
          <w:sz w:val="24"/>
        </w:rPr>
        <w:t>1）在规定的递交响应文件截止时间之后递交响应文件的；</w:t>
      </w:r>
    </w:p>
    <w:p>
      <w:pPr>
        <w:pStyle w:val="2"/>
        <w:spacing w:after="0" w:line="560" w:lineRule="exact"/>
        <w:ind w:firstLine="602" w:firstLineChars="250"/>
        <w:rPr>
          <w:rFonts w:ascii="宋体" w:hAnsi="宋体"/>
          <w:b/>
          <w:sz w:val="24"/>
        </w:rPr>
      </w:pPr>
      <w:r>
        <w:rPr>
          <w:rFonts w:hint="eastAsia" w:ascii="宋体" w:hAnsi="宋体"/>
          <w:b/>
          <w:sz w:val="24"/>
        </w:rPr>
        <w:t>2）未按采购文件规定要求签署、盖章的；</w:t>
      </w:r>
    </w:p>
    <w:p>
      <w:pPr>
        <w:pStyle w:val="2"/>
        <w:spacing w:after="0" w:line="560" w:lineRule="exact"/>
        <w:ind w:firstLine="602" w:firstLineChars="250"/>
        <w:rPr>
          <w:rFonts w:ascii="宋体" w:hAnsi="宋体"/>
          <w:b/>
          <w:sz w:val="24"/>
        </w:rPr>
      </w:pPr>
      <w:r>
        <w:rPr>
          <w:rFonts w:hint="eastAsia" w:ascii="宋体" w:hAnsi="宋体"/>
          <w:b/>
          <w:sz w:val="24"/>
        </w:rPr>
        <w:t>3）未按规定交纳磋商保证金的；</w:t>
      </w:r>
    </w:p>
    <w:p>
      <w:pPr>
        <w:pStyle w:val="2"/>
        <w:spacing w:after="0" w:line="560" w:lineRule="exact"/>
        <w:ind w:firstLine="602" w:firstLineChars="250"/>
        <w:rPr>
          <w:rFonts w:ascii="宋体" w:hAnsi="宋体"/>
          <w:b/>
          <w:sz w:val="24"/>
        </w:rPr>
      </w:pPr>
      <w:r>
        <w:rPr>
          <w:rFonts w:hint="eastAsia" w:ascii="宋体" w:hAnsi="宋体"/>
          <w:b/>
          <w:sz w:val="24"/>
        </w:rPr>
        <w:t>4）采购文件未明确说明允许投报进口产品，而投报了进口产品的；</w:t>
      </w:r>
    </w:p>
    <w:p>
      <w:pPr>
        <w:pStyle w:val="2"/>
        <w:spacing w:after="0" w:line="560" w:lineRule="exact"/>
        <w:ind w:firstLine="602" w:firstLineChars="250"/>
        <w:rPr>
          <w:rFonts w:ascii="宋体" w:hAnsi="宋体"/>
          <w:b/>
          <w:sz w:val="24"/>
        </w:rPr>
      </w:pPr>
      <w:r>
        <w:rPr>
          <w:rFonts w:hint="eastAsia" w:ascii="宋体" w:hAnsi="宋体"/>
          <w:b/>
          <w:sz w:val="24"/>
        </w:rPr>
        <w:t>5）</w:t>
      </w:r>
      <w:r>
        <w:rPr>
          <w:rFonts w:hint="eastAsia" w:ascii="宋体" w:hAnsi="宋体" w:cs="宋体"/>
          <w:b/>
          <w:bCs/>
          <w:sz w:val="24"/>
        </w:rPr>
        <w:t>在响应文件中，未响应标注有“★”的，在磋商过程中不会实质性变动的条款</w:t>
      </w:r>
      <w:r>
        <w:rPr>
          <w:rFonts w:hint="eastAsia" w:ascii="宋体" w:hAnsi="宋体"/>
          <w:b/>
          <w:sz w:val="24"/>
        </w:rPr>
        <w:t>；</w:t>
      </w:r>
    </w:p>
    <w:p>
      <w:pPr>
        <w:pStyle w:val="2"/>
        <w:spacing w:after="0" w:line="560" w:lineRule="exact"/>
        <w:ind w:firstLine="602" w:firstLineChars="250"/>
        <w:rPr>
          <w:rFonts w:ascii="宋体" w:hAnsi="宋体"/>
          <w:b/>
          <w:sz w:val="24"/>
        </w:rPr>
      </w:pPr>
      <w:r>
        <w:rPr>
          <w:rFonts w:hint="eastAsia" w:ascii="宋体" w:hAnsi="宋体"/>
          <w:b/>
          <w:sz w:val="24"/>
        </w:rPr>
        <w:t>6）首轮报价、再次报价、最终报价中的任一轮报价超过采购预算或最高限价的；</w:t>
      </w:r>
    </w:p>
    <w:p>
      <w:pPr>
        <w:pStyle w:val="2"/>
        <w:spacing w:after="0" w:line="560" w:lineRule="exact"/>
        <w:ind w:firstLine="602" w:firstLineChars="250"/>
        <w:rPr>
          <w:rFonts w:ascii="宋体" w:hAnsi="宋体"/>
          <w:b/>
          <w:sz w:val="24"/>
        </w:rPr>
      </w:pPr>
      <w:r>
        <w:rPr>
          <w:rFonts w:hint="eastAsia" w:ascii="宋体" w:hAnsi="宋体"/>
          <w:b/>
          <w:sz w:val="24"/>
        </w:rPr>
        <w:t>7）以他人名义报价或者在响应文件中提供虚假材料的；</w:t>
      </w:r>
    </w:p>
    <w:p>
      <w:pPr>
        <w:pStyle w:val="2"/>
        <w:spacing w:after="0" w:line="560" w:lineRule="exact"/>
        <w:ind w:firstLine="602" w:firstLineChars="250"/>
        <w:rPr>
          <w:rFonts w:ascii="宋体" w:hAnsi="宋体"/>
          <w:b/>
          <w:sz w:val="24"/>
        </w:rPr>
      </w:pPr>
      <w:r>
        <w:rPr>
          <w:rFonts w:hint="eastAsia" w:ascii="宋体" w:hAnsi="宋体"/>
          <w:b/>
          <w:sz w:val="24"/>
        </w:rPr>
        <w:t>8）法律法规和采购文件规定的其他情形。</w:t>
      </w:r>
    </w:p>
    <w:p>
      <w:pPr>
        <w:spacing w:after="120" w:line="560" w:lineRule="exact"/>
        <w:ind w:firstLine="600" w:firstLineChars="250"/>
        <w:rPr>
          <w:rFonts w:ascii="宋体" w:hAnsi="宋体"/>
          <w:kern w:val="0"/>
          <w:sz w:val="24"/>
        </w:rPr>
      </w:pPr>
      <w:r>
        <w:rPr>
          <w:rFonts w:hint="eastAsia" w:ascii="宋体" w:hAnsi="宋体"/>
          <w:kern w:val="0"/>
          <w:sz w:val="24"/>
        </w:rPr>
        <w:t>24.6对于响应文件中含义不明确、同类问题表述不一致或者有明显文字和计算错误的内容，磋商小组应当以书面形式要求响应人作出必要的澄清、说明或者补正。 响应人的澄清、说明或者补正应当采用书面形式，并加盖公章，或者由法定代表人或其委托代理人签字。响应人的澄清、说明或者补正不得超出响应文件的范围或者改变响应文件的实质性内容。</w:t>
      </w:r>
    </w:p>
    <w:p>
      <w:pPr>
        <w:spacing w:line="560" w:lineRule="exact"/>
        <w:ind w:firstLine="602" w:firstLineChars="250"/>
        <w:rPr>
          <w:rFonts w:ascii="宋体" w:hAnsi="宋体" w:cs="宋体"/>
          <w:kern w:val="0"/>
          <w:sz w:val="24"/>
        </w:rPr>
      </w:pPr>
      <w:r>
        <w:rPr>
          <w:rFonts w:hint="eastAsia" w:ascii="宋体" w:hAnsi="宋体" w:cs="宋体"/>
          <w:b/>
          <w:kern w:val="0"/>
          <w:sz w:val="24"/>
        </w:rPr>
        <w:t>24.7 被磋商小组确定为非实质性响应的响应文件，为无效报价文件，响应人不能通过修正或撤销响应文件中的不符之处而使其报价成为实质性响应的报价</w:t>
      </w:r>
      <w:r>
        <w:rPr>
          <w:rFonts w:hint="eastAsia" w:ascii="宋体" w:hAnsi="宋体" w:cs="宋体"/>
          <w:kern w:val="0"/>
          <w:sz w:val="24"/>
        </w:rPr>
        <w:t>。</w:t>
      </w:r>
    </w:p>
    <w:p>
      <w:pPr>
        <w:spacing w:line="560" w:lineRule="exact"/>
        <w:ind w:firstLine="602" w:firstLineChars="250"/>
        <w:rPr>
          <w:rFonts w:ascii="宋体" w:hAnsi="宋体" w:cs="宋体"/>
          <w:b/>
          <w:bCs/>
          <w:kern w:val="0"/>
          <w:sz w:val="24"/>
        </w:rPr>
      </w:pPr>
      <w:r>
        <w:rPr>
          <w:rFonts w:hint="eastAsia" w:ascii="宋体" w:hAnsi="宋体" w:cs="宋体"/>
          <w:b/>
          <w:bCs/>
          <w:kern w:val="0"/>
          <w:sz w:val="24"/>
        </w:rPr>
        <w:t>★24.8 磋商小组对各响应人的报价进行评审，对超出项目预算的首轮报价、再次报价、最终报价，均按无效报价处理。</w:t>
      </w:r>
    </w:p>
    <w:p>
      <w:pPr>
        <w:spacing w:line="560" w:lineRule="exact"/>
        <w:ind w:firstLine="602" w:firstLineChars="250"/>
        <w:rPr>
          <w:rFonts w:ascii="宋体" w:hAnsi="宋体" w:cs="宋体"/>
          <w:b/>
          <w:bCs/>
          <w:kern w:val="0"/>
          <w:sz w:val="24"/>
        </w:rPr>
      </w:pPr>
      <w:r>
        <w:rPr>
          <w:rFonts w:hint="eastAsia" w:ascii="宋体" w:hAnsi="宋体" w:cs="宋体"/>
          <w:b/>
          <w:bCs/>
          <w:kern w:val="0"/>
          <w:sz w:val="24"/>
        </w:rPr>
        <w:t>★24.9响应人应当遵循公平竞争的原则，不得恶意串通，不得妨碍其他响应人的竞争行为，不得损害采购人或者其他响应人的合法权益。</w:t>
      </w:r>
    </w:p>
    <w:p>
      <w:pPr>
        <w:spacing w:line="560" w:lineRule="exact"/>
        <w:ind w:firstLine="600" w:firstLineChars="250"/>
        <w:rPr>
          <w:rFonts w:ascii="宋体" w:hAnsi="宋体" w:cs="宋体"/>
          <w:bCs/>
          <w:kern w:val="0"/>
          <w:sz w:val="24"/>
        </w:rPr>
      </w:pPr>
      <w:r>
        <w:rPr>
          <w:rFonts w:hint="eastAsia" w:ascii="宋体" w:hAnsi="宋体" w:cs="宋体"/>
          <w:bCs/>
          <w:kern w:val="0"/>
          <w:sz w:val="24"/>
        </w:rPr>
        <w:t>在评审过程中发现响应人有上述情形的，磋商小组应当认定其报价无效，并书面报告本级财政部门。</w:t>
      </w:r>
    </w:p>
    <w:p>
      <w:pPr>
        <w:spacing w:line="560" w:lineRule="exact"/>
        <w:ind w:firstLine="602" w:firstLineChars="250"/>
        <w:rPr>
          <w:rFonts w:ascii="宋体" w:hAnsi="宋体" w:cs="宋体"/>
          <w:b/>
          <w:bCs/>
          <w:kern w:val="0"/>
          <w:sz w:val="24"/>
        </w:rPr>
      </w:pPr>
      <w:r>
        <w:rPr>
          <w:rFonts w:hint="eastAsia" w:ascii="宋体" w:hAnsi="宋体" w:cs="宋体"/>
          <w:b/>
          <w:bCs/>
          <w:kern w:val="0"/>
          <w:sz w:val="24"/>
        </w:rPr>
        <w:t>★24.10磋商小组发现响应人有属于串通报价、被视为串通报价、以他人名义报价、通过受让或者租借等方式获取资格资质证书、弄虚作假等情形的，各相关响应人的报价均无效。</w:t>
      </w:r>
    </w:p>
    <w:p>
      <w:pPr>
        <w:spacing w:line="560" w:lineRule="exact"/>
        <w:ind w:firstLine="600" w:firstLineChars="250"/>
        <w:rPr>
          <w:rFonts w:ascii="宋体" w:hAnsi="宋体" w:cs="宋体"/>
          <w:kern w:val="0"/>
          <w:sz w:val="24"/>
        </w:rPr>
      </w:pPr>
      <w:r>
        <w:rPr>
          <w:rFonts w:hint="eastAsia" w:ascii="宋体" w:hAnsi="宋体" w:cs="宋体"/>
          <w:kern w:val="0"/>
          <w:sz w:val="24"/>
        </w:rPr>
        <w:t>24.11 磋商小组通过上述评审，确定通过初步评审的合格响应人名单，只有通过初步评审的响应人，才有资格参与进一步的磋商和谈判且具有再次报价的机会。</w:t>
      </w:r>
    </w:p>
    <w:p>
      <w:pPr>
        <w:spacing w:line="560" w:lineRule="exact"/>
        <w:ind w:firstLine="600" w:firstLineChars="250"/>
        <w:rPr>
          <w:rFonts w:ascii="宋体" w:hAnsi="宋体" w:cs="宋体"/>
          <w:kern w:val="0"/>
          <w:sz w:val="24"/>
        </w:rPr>
      </w:pPr>
      <w:r>
        <w:rPr>
          <w:rFonts w:hint="eastAsia" w:ascii="宋体" w:hAnsi="宋体" w:cs="宋体"/>
          <w:kern w:val="0"/>
          <w:sz w:val="24"/>
        </w:rPr>
        <w:t>经初步评审后，合格响应人不足3家的，不继续评审。</w:t>
      </w:r>
      <w:r>
        <w:rPr>
          <w:rFonts w:hint="eastAsia" w:ascii="宋体" w:hAnsi="宋体"/>
          <w:sz w:val="24"/>
        </w:rPr>
        <w:t>但符合</w:t>
      </w:r>
      <w:r>
        <w:rPr>
          <w:rFonts w:ascii="宋体" w:hAnsi="宋体"/>
          <w:kern w:val="0"/>
          <w:sz w:val="24"/>
        </w:rPr>
        <w:t>政府采购竞争性磋商采购方式管理暂行办法</w:t>
      </w:r>
      <w:r>
        <w:rPr>
          <w:rFonts w:hint="eastAsia" w:ascii="宋体" w:hAnsi="宋体"/>
          <w:sz w:val="24"/>
        </w:rPr>
        <w:t>第三十四条、《财政部关于政府采购竞争性磋商采购方式管理暂行办法有关问题的补充通知》除外。</w:t>
      </w:r>
    </w:p>
    <w:p>
      <w:pPr>
        <w:pStyle w:val="7"/>
        <w:spacing w:before="0" w:after="0" w:line="500" w:lineRule="exact"/>
        <w:ind w:firstLine="504" w:firstLineChars="209"/>
        <w:rPr>
          <w:rFonts w:ascii="宋体" w:hAnsi="宋体"/>
          <w:sz w:val="24"/>
          <w:szCs w:val="24"/>
        </w:rPr>
      </w:pPr>
      <w:r>
        <w:rPr>
          <w:rFonts w:hint="eastAsia" w:ascii="宋体" w:hAnsi="宋体"/>
          <w:sz w:val="24"/>
          <w:szCs w:val="24"/>
        </w:rPr>
        <w:t>25.磋商</w:t>
      </w:r>
    </w:p>
    <w:p>
      <w:pPr>
        <w:pStyle w:val="2"/>
        <w:spacing w:after="0" w:line="560" w:lineRule="exact"/>
        <w:ind w:firstLine="600" w:firstLineChars="250"/>
        <w:rPr>
          <w:rFonts w:ascii="宋体" w:hAnsi="宋体" w:cs="宋体"/>
          <w:sz w:val="24"/>
        </w:rPr>
      </w:pPr>
      <w:r>
        <w:rPr>
          <w:rFonts w:hint="eastAsia" w:ascii="宋体" w:hAnsi="宋体" w:cs="宋体"/>
          <w:sz w:val="24"/>
        </w:rPr>
        <w:t>25.1  磋商小组所有成员集中与通过初步评审的各单一响应人分别进行磋商，并给予所有合格响应人平等的磋商机会。</w:t>
      </w:r>
    </w:p>
    <w:p>
      <w:pPr>
        <w:pStyle w:val="2"/>
        <w:spacing w:after="0" w:line="560" w:lineRule="exact"/>
        <w:ind w:firstLine="600" w:firstLineChars="250"/>
        <w:rPr>
          <w:rFonts w:ascii="宋体" w:hAnsi="宋体" w:cs="宋体"/>
          <w:sz w:val="24"/>
        </w:rPr>
      </w:pPr>
      <w:r>
        <w:rPr>
          <w:rFonts w:hint="eastAsia" w:ascii="宋体" w:hAnsi="宋体" w:cs="宋体"/>
          <w:sz w:val="24"/>
        </w:rPr>
        <w:t>25.2在磋商过程中，磋商小组可以根据磋商文件和磋商情况实质性变动采购需求中的技术、服务要求以及合同草案条款，但不得变动磋商文件中的其他内容。实质性变动的内容，须经采购人代表确认。</w:t>
      </w:r>
    </w:p>
    <w:p>
      <w:pPr>
        <w:pStyle w:val="2"/>
        <w:spacing w:after="0" w:line="560" w:lineRule="exact"/>
        <w:ind w:firstLine="600" w:firstLineChars="250"/>
        <w:rPr>
          <w:rFonts w:ascii="宋体" w:hAnsi="宋体" w:cs="宋体"/>
          <w:sz w:val="24"/>
        </w:rPr>
      </w:pPr>
      <w:r>
        <w:rPr>
          <w:rFonts w:hint="eastAsia" w:ascii="宋体" w:hAnsi="宋体" w:cs="宋体"/>
          <w:sz w:val="24"/>
        </w:rPr>
        <w:t>25.3对磋商文件作出的实质性变动是磋商文件的有效组成部分，磋商小组应当及时以书面形式同时通知所有参加磋商的响应人。</w:t>
      </w:r>
    </w:p>
    <w:p>
      <w:pPr>
        <w:pStyle w:val="2"/>
        <w:spacing w:after="0" w:line="560" w:lineRule="exact"/>
        <w:ind w:firstLine="600" w:firstLineChars="250"/>
        <w:rPr>
          <w:rFonts w:ascii="宋体" w:hAnsi="宋体" w:cs="宋体"/>
          <w:sz w:val="24"/>
        </w:rPr>
      </w:pPr>
      <w:r>
        <w:rPr>
          <w:rFonts w:hint="eastAsia" w:ascii="宋体" w:hAnsi="宋体" w:cs="宋体"/>
          <w:sz w:val="24"/>
        </w:rPr>
        <w:t>25.4响应人应当按照磋商文件的变动情况和磋商小组的要求重新提交响应文件，并由其法定代表人或授权代表签字。</w:t>
      </w:r>
    </w:p>
    <w:p>
      <w:pPr>
        <w:pStyle w:val="2"/>
        <w:spacing w:after="0" w:line="560" w:lineRule="exact"/>
        <w:ind w:firstLine="600" w:firstLineChars="250"/>
        <w:rPr>
          <w:rFonts w:ascii="宋体" w:hAnsi="宋体" w:cs="宋体"/>
          <w:sz w:val="24"/>
        </w:rPr>
      </w:pPr>
      <w:r>
        <w:rPr>
          <w:rFonts w:hint="eastAsia" w:ascii="宋体" w:hAnsi="宋体" w:cs="宋体"/>
          <w:sz w:val="24"/>
        </w:rPr>
        <w:t>25.5 竞争性磋商项目有再次报价的机会。本磋商文件能够详细列明采购标的的技术、服务要求的，磋商结束后，磋商小组应当要求所有实质性响应的响应人在规定时间内提交最终报价；</w:t>
      </w:r>
      <w:r>
        <w:rPr>
          <w:rFonts w:ascii="宋体" w:hAnsi="宋体" w:cs="宋体"/>
          <w:sz w:val="24"/>
        </w:rPr>
        <w:t>磋商文件不能详细列明采购标的的技术、服务要求，需经磋商由</w:t>
      </w:r>
      <w:r>
        <w:rPr>
          <w:rFonts w:hint="eastAsia" w:ascii="宋体" w:hAnsi="宋体" w:cs="宋体"/>
          <w:sz w:val="24"/>
        </w:rPr>
        <w:t>响应人</w:t>
      </w:r>
      <w:r>
        <w:rPr>
          <w:rFonts w:ascii="宋体" w:hAnsi="宋体" w:cs="宋体"/>
          <w:sz w:val="24"/>
        </w:rPr>
        <w:t>提供最终设计方案或解决方案的，磋商结束后，磋商小组应当按照少数服从多数的原则投票推荐3家以上</w:t>
      </w:r>
      <w:r>
        <w:rPr>
          <w:rFonts w:hint="eastAsia" w:ascii="宋体" w:hAnsi="宋体" w:cs="宋体"/>
          <w:sz w:val="24"/>
        </w:rPr>
        <w:t>响应人</w:t>
      </w:r>
      <w:r>
        <w:rPr>
          <w:rFonts w:ascii="宋体" w:hAnsi="宋体" w:cs="宋体"/>
          <w:sz w:val="24"/>
        </w:rPr>
        <w:t>的设计方案或者解决方案，并要求其在规定时间内提交</w:t>
      </w:r>
      <w:r>
        <w:rPr>
          <w:rFonts w:hint="eastAsia" w:ascii="宋体" w:hAnsi="宋体" w:cs="宋体"/>
          <w:sz w:val="24"/>
        </w:rPr>
        <w:t>最终报价</w:t>
      </w:r>
      <w:r>
        <w:rPr>
          <w:rFonts w:ascii="宋体" w:hAnsi="宋体" w:cs="宋体"/>
          <w:sz w:val="24"/>
        </w:rPr>
        <w:t>。</w:t>
      </w:r>
    </w:p>
    <w:p>
      <w:pPr>
        <w:pStyle w:val="2"/>
        <w:spacing w:after="0" w:line="560" w:lineRule="exact"/>
        <w:ind w:firstLine="600" w:firstLineChars="250"/>
        <w:rPr>
          <w:rFonts w:ascii="宋体" w:hAnsi="宋体" w:cs="宋体"/>
          <w:sz w:val="24"/>
        </w:rPr>
      </w:pPr>
      <w:r>
        <w:rPr>
          <w:rFonts w:hint="eastAsia" w:ascii="宋体" w:hAnsi="宋体" w:cs="宋体"/>
          <w:sz w:val="24"/>
        </w:rPr>
        <w:t>25.6 最终报价</w:t>
      </w:r>
      <w:r>
        <w:rPr>
          <w:rFonts w:ascii="宋体" w:hAnsi="宋体" w:cs="宋体"/>
          <w:sz w:val="24"/>
        </w:rPr>
        <w:t>是</w:t>
      </w:r>
      <w:r>
        <w:rPr>
          <w:rFonts w:hint="eastAsia" w:ascii="宋体" w:hAnsi="宋体" w:cs="宋体"/>
          <w:sz w:val="24"/>
        </w:rPr>
        <w:t>响应人</w:t>
      </w:r>
      <w:r>
        <w:rPr>
          <w:rFonts w:ascii="宋体" w:hAnsi="宋体" w:cs="宋体"/>
          <w:sz w:val="24"/>
        </w:rPr>
        <w:t>响应文件的有效组成部分</w:t>
      </w:r>
      <w:r>
        <w:rPr>
          <w:rFonts w:hint="eastAsia" w:ascii="宋体" w:hAnsi="宋体" w:cs="宋体"/>
          <w:sz w:val="24"/>
        </w:rPr>
        <w:t>，最终报价应由响应人法定代表人或其授权代表签字确认</w:t>
      </w:r>
      <w:r>
        <w:rPr>
          <w:rFonts w:ascii="宋体" w:hAnsi="宋体" w:cs="宋体"/>
          <w:sz w:val="24"/>
        </w:rPr>
        <w:t>。</w:t>
      </w:r>
    </w:p>
    <w:p>
      <w:pPr>
        <w:pStyle w:val="2"/>
        <w:spacing w:after="0" w:line="560" w:lineRule="exact"/>
        <w:ind w:firstLine="600" w:firstLineChars="250"/>
        <w:rPr>
          <w:rFonts w:ascii="宋体" w:hAnsi="宋体" w:cs="宋体"/>
          <w:sz w:val="24"/>
        </w:rPr>
      </w:pPr>
      <w:r>
        <w:rPr>
          <w:rFonts w:ascii="宋体" w:hAnsi="宋体" w:cs="宋体"/>
          <w:sz w:val="24"/>
        </w:rPr>
        <w:t>2</w:t>
      </w:r>
      <w:r>
        <w:rPr>
          <w:rFonts w:hint="eastAsia" w:ascii="宋体" w:hAnsi="宋体" w:cs="宋体"/>
          <w:sz w:val="24"/>
        </w:rPr>
        <w:t>5</w:t>
      </w:r>
      <w:r>
        <w:rPr>
          <w:rFonts w:ascii="宋体" w:hAnsi="宋体" w:cs="宋体"/>
          <w:sz w:val="24"/>
        </w:rPr>
        <w:t>.</w:t>
      </w:r>
      <w:r>
        <w:rPr>
          <w:rFonts w:hint="eastAsia" w:ascii="宋体" w:hAnsi="宋体" w:cs="宋体"/>
          <w:sz w:val="24"/>
        </w:rPr>
        <w:t>7已提交响应文件的响应人，在提交最终报价之前，可以根据磋商情况退出磋商。退出磋商应以书面方式提交，并由响应人的法定代表人或其授权代表签字确认。退出磋商的响应人的磋商保证金予以退还。</w:t>
      </w:r>
    </w:p>
    <w:p>
      <w:pPr>
        <w:pStyle w:val="7"/>
        <w:spacing w:before="0" w:after="0" w:line="500" w:lineRule="exact"/>
        <w:ind w:firstLine="504" w:firstLineChars="209"/>
        <w:rPr>
          <w:rFonts w:ascii="宋体" w:hAnsi="宋体"/>
          <w:sz w:val="24"/>
          <w:szCs w:val="24"/>
        </w:rPr>
      </w:pPr>
      <w:r>
        <w:rPr>
          <w:rFonts w:hint="eastAsia" w:ascii="宋体" w:hAnsi="宋体"/>
          <w:sz w:val="24"/>
          <w:szCs w:val="24"/>
        </w:rPr>
        <w:t>26.  综合评审</w:t>
      </w:r>
    </w:p>
    <w:p>
      <w:pPr>
        <w:pStyle w:val="2"/>
        <w:spacing w:line="560" w:lineRule="exact"/>
        <w:ind w:firstLine="600" w:firstLineChars="250"/>
        <w:rPr>
          <w:rFonts w:ascii="宋体" w:hAnsi="宋体"/>
          <w:sz w:val="24"/>
        </w:rPr>
      </w:pPr>
      <w:r>
        <w:rPr>
          <w:rFonts w:hint="eastAsia" w:ascii="宋体" w:hAnsi="宋体"/>
          <w:sz w:val="24"/>
        </w:rPr>
        <w:t>26.</w:t>
      </w:r>
      <w:r>
        <w:rPr>
          <w:rFonts w:ascii="宋体" w:hAnsi="宋体"/>
          <w:sz w:val="24"/>
        </w:rPr>
        <w:t>1</w:t>
      </w:r>
      <w:r>
        <w:rPr>
          <w:rFonts w:hint="eastAsia" w:ascii="宋体" w:hAnsi="宋体"/>
          <w:sz w:val="24"/>
        </w:rPr>
        <w:t xml:space="preserve"> 在最终报价提交后，磋商小组将对已提交最终报价的响应文件进行详细评审。磋商小组按本竞争性磋商采购文件第三章“评分办法”中的评分细则，对各响应文件进行评审打分，提出评审报告，按评审最后得分由高到低推荐成交候选响应人。</w:t>
      </w:r>
    </w:p>
    <w:p>
      <w:pPr>
        <w:pStyle w:val="7"/>
        <w:spacing w:before="0" w:after="0" w:line="500" w:lineRule="exact"/>
        <w:ind w:firstLine="504" w:firstLineChars="209"/>
        <w:rPr>
          <w:rFonts w:ascii="宋体" w:hAnsi="宋体"/>
          <w:sz w:val="24"/>
          <w:szCs w:val="24"/>
        </w:rPr>
      </w:pPr>
      <w:r>
        <w:rPr>
          <w:rFonts w:hint="eastAsia" w:ascii="宋体" w:hAnsi="宋体"/>
          <w:sz w:val="24"/>
          <w:szCs w:val="24"/>
        </w:rPr>
        <w:t>27.  报价不一致时的修正和处理</w:t>
      </w:r>
    </w:p>
    <w:p>
      <w:pPr>
        <w:pStyle w:val="2"/>
        <w:spacing w:after="0" w:line="560" w:lineRule="exact"/>
        <w:ind w:firstLine="602" w:firstLineChars="250"/>
        <w:rPr>
          <w:rFonts w:ascii="宋体" w:hAnsi="宋体"/>
          <w:b/>
          <w:sz w:val="24"/>
        </w:rPr>
      </w:pPr>
      <w:r>
        <w:rPr>
          <w:rFonts w:hint="eastAsia" w:ascii="宋体" w:hAnsi="宋体"/>
          <w:b/>
          <w:sz w:val="24"/>
        </w:rPr>
        <w:t xml:space="preserve">响应文件报价出现前后不一致的，按照下列规定修正： </w:t>
      </w:r>
    </w:p>
    <w:p>
      <w:pPr>
        <w:pStyle w:val="2"/>
        <w:spacing w:after="0" w:line="560" w:lineRule="exact"/>
        <w:ind w:firstLine="602" w:firstLineChars="250"/>
        <w:rPr>
          <w:rFonts w:ascii="宋体" w:hAnsi="宋体"/>
          <w:b/>
          <w:sz w:val="24"/>
        </w:rPr>
      </w:pPr>
      <w:r>
        <w:rPr>
          <w:rFonts w:hint="eastAsia" w:ascii="宋体" w:hAnsi="宋体"/>
          <w:b/>
          <w:sz w:val="24"/>
        </w:rPr>
        <w:t>（1）响应文件中首轮报价一览表（报价表）内容与响应文件中相应内容不一致的，以首轮报价一览表（报价表）为准；</w:t>
      </w:r>
    </w:p>
    <w:p>
      <w:pPr>
        <w:pStyle w:val="2"/>
        <w:spacing w:after="0" w:line="560" w:lineRule="exact"/>
        <w:ind w:firstLine="602" w:firstLineChars="250"/>
        <w:rPr>
          <w:rFonts w:ascii="宋体" w:hAnsi="宋体"/>
          <w:b/>
          <w:sz w:val="24"/>
        </w:rPr>
      </w:pPr>
      <w:r>
        <w:rPr>
          <w:rFonts w:hint="eastAsia" w:ascii="宋体" w:hAnsi="宋体"/>
          <w:b/>
          <w:sz w:val="24"/>
        </w:rPr>
        <w:t>（2）大写金额和小写金额不一致的，以大写金额为准；</w:t>
      </w:r>
    </w:p>
    <w:p>
      <w:pPr>
        <w:pStyle w:val="2"/>
        <w:spacing w:after="0" w:line="560" w:lineRule="exact"/>
        <w:ind w:firstLine="602" w:firstLineChars="250"/>
        <w:rPr>
          <w:rFonts w:ascii="宋体" w:hAnsi="宋体"/>
          <w:b/>
          <w:sz w:val="24"/>
        </w:rPr>
      </w:pPr>
      <w:r>
        <w:rPr>
          <w:rFonts w:hint="eastAsia" w:ascii="宋体" w:hAnsi="宋体"/>
          <w:b/>
          <w:sz w:val="24"/>
        </w:rPr>
        <w:t>（3）单价金额小数点或者百分比有明显错位的，以首轮报价一览表的总价为准，并修改单价；</w:t>
      </w:r>
    </w:p>
    <w:p>
      <w:pPr>
        <w:pStyle w:val="2"/>
        <w:spacing w:after="0" w:line="560" w:lineRule="exact"/>
        <w:ind w:firstLine="602" w:firstLineChars="250"/>
        <w:rPr>
          <w:rFonts w:ascii="宋体" w:hAnsi="宋体"/>
          <w:b/>
          <w:sz w:val="24"/>
        </w:rPr>
      </w:pPr>
      <w:r>
        <w:rPr>
          <w:rFonts w:hint="eastAsia" w:ascii="宋体" w:hAnsi="宋体"/>
          <w:b/>
          <w:sz w:val="24"/>
        </w:rPr>
        <w:t xml:space="preserve">（4）总价金额与按单价汇总金额不一致的，以单价金额计算结果为准。 </w:t>
      </w:r>
    </w:p>
    <w:p>
      <w:pPr>
        <w:pStyle w:val="2"/>
        <w:spacing w:after="0" w:line="560" w:lineRule="exact"/>
        <w:ind w:firstLine="602" w:firstLineChars="250"/>
        <w:rPr>
          <w:rFonts w:ascii="宋体" w:hAnsi="宋体"/>
          <w:b/>
          <w:sz w:val="24"/>
        </w:rPr>
      </w:pPr>
      <w:r>
        <w:rPr>
          <w:rFonts w:hint="eastAsia" w:ascii="宋体" w:hAnsi="宋体"/>
          <w:b/>
          <w:sz w:val="24"/>
        </w:rPr>
        <w:t>★（5）同时出现两种以上不一致的，按照前款规定的顺序修正。修正后的报价经响应人确认后产生约束力，响应人不确认的，其报价无效。</w:t>
      </w:r>
    </w:p>
    <w:p>
      <w:pPr>
        <w:pStyle w:val="7"/>
        <w:spacing w:before="0" w:after="0" w:line="360" w:lineRule="auto"/>
        <w:ind w:firstLine="504" w:firstLineChars="209"/>
        <w:rPr>
          <w:rFonts w:ascii="宋体" w:hAnsi="宋体"/>
          <w:sz w:val="24"/>
          <w:szCs w:val="24"/>
        </w:rPr>
      </w:pPr>
      <w:r>
        <w:rPr>
          <w:rFonts w:hint="eastAsia" w:ascii="宋体" w:hAnsi="宋体"/>
          <w:sz w:val="24"/>
          <w:szCs w:val="24"/>
        </w:rPr>
        <w:t>28.  响应文件的澄清</w:t>
      </w:r>
    </w:p>
    <w:p>
      <w:pPr>
        <w:pStyle w:val="2"/>
        <w:spacing w:after="0" w:line="560" w:lineRule="exact"/>
        <w:ind w:firstLine="600" w:firstLineChars="250"/>
        <w:rPr>
          <w:rFonts w:ascii="宋体" w:hAnsi="宋体" w:cs="宋体"/>
          <w:sz w:val="24"/>
        </w:rPr>
      </w:pPr>
      <w:r>
        <w:rPr>
          <w:rFonts w:hint="eastAsia" w:ascii="宋体" w:hAnsi="宋体" w:cs="宋体"/>
          <w:sz w:val="24"/>
        </w:rPr>
        <w:t>28.1为有助于对响应文件进行审查、评估和比较，磋商小组有权向响应人询问。响应人有义务以书面形式对其响应文件中含义不明确、同类问题表述不一致或有明显文字和计算错误的内容进行澄清和说明，但澄清和说明的内容不得超出响应文件的范围或改变响应文件的实质性内容。响应人澄清和说明的内容构成响应文件的组成部分；拒不进行澄清、说明或补正的，磋商小组可以视为响应人未实质性响应报价。</w:t>
      </w:r>
    </w:p>
    <w:p>
      <w:pPr>
        <w:pStyle w:val="2"/>
        <w:spacing w:after="0" w:line="560" w:lineRule="exact"/>
        <w:ind w:firstLine="600" w:firstLineChars="250"/>
        <w:rPr>
          <w:rFonts w:ascii="宋体" w:hAnsi="宋体" w:cs="宋体"/>
          <w:sz w:val="24"/>
        </w:rPr>
      </w:pPr>
      <w:r>
        <w:rPr>
          <w:rFonts w:hint="eastAsia" w:ascii="宋体" w:hAnsi="宋体" w:cs="宋体"/>
          <w:sz w:val="24"/>
        </w:rPr>
        <w:t>28.2磋商小组不接受响应人主动提出的澄清，采购人也不接受响应人主动承诺给予采购人赠品、回扣或者与采购无关的其他商品、服务。</w:t>
      </w:r>
    </w:p>
    <w:p>
      <w:pPr>
        <w:pStyle w:val="7"/>
        <w:spacing w:before="0" w:after="0" w:line="360" w:lineRule="auto"/>
        <w:ind w:firstLine="504" w:firstLineChars="209"/>
        <w:rPr>
          <w:rFonts w:ascii="宋体" w:hAnsi="宋体"/>
          <w:sz w:val="24"/>
          <w:szCs w:val="24"/>
        </w:rPr>
      </w:pPr>
      <w:r>
        <w:rPr>
          <w:rFonts w:hint="eastAsia" w:ascii="宋体" w:hAnsi="宋体"/>
          <w:sz w:val="24"/>
          <w:szCs w:val="24"/>
        </w:rPr>
        <w:t>29</w:t>
      </w:r>
      <w:r>
        <w:rPr>
          <w:rFonts w:ascii="宋体" w:hAnsi="宋体"/>
          <w:sz w:val="24"/>
          <w:szCs w:val="24"/>
        </w:rPr>
        <w:t>.</w:t>
      </w:r>
      <w:r>
        <w:rPr>
          <w:rFonts w:hint="eastAsia" w:ascii="宋体" w:hAnsi="宋体"/>
          <w:sz w:val="24"/>
          <w:szCs w:val="24"/>
        </w:rPr>
        <w:t>政府采购优惠政策</w:t>
      </w:r>
    </w:p>
    <w:p>
      <w:pPr>
        <w:pStyle w:val="2"/>
        <w:spacing w:after="0" w:line="560" w:lineRule="exact"/>
        <w:ind w:firstLine="600" w:firstLineChars="250"/>
        <w:rPr>
          <w:rFonts w:ascii="宋体" w:hAnsi="宋体" w:cs="宋体"/>
          <w:sz w:val="24"/>
        </w:rPr>
      </w:pPr>
      <w:r>
        <w:rPr>
          <w:rFonts w:hint="eastAsia" w:ascii="宋体" w:hAnsi="宋体" w:cs="宋体"/>
          <w:sz w:val="24"/>
        </w:rPr>
        <w:t>29.1 中小企业优惠办法</w:t>
      </w:r>
    </w:p>
    <w:p>
      <w:pPr>
        <w:pStyle w:val="2"/>
        <w:spacing w:after="0" w:line="560" w:lineRule="exact"/>
        <w:ind w:firstLine="600" w:firstLineChars="250"/>
        <w:rPr>
          <w:rFonts w:ascii="宋体" w:hAnsi="宋体" w:cs="宋体"/>
          <w:sz w:val="24"/>
        </w:rPr>
      </w:pPr>
      <w:r>
        <w:rPr>
          <w:rFonts w:hint="eastAsia" w:ascii="宋体" w:hAnsi="宋体" w:cs="宋体"/>
          <w:sz w:val="24"/>
        </w:rPr>
        <w:t>29.1.1具体扣除比例见竞争性磋商文件评审办法。</w:t>
      </w:r>
    </w:p>
    <w:p>
      <w:pPr>
        <w:pStyle w:val="2"/>
        <w:spacing w:after="0" w:line="560" w:lineRule="exact"/>
        <w:ind w:firstLine="600" w:firstLineChars="250"/>
        <w:rPr>
          <w:rFonts w:ascii="宋体" w:hAnsi="宋体" w:cs="宋体"/>
          <w:sz w:val="24"/>
        </w:rPr>
      </w:pPr>
      <w:r>
        <w:rPr>
          <w:rFonts w:hint="eastAsia" w:ascii="宋体" w:hAnsi="宋体" w:cs="宋体"/>
          <w:sz w:val="24"/>
        </w:rPr>
        <w:t>29.1.2按照《关于印发中小企业划型标准规定的通知》（工信部联企业〔2011〕300号）规定，上述小微企业应为依据中小企业划分标准确定的小型企业和微型企业，但与大企业的负责人为同一人，或者与大企业存在直接控股、管理关系的除外。</w:t>
      </w:r>
    </w:p>
    <w:p>
      <w:pPr>
        <w:pStyle w:val="2"/>
        <w:spacing w:after="0" w:line="560" w:lineRule="exact"/>
        <w:ind w:firstLine="600" w:firstLineChars="250"/>
        <w:rPr>
          <w:rFonts w:ascii="宋体" w:hAnsi="宋体" w:cs="宋体"/>
          <w:sz w:val="24"/>
        </w:rPr>
      </w:pPr>
      <w:r>
        <w:rPr>
          <w:rFonts w:hint="eastAsia" w:ascii="宋体" w:hAnsi="宋体" w:cs="宋体"/>
          <w:sz w:val="24"/>
        </w:rPr>
        <w:t>29.1.3响应人提供的货物、工程或者服务符合下列情形，享受上述小微企业价格扣除的优惠政策：</w:t>
      </w:r>
    </w:p>
    <w:p>
      <w:pPr>
        <w:pStyle w:val="2"/>
        <w:spacing w:after="0" w:line="560" w:lineRule="exact"/>
        <w:ind w:firstLine="600" w:firstLineChars="250"/>
        <w:rPr>
          <w:rFonts w:ascii="宋体" w:hAnsi="宋体" w:cs="宋体"/>
          <w:sz w:val="24"/>
        </w:rPr>
      </w:pPr>
      <w:r>
        <w:rPr>
          <w:rFonts w:hint="eastAsia" w:ascii="宋体" w:hAnsi="宋体" w:cs="宋体"/>
          <w:sz w:val="24"/>
        </w:rPr>
        <w:t>（一）在货物采购项目中，货物由小微企业制造，即货物由小微企业生产且使用该小微企业商号或者注册商标；</w:t>
      </w:r>
    </w:p>
    <w:p>
      <w:pPr>
        <w:pStyle w:val="2"/>
        <w:spacing w:after="0" w:line="560" w:lineRule="exact"/>
        <w:ind w:firstLine="600" w:firstLineChars="250"/>
        <w:rPr>
          <w:rFonts w:ascii="宋体" w:hAnsi="宋体" w:cs="宋体"/>
          <w:sz w:val="24"/>
        </w:rPr>
      </w:pPr>
      <w:r>
        <w:rPr>
          <w:rFonts w:hint="eastAsia" w:ascii="宋体" w:hAnsi="宋体" w:cs="宋体"/>
          <w:sz w:val="24"/>
        </w:rPr>
        <w:t>（二）在工程采购项目中，工程由小微企业承建，即工程施工单位为小微企业；</w:t>
      </w:r>
    </w:p>
    <w:p>
      <w:pPr>
        <w:pStyle w:val="2"/>
        <w:spacing w:after="0" w:line="560" w:lineRule="exact"/>
        <w:ind w:firstLine="600" w:firstLineChars="250"/>
        <w:rPr>
          <w:rFonts w:ascii="宋体" w:hAnsi="宋体" w:cs="宋体"/>
          <w:sz w:val="24"/>
        </w:rPr>
      </w:pPr>
      <w:r>
        <w:rPr>
          <w:rFonts w:hint="eastAsia" w:ascii="宋体" w:hAnsi="宋体" w:cs="宋体"/>
          <w:sz w:val="24"/>
        </w:rPr>
        <w:t>（三）在服务项目中，服务由小微企业承接，即提供服务的人员为小微企业依照《中华人民共和国劳动合同法》订立劳动合同的从业人员。</w:t>
      </w:r>
    </w:p>
    <w:p>
      <w:pPr>
        <w:pStyle w:val="2"/>
        <w:spacing w:after="0" w:line="560" w:lineRule="exact"/>
        <w:ind w:firstLine="600" w:firstLineChars="250"/>
        <w:rPr>
          <w:rFonts w:ascii="宋体" w:hAnsi="宋体" w:cs="宋体"/>
          <w:sz w:val="24"/>
        </w:rPr>
      </w:pPr>
      <w:r>
        <w:rPr>
          <w:rFonts w:hint="eastAsia" w:ascii="宋体" w:hAnsi="宋体" w:cs="宋体"/>
          <w:sz w:val="24"/>
        </w:rPr>
        <w:t>29.1.4依据《财政部工业和信息化部关于印发&lt;政府采购促进中小企业发展管理办法&gt;的通知》(财库〔2020〕46号)规定，中型、小型和微型企业磋商的须提供《中小企业声明函》（格式见附件）并对声明函的真实性负责；如果联合体各方均为小型、微型企业的，联合体视同为小型、微型企业，但联合体各方均应按竞争性磋商文件要求提供《中小企业声明函》。</w:t>
      </w:r>
    </w:p>
    <w:p>
      <w:pPr>
        <w:pStyle w:val="2"/>
        <w:spacing w:after="0" w:line="560" w:lineRule="exact"/>
        <w:ind w:firstLine="600" w:firstLineChars="250"/>
        <w:rPr>
          <w:rFonts w:ascii="宋体" w:hAnsi="宋体" w:cs="宋体"/>
          <w:sz w:val="24"/>
        </w:rPr>
      </w:pPr>
      <w:r>
        <w:rPr>
          <w:rFonts w:hint="eastAsia" w:ascii="宋体" w:hAnsi="宋体" w:cs="宋体"/>
          <w:sz w:val="24"/>
        </w:rPr>
        <w:t>29.1.5在货物采购项目中，响应人提供的货物既有小微企业制造货物，也有大中型企业制造的，不享受本办法规定的小微企业价格优惠政策。</w:t>
      </w:r>
    </w:p>
    <w:p>
      <w:pPr>
        <w:pStyle w:val="2"/>
        <w:spacing w:after="0" w:line="560" w:lineRule="exact"/>
        <w:ind w:firstLine="600" w:firstLineChars="250"/>
        <w:rPr>
          <w:rFonts w:ascii="宋体" w:hAnsi="宋体" w:cs="宋体"/>
          <w:sz w:val="24"/>
        </w:rPr>
      </w:pPr>
      <w:r>
        <w:rPr>
          <w:rFonts w:hint="eastAsia" w:ascii="宋体" w:hAnsi="宋体" w:cs="宋体"/>
          <w:sz w:val="24"/>
        </w:rPr>
        <w:t>29.1.6以联合体形式参加政府采购活动，联合体各方均为中小企业的，联合体视同中小企业。其中，联合体各方均为小微企业的，联合体视同小微企业。组成联合体或者接受分包的小微企业与联合体内其他企业、分包企业之间存在直接控股、管理关系的，不享受价格扣除优惠政策。</w:t>
      </w:r>
    </w:p>
    <w:p>
      <w:pPr>
        <w:pStyle w:val="2"/>
        <w:spacing w:after="0" w:line="560" w:lineRule="exact"/>
        <w:ind w:firstLine="600" w:firstLineChars="250"/>
        <w:rPr>
          <w:rFonts w:ascii="宋体" w:hAnsi="宋体" w:cs="宋体"/>
          <w:sz w:val="24"/>
        </w:rPr>
      </w:pPr>
      <w:r>
        <w:rPr>
          <w:rFonts w:hint="eastAsia" w:ascii="宋体" w:hAnsi="宋体" w:cs="宋体"/>
          <w:sz w:val="24"/>
        </w:rPr>
        <w:t>29.1.7中标、成交人享受本办法规定的中小企业扶持政策的，采购人、采购代理机构应当随中标、成交结果公开中标、成交人的《中小企业声明函》。响应人提供声明函内容不实的，属于提供虚假材料谋取中标、成交，依照《中华人民共和国政府采购法》等国家有关规定追究相应责任。</w:t>
      </w:r>
    </w:p>
    <w:p>
      <w:pPr>
        <w:pStyle w:val="2"/>
        <w:spacing w:after="0" w:line="560" w:lineRule="exact"/>
        <w:ind w:firstLine="600" w:firstLineChars="250"/>
        <w:rPr>
          <w:rFonts w:ascii="宋体" w:hAnsi="宋体" w:cs="宋体"/>
          <w:sz w:val="24"/>
        </w:rPr>
      </w:pPr>
      <w:r>
        <w:rPr>
          <w:rFonts w:hint="eastAsia" w:ascii="宋体" w:hAnsi="宋体" w:cs="宋体"/>
          <w:sz w:val="24"/>
        </w:rPr>
        <w:t>29.2 政府采购支持监狱企业发展的政策</w:t>
      </w:r>
    </w:p>
    <w:p>
      <w:pPr>
        <w:pStyle w:val="2"/>
        <w:spacing w:after="0" w:line="560" w:lineRule="exact"/>
        <w:ind w:firstLine="600" w:firstLineChars="250"/>
        <w:rPr>
          <w:rFonts w:ascii="宋体" w:hAnsi="宋体" w:cs="宋体"/>
          <w:sz w:val="24"/>
        </w:rPr>
      </w:pPr>
      <w:r>
        <w:rPr>
          <w:rFonts w:hint="eastAsia" w:ascii="宋体" w:hAnsi="宋体" w:cs="宋体"/>
          <w:sz w:val="24"/>
        </w:rPr>
        <w:t>1）根据《财政部司法部&lt;关于政府采购支持监狱企业发展有关问题的通知》（财库〔2014〕68号）文件规定，对监狱企业生产的产品价格或提供服务的价格给予6%的价格扣除，用扣除后的价格参与评审；监狱企业属于小型、微型企业的，不重复享受政策。</w:t>
      </w:r>
    </w:p>
    <w:p>
      <w:pPr>
        <w:pStyle w:val="2"/>
        <w:spacing w:after="0" w:line="560" w:lineRule="exact"/>
        <w:ind w:firstLine="600" w:firstLineChars="250"/>
        <w:rPr>
          <w:rFonts w:ascii="宋体" w:hAnsi="宋体" w:cs="宋体"/>
          <w:sz w:val="24"/>
        </w:rPr>
      </w:pPr>
      <w:r>
        <w:rPr>
          <w:rFonts w:hint="eastAsia" w:ascii="宋体" w:hAnsi="宋体" w:cs="宋体"/>
          <w:sz w:val="24"/>
        </w:rPr>
        <w:t>2）参加政府采购活动的监狱企业应当在响应文件中提供监狱企业证明复印件，否则不予认定。监狱企业证明须由省级或以上监狱管理局、戒毒管理局（含新疆生产建设兵团）出具。</w:t>
      </w:r>
    </w:p>
    <w:p>
      <w:pPr>
        <w:pStyle w:val="2"/>
        <w:spacing w:after="0" w:line="560" w:lineRule="exact"/>
        <w:ind w:firstLine="600" w:firstLineChars="250"/>
        <w:rPr>
          <w:rFonts w:ascii="宋体" w:hAnsi="宋体" w:cs="宋体"/>
          <w:sz w:val="24"/>
        </w:rPr>
      </w:pPr>
      <w:r>
        <w:rPr>
          <w:rFonts w:hint="eastAsia" w:ascii="宋体" w:hAnsi="宋体" w:cs="宋体"/>
          <w:sz w:val="24"/>
        </w:rPr>
        <w:t>29.3 促进残疾人就业政府采购政策</w:t>
      </w:r>
    </w:p>
    <w:p>
      <w:pPr>
        <w:pStyle w:val="2"/>
        <w:spacing w:after="0" w:line="560" w:lineRule="exact"/>
        <w:ind w:firstLine="600" w:firstLineChars="250"/>
        <w:rPr>
          <w:rFonts w:ascii="宋体" w:hAnsi="宋体" w:cs="宋体"/>
          <w:sz w:val="24"/>
        </w:rPr>
      </w:pPr>
      <w:r>
        <w:rPr>
          <w:rFonts w:hint="eastAsia" w:ascii="宋体" w:hAnsi="宋体" w:cs="宋体"/>
          <w:sz w:val="24"/>
        </w:rPr>
        <w:t>1）依据《三部门联合发布关于促进残疾人就业政府采购政策的通知》(财库〔2017〕141号)文件规定，残疾人福利性单位视同小型、微型企业，对残疾人福利性单位的报价给予6%-10%的扣除，用扣除后的评审价格参与价格得分的计算及评审，具体扣除比例见磋商文件评审办法；残疾人福利性单位属于小型、微型企业的，不重复享受政策。</w:t>
      </w:r>
    </w:p>
    <w:p>
      <w:pPr>
        <w:pStyle w:val="2"/>
        <w:spacing w:after="0" w:line="560" w:lineRule="exact"/>
        <w:ind w:firstLine="600" w:firstLineChars="250"/>
        <w:rPr>
          <w:rFonts w:ascii="宋体" w:hAnsi="宋体" w:cs="宋体"/>
          <w:sz w:val="24"/>
        </w:rPr>
      </w:pPr>
      <w:r>
        <w:rPr>
          <w:rFonts w:hint="eastAsia" w:ascii="宋体" w:hAnsi="宋体" w:cs="宋体"/>
          <w:sz w:val="24"/>
        </w:rPr>
        <w:t>2) 残疾人福利性单位评审价格的计算：残疾人福利性单位的评审价格=磋商报价×（1—扣除比例）；响应人属于享受政府采购支持政策的“残疾人福利性单位”的，需提供《残疾人福利性单位声明函》，并对声明的真实性负责。成交人为残疾人福利性单位的，采购代理机构将随成交结果同时公告其《残疾人福利性单位声明函》。</w:t>
      </w:r>
    </w:p>
    <w:p>
      <w:pPr>
        <w:pStyle w:val="2"/>
        <w:spacing w:after="0" w:line="560" w:lineRule="exact"/>
        <w:ind w:firstLine="600" w:firstLineChars="250"/>
        <w:rPr>
          <w:rFonts w:ascii="宋体" w:hAnsi="宋体" w:cs="宋体"/>
          <w:sz w:val="24"/>
        </w:rPr>
      </w:pPr>
      <w:r>
        <w:rPr>
          <w:rFonts w:hint="eastAsia" w:ascii="宋体" w:hAnsi="宋体" w:cs="宋体"/>
          <w:sz w:val="24"/>
        </w:rPr>
        <w:t>3）享受政府采购支持政策的残疾人福利性单位应当同时满足以下条件：</w:t>
      </w:r>
    </w:p>
    <w:p>
      <w:pPr>
        <w:pStyle w:val="2"/>
        <w:spacing w:after="0" w:line="560" w:lineRule="exact"/>
        <w:ind w:firstLine="600" w:firstLineChars="250"/>
        <w:rPr>
          <w:rFonts w:ascii="宋体" w:hAnsi="宋体" w:cs="宋体"/>
          <w:sz w:val="24"/>
        </w:rPr>
      </w:pPr>
      <w:r>
        <w:rPr>
          <w:rFonts w:hint="eastAsia" w:ascii="宋体" w:hAnsi="宋体" w:cs="宋体"/>
          <w:sz w:val="24"/>
        </w:rPr>
        <w:sym w:font="Wingdings" w:char="F081"/>
      </w:r>
      <w:r>
        <w:rPr>
          <w:rFonts w:hint="eastAsia" w:ascii="宋体" w:hAnsi="宋体" w:cs="宋体"/>
          <w:sz w:val="24"/>
        </w:rPr>
        <w:t>安置的残疾人占本单位在职职工人数的比例不低于25%（含25%），并且安置的残疾人人数不少于10人（含10人）；</w:t>
      </w:r>
    </w:p>
    <w:p>
      <w:pPr>
        <w:pStyle w:val="2"/>
        <w:spacing w:after="0" w:line="560" w:lineRule="exact"/>
        <w:ind w:firstLine="600" w:firstLineChars="250"/>
        <w:rPr>
          <w:rFonts w:ascii="宋体" w:hAnsi="宋体" w:cs="宋体"/>
          <w:sz w:val="24"/>
        </w:rPr>
      </w:pPr>
      <w:r>
        <w:rPr>
          <w:rFonts w:hint="eastAsia" w:ascii="宋体" w:hAnsi="宋体" w:cs="宋体"/>
          <w:sz w:val="24"/>
        </w:rPr>
        <w:sym w:font="Wingdings" w:char="F082"/>
      </w:r>
      <w:r>
        <w:rPr>
          <w:rFonts w:hint="eastAsia" w:ascii="宋体" w:hAnsi="宋体" w:cs="宋体"/>
          <w:sz w:val="24"/>
        </w:rPr>
        <w:t>依法与安置的每位残疾人签订了一年以上（含一年）的劳动合同或服务协议；</w:t>
      </w:r>
    </w:p>
    <w:p>
      <w:pPr>
        <w:pStyle w:val="2"/>
        <w:spacing w:after="0" w:line="560" w:lineRule="exact"/>
        <w:ind w:firstLine="600" w:firstLineChars="250"/>
        <w:rPr>
          <w:rFonts w:ascii="宋体" w:hAnsi="宋体" w:cs="宋体"/>
          <w:sz w:val="24"/>
        </w:rPr>
      </w:pPr>
      <w:r>
        <w:rPr>
          <w:rFonts w:hint="eastAsia" w:ascii="宋体" w:hAnsi="宋体" w:cs="宋体"/>
          <w:sz w:val="24"/>
        </w:rPr>
        <w:sym w:font="Wingdings" w:char="F083"/>
      </w:r>
      <w:r>
        <w:rPr>
          <w:rFonts w:hint="eastAsia" w:ascii="宋体" w:hAnsi="宋体" w:cs="宋体"/>
          <w:sz w:val="24"/>
        </w:rPr>
        <w:t>为安置的每位残疾人按月足额缴纳了基本养老保险、基本医疗保险、失业保险、工伤保险和生育保险等社会保险费；</w:t>
      </w:r>
    </w:p>
    <w:p>
      <w:pPr>
        <w:pStyle w:val="2"/>
        <w:spacing w:after="0" w:line="560" w:lineRule="exact"/>
        <w:ind w:firstLine="600" w:firstLineChars="250"/>
        <w:rPr>
          <w:rFonts w:ascii="宋体" w:hAnsi="宋体" w:cs="宋体"/>
          <w:sz w:val="24"/>
        </w:rPr>
      </w:pPr>
      <w:r>
        <w:rPr>
          <w:rFonts w:hint="eastAsia" w:ascii="宋体" w:hAnsi="宋体" w:cs="宋体"/>
          <w:sz w:val="24"/>
        </w:rPr>
        <w:t>④通过银行等金融机构向安置的每位残疾人，按月支付了不低于单位所在区县适用的经省级人民政府批准的月最低工资标准的工资；</w:t>
      </w:r>
    </w:p>
    <w:p>
      <w:pPr>
        <w:pStyle w:val="2"/>
        <w:spacing w:after="0" w:line="560" w:lineRule="exact"/>
        <w:ind w:firstLine="600" w:firstLineChars="250"/>
        <w:rPr>
          <w:rFonts w:ascii="宋体" w:hAnsi="宋体" w:cs="宋体"/>
          <w:sz w:val="24"/>
        </w:rPr>
      </w:pPr>
      <w:r>
        <w:rPr>
          <w:rFonts w:hint="eastAsia" w:ascii="宋体" w:hAnsi="宋体" w:cs="宋体"/>
          <w:sz w:val="24"/>
        </w:rPr>
        <w:t>⑤提供本单位制造的货物、承担的工程或者服务（以下简称产品），或者提供其他残疾人福利性单位制造的货物（不包括使用非残疾人福利性单位注册商标的货物）。</w:t>
      </w:r>
    </w:p>
    <w:p>
      <w:pPr>
        <w:pStyle w:val="2"/>
        <w:spacing w:after="0" w:line="560" w:lineRule="exact"/>
        <w:ind w:firstLine="600" w:firstLineChars="250"/>
        <w:rPr>
          <w:rFonts w:ascii="宋体" w:hAnsi="宋体" w:cs="宋体"/>
          <w:sz w:val="24"/>
        </w:rPr>
      </w:pPr>
      <w:r>
        <w:rPr>
          <w:rFonts w:hint="eastAsia" w:ascii="宋体" w:hAnsi="宋体" w:cs="宋体"/>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
        <w:spacing w:after="0" w:line="560" w:lineRule="exact"/>
        <w:ind w:firstLine="600" w:firstLineChars="250"/>
        <w:rPr>
          <w:rFonts w:ascii="宋体" w:hAnsi="宋体" w:cs="宋体"/>
          <w:sz w:val="24"/>
        </w:rPr>
      </w:pPr>
      <w:r>
        <w:rPr>
          <w:rFonts w:hint="eastAsia" w:ascii="宋体" w:hAnsi="宋体" w:cs="宋体"/>
          <w:sz w:val="24"/>
        </w:rPr>
        <w:t>4）符合条件的残疾人福利性单位在参加政府采购活动时，应当提供《残疾人福利性单位声明函》（见附件），并对声明的真实性负责。</w:t>
      </w:r>
    </w:p>
    <w:p>
      <w:pPr>
        <w:pStyle w:val="2"/>
        <w:spacing w:line="560" w:lineRule="exact"/>
        <w:ind w:firstLine="571" w:firstLineChars="238"/>
        <w:rPr>
          <w:rFonts w:ascii="宋体" w:hAnsi="宋体" w:cs="宋体"/>
          <w:sz w:val="24"/>
        </w:rPr>
      </w:pPr>
      <w:r>
        <w:rPr>
          <w:rFonts w:hint="eastAsia" w:ascii="宋体" w:hAnsi="宋体" w:cs="宋体"/>
          <w:sz w:val="24"/>
        </w:rPr>
        <w:t>5）中标、成交人为残疾人福利性单位的，采购代理机构应当随中标、成交结果同时公告其《残疾人福利性单位声明函》，接受社会监督。</w:t>
      </w:r>
    </w:p>
    <w:p>
      <w:pPr>
        <w:pStyle w:val="2"/>
        <w:spacing w:line="560" w:lineRule="exact"/>
        <w:ind w:firstLine="571" w:firstLineChars="238"/>
        <w:rPr>
          <w:rFonts w:ascii="宋体" w:hAnsi="宋体" w:cs="宋体"/>
          <w:sz w:val="24"/>
        </w:rPr>
      </w:pPr>
      <w:r>
        <w:rPr>
          <w:rFonts w:hint="eastAsia" w:ascii="宋体" w:hAnsi="宋体" w:cs="宋体"/>
          <w:sz w:val="24"/>
        </w:rPr>
        <w:t>6）响应人提供的《残疾人福利性单位声明函》与事实不符的，依照《政府采购法》第七十七条第一款的规定追究法律责任。</w:t>
      </w:r>
    </w:p>
    <w:p>
      <w:pPr>
        <w:pStyle w:val="2"/>
        <w:spacing w:after="0" w:line="560" w:lineRule="exact"/>
        <w:ind w:firstLine="571" w:firstLineChars="238"/>
        <w:rPr>
          <w:rFonts w:ascii="宋体" w:hAnsi="宋体" w:cs="宋体"/>
          <w:sz w:val="24"/>
        </w:rPr>
      </w:pPr>
      <w:r>
        <w:rPr>
          <w:rFonts w:ascii="宋体" w:hAnsi="宋体" w:cs="宋体"/>
          <w:sz w:val="24"/>
        </w:rPr>
        <w:t>2</w:t>
      </w:r>
      <w:r>
        <w:rPr>
          <w:rFonts w:hint="eastAsia" w:ascii="宋体" w:hAnsi="宋体" w:cs="宋体"/>
          <w:sz w:val="24"/>
        </w:rPr>
        <w:t>9</w:t>
      </w:r>
      <w:r>
        <w:rPr>
          <w:rFonts w:ascii="宋体" w:hAnsi="宋体" w:cs="宋体"/>
          <w:sz w:val="24"/>
        </w:rPr>
        <w:t>.4</w:t>
      </w:r>
      <w:r>
        <w:rPr>
          <w:rFonts w:hint="eastAsia" w:ascii="宋体" w:hAnsi="宋体" w:cs="宋体"/>
          <w:sz w:val="24"/>
        </w:rPr>
        <w:t xml:space="preserve"> 执行政府采购政策对报价进行扣除后的评审价格仅用于评审过程的报价得分计算或评审价格的比较，不作为最终的成交价格。</w:t>
      </w:r>
    </w:p>
    <w:p>
      <w:pPr>
        <w:pStyle w:val="7"/>
        <w:spacing w:before="0" w:after="0" w:line="500" w:lineRule="exact"/>
        <w:ind w:firstLine="504" w:firstLineChars="209"/>
        <w:rPr>
          <w:rFonts w:ascii="宋体" w:hAnsi="宋体"/>
          <w:sz w:val="24"/>
          <w:szCs w:val="24"/>
        </w:rPr>
      </w:pPr>
      <w:r>
        <w:rPr>
          <w:rFonts w:hint="eastAsia" w:ascii="宋体" w:hAnsi="宋体"/>
          <w:sz w:val="24"/>
          <w:szCs w:val="24"/>
        </w:rPr>
        <w:t>30.  采购项目终止的情形</w:t>
      </w:r>
    </w:p>
    <w:p>
      <w:pPr>
        <w:pStyle w:val="2"/>
        <w:spacing w:after="0" w:line="560" w:lineRule="exact"/>
        <w:ind w:firstLine="602" w:firstLineChars="250"/>
        <w:rPr>
          <w:rFonts w:ascii="宋体" w:hAnsi="宋体"/>
          <w:b/>
          <w:sz w:val="24"/>
        </w:rPr>
      </w:pPr>
      <w:r>
        <w:rPr>
          <w:rFonts w:hint="eastAsia" w:ascii="宋体" w:hAnsi="宋体"/>
          <w:b/>
          <w:sz w:val="24"/>
        </w:rPr>
        <w:t>有下列情形之一，本项目将予以终止：</w:t>
      </w:r>
    </w:p>
    <w:p>
      <w:pPr>
        <w:pStyle w:val="2"/>
        <w:spacing w:after="0" w:line="560" w:lineRule="exact"/>
        <w:ind w:firstLine="600" w:firstLineChars="250"/>
        <w:rPr>
          <w:rFonts w:ascii="宋体" w:hAnsi="宋体"/>
          <w:sz w:val="24"/>
        </w:rPr>
      </w:pPr>
      <w:r>
        <w:rPr>
          <w:rFonts w:hint="eastAsia" w:ascii="宋体" w:hAnsi="宋体"/>
          <w:sz w:val="24"/>
        </w:rPr>
        <w:t>1）至递交响应文件截止时间止，递交响应文件的响应人不足3家的；</w:t>
      </w:r>
    </w:p>
    <w:p>
      <w:pPr>
        <w:pStyle w:val="2"/>
        <w:spacing w:after="0" w:line="560" w:lineRule="exact"/>
        <w:ind w:firstLine="600" w:firstLineChars="250"/>
        <w:rPr>
          <w:rFonts w:ascii="宋体" w:hAnsi="宋体"/>
          <w:sz w:val="24"/>
        </w:rPr>
      </w:pPr>
      <w:r>
        <w:rPr>
          <w:rFonts w:hint="eastAsia" w:ascii="宋体" w:hAnsi="宋体"/>
          <w:sz w:val="24"/>
        </w:rPr>
        <w:t>2）经评审，对采购文件作出实质性响应的响应人不足3家的，或者提交最终报价的响应人不足3家的；但符合《政府采购竞争性磋商采购方式管理暂行办法》第三十四条、《财政部关于政府采购竞争性磋商采购方式管理暂行办法有关问题的补充通知》除外；</w:t>
      </w:r>
    </w:p>
    <w:p>
      <w:pPr>
        <w:pStyle w:val="2"/>
        <w:spacing w:after="0" w:line="560" w:lineRule="exact"/>
        <w:ind w:firstLine="600" w:firstLineChars="250"/>
        <w:rPr>
          <w:rFonts w:ascii="宋体" w:hAnsi="宋体"/>
          <w:sz w:val="24"/>
        </w:rPr>
      </w:pPr>
      <w:r>
        <w:rPr>
          <w:rFonts w:hint="eastAsia" w:ascii="宋体" w:hAnsi="宋体"/>
          <w:sz w:val="24"/>
        </w:rPr>
        <w:t>3）出现影响采购公正的违法违规行为的；</w:t>
      </w:r>
    </w:p>
    <w:p>
      <w:pPr>
        <w:pStyle w:val="2"/>
        <w:spacing w:after="0" w:line="560" w:lineRule="exact"/>
        <w:ind w:firstLine="600" w:firstLineChars="250"/>
        <w:rPr>
          <w:rFonts w:ascii="宋体" w:hAnsi="宋体"/>
          <w:sz w:val="24"/>
        </w:rPr>
      </w:pPr>
      <w:r>
        <w:rPr>
          <w:rFonts w:hint="eastAsia" w:ascii="宋体" w:hAnsi="宋体"/>
          <w:sz w:val="24"/>
        </w:rPr>
        <w:t>4）因情况变化，不再符合规定的竞争性磋商采购方式适用情形的；</w:t>
      </w:r>
    </w:p>
    <w:p>
      <w:pPr>
        <w:pStyle w:val="2"/>
        <w:spacing w:after="0" w:line="560" w:lineRule="exact"/>
        <w:ind w:firstLine="600" w:firstLineChars="250"/>
        <w:rPr>
          <w:rFonts w:ascii="宋体" w:hAnsi="宋体"/>
          <w:sz w:val="24"/>
        </w:rPr>
      </w:pPr>
      <w:r>
        <w:rPr>
          <w:rFonts w:hint="eastAsia" w:ascii="宋体" w:hAnsi="宋体"/>
          <w:sz w:val="24"/>
        </w:rPr>
        <w:t>5）法律、法规及采购文件规定的其他情况。</w:t>
      </w:r>
    </w:p>
    <w:p>
      <w:pPr>
        <w:pStyle w:val="7"/>
        <w:spacing w:before="0" w:after="0" w:line="500" w:lineRule="exact"/>
        <w:ind w:firstLine="504" w:firstLineChars="209"/>
        <w:rPr>
          <w:rFonts w:ascii="宋体" w:hAnsi="宋体"/>
          <w:sz w:val="24"/>
          <w:szCs w:val="24"/>
        </w:rPr>
      </w:pPr>
      <w:r>
        <w:rPr>
          <w:rFonts w:hint="eastAsia" w:ascii="宋体" w:hAnsi="宋体"/>
          <w:sz w:val="24"/>
          <w:szCs w:val="24"/>
        </w:rPr>
        <w:t>★31.串通报价</w:t>
      </w:r>
    </w:p>
    <w:p>
      <w:pPr>
        <w:pStyle w:val="2"/>
        <w:spacing w:after="0" w:line="560" w:lineRule="exact"/>
        <w:ind w:firstLine="600" w:firstLineChars="250"/>
        <w:rPr>
          <w:rFonts w:ascii="宋体" w:hAnsi="宋体"/>
          <w:sz w:val="24"/>
        </w:rPr>
      </w:pPr>
      <w:r>
        <w:rPr>
          <w:rFonts w:hint="eastAsia" w:ascii="宋体" w:hAnsi="宋体"/>
          <w:sz w:val="24"/>
        </w:rPr>
        <w:t>31.1响应人出现《中华人民共和国政府采购法实施条例》等规定的串通报价或影响政府采购的违法行为，其报价无效，采购人或磋商小组将书面报告本级财政部门，给采购人、采购代理机构造成损失的，采购人、采购代理机构有索赔的权利，响应人应予以赔偿。</w:t>
      </w:r>
    </w:p>
    <w:p>
      <w:pPr>
        <w:pStyle w:val="7"/>
        <w:spacing w:before="0" w:after="0" w:line="500" w:lineRule="exact"/>
        <w:ind w:firstLine="504" w:firstLineChars="209"/>
        <w:rPr>
          <w:rFonts w:ascii="宋体" w:hAnsi="宋体"/>
          <w:sz w:val="24"/>
          <w:szCs w:val="24"/>
        </w:rPr>
      </w:pPr>
      <w:r>
        <w:rPr>
          <w:rFonts w:hint="eastAsia" w:ascii="宋体" w:hAnsi="宋体"/>
          <w:sz w:val="24"/>
          <w:szCs w:val="24"/>
        </w:rPr>
        <w:t>32.  成交公告</w:t>
      </w:r>
    </w:p>
    <w:p>
      <w:pPr>
        <w:pStyle w:val="2"/>
        <w:spacing w:after="0" w:line="560" w:lineRule="exact"/>
        <w:ind w:firstLine="600" w:firstLineChars="250"/>
        <w:rPr>
          <w:rFonts w:ascii="宋体" w:hAnsi="宋体" w:cs="宋体"/>
          <w:sz w:val="24"/>
        </w:rPr>
      </w:pPr>
      <w:r>
        <w:rPr>
          <w:rFonts w:hint="eastAsia" w:ascii="宋体" w:hAnsi="宋体" w:cs="宋体"/>
          <w:sz w:val="24"/>
        </w:rPr>
        <w:t>32.1 采购人确定成交人后，采购代理机构将在发布竞争性磋商公告的同一媒体发布成交公告。</w:t>
      </w:r>
    </w:p>
    <w:p>
      <w:pPr>
        <w:pStyle w:val="2"/>
        <w:spacing w:after="0" w:line="560" w:lineRule="exact"/>
        <w:ind w:firstLine="600" w:firstLineChars="250"/>
        <w:rPr>
          <w:rFonts w:ascii="宋体" w:hAnsi="宋体" w:cs="宋体"/>
          <w:sz w:val="24"/>
        </w:rPr>
      </w:pPr>
      <w:r>
        <w:rPr>
          <w:rFonts w:hint="eastAsia" w:ascii="宋体" w:hAnsi="宋体" w:cs="宋体"/>
          <w:sz w:val="24"/>
        </w:rPr>
        <w:t>32.2 成交公告内容应当包括采购人和采购代理机构的名称、地址、联系方式，项目名称和项目编号，成交人名称、地址和成交金额，主要成交标的的名称、规格型号、数量、单价、服务要求以及评审专家名单。</w:t>
      </w:r>
    </w:p>
    <w:p>
      <w:pPr>
        <w:pStyle w:val="5"/>
        <w:widowControl/>
        <w:spacing w:before="120" w:after="120" w:line="360" w:lineRule="exact"/>
        <w:ind w:firstLine="516" w:firstLineChars="214"/>
        <w:rPr>
          <w:rFonts w:ascii="宋体" w:hAnsi="宋体" w:eastAsia="宋体" w:cs="宋体"/>
          <w:sz w:val="24"/>
          <w:szCs w:val="24"/>
        </w:rPr>
      </w:pPr>
      <w:bookmarkStart w:id="119" w:name="_Toc60585213"/>
      <w:bookmarkStart w:id="120" w:name="_Toc27305"/>
      <w:bookmarkStart w:id="121" w:name="_Toc510973922"/>
      <w:bookmarkStart w:id="122" w:name="_Toc19438"/>
      <w:bookmarkStart w:id="123" w:name="_Toc23255"/>
      <w:bookmarkStart w:id="124" w:name="_Toc508784352"/>
      <w:r>
        <w:rPr>
          <w:rFonts w:hint="eastAsia" w:ascii="宋体" w:hAnsi="宋体" w:eastAsia="宋体" w:cs="宋体"/>
          <w:sz w:val="24"/>
          <w:szCs w:val="24"/>
        </w:rPr>
        <w:t>六、询问和质疑</w:t>
      </w:r>
      <w:bookmarkEnd w:id="119"/>
      <w:bookmarkEnd w:id="120"/>
      <w:bookmarkEnd w:id="121"/>
      <w:bookmarkEnd w:id="122"/>
      <w:bookmarkEnd w:id="123"/>
      <w:bookmarkEnd w:id="124"/>
    </w:p>
    <w:p>
      <w:pPr>
        <w:pStyle w:val="7"/>
        <w:spacing w:before="0" w:after="0" w:line="500" w:lineRule="exact"/>
        <w:ind w:firstLine="504" w:firstLineChars="209"/>
        <w:rPr>
          <w:rFonts w:ascii="宋体" w:hAnsi="宋体"/>
          <w:sz w:val="24"/>
          <w:szCs w:val="24"/>
        </w:rPr>
      </w:pPr>
      <w:r>
        <w:rPr>
          <w:rFonts w:hint="eastAsia" w:ascii="宋体" w:hAnsi="宋体"/>
          <w:sz w:val="24"/>
          <w:szCs w:val="24"/>
        </w:rPr>
        <w:t>33. 询问和质疑</w:t>
      </w:r>
    </w:p>
    <w:p>
      <w:pPr>
        <w:pStyle w:val="2"/>
        <w:spacing w:after="0" w:line="560" w:lineRule="exact"/>
        <w:ind w:firstLine="600" w:firstLineChars="250"/>
        <w:rPr>
          <w:rFonts w:ascii="宋体" w:hAnsi="宋体" w:cs="宋体"/>
          <w:sz w:val="24"/>
        </w:rPr>
      </w:pPr>
      <w:r>
        <w:rPr>
          <w:rFonts w:hint="eastAsia" w:ascii="宋体" w:hAnsi="宋体" w:cs="宋体"/>
          <w:sz w:val="24"/>
        </w:rPr>
        <w:t>33.1 响应人认为本采购文件的条款，或采购需求中的技术、服务要求，或政府采购合同草案条款内容表述不明确的，可以按本项目竞争性磋商公告中载明的联系人、联系方式以电话或书面（电子邮件等）方式与采购代理机构项目负责人联系。采购人或采购代理机构将在收到询问后3个工作日内做出答复。</w:t>
      </w:r>
    </w:p>
    <w:p>
      <w:pPr>
        <w:pStyle w:val="2"/>
        <w:spacing w:after="0" w:line="560" w:lineRule="exact"/>
        <w:ind w:firstLine="600" w:firstLineChars="250"/>
        <w:rPr>
          <w:rFonts w:ascii="宋体" w:hAnsi="宋体" w:cs="宋体"/>
          <w:sz w:val="24"/>
        </w:rPr>
      </w:pPr>
      <w:r>
        <w:rPr>
          <w:rFonts w:hint="eastAsia" w:ascii="宋体" w:hAnsi="宋体" w:cs="宋体"/>
          <w:sz w:val="24"/>
        </w:rPr>
        <w:t>33.2 响应人认为采购文件、采购过程和成交结果使自己的权益受到损害的，可以在知道或者应知其权益受到损害之日起七个工作日内，以书面形式向采购人或采购代理机构提出质疑。响应人应在法定质疑期内一次性提出针对同一采购程序环节的质疑。</w:t>
      </w:r>
    </w:p>
    <w:p>
      <w:pPr>
        <w:pStyle w:val="2"/>
        <w:spacing w:after="0" w:line="560" w:lineRule="exact"/>
        <w:ind w:firstLine="600" w:firstLineChars="250"/>
        <w:rPr>
          <w:rFonts w:ascii="宋体" w:hAnsi="宋体" w:cs="宋体"/>
          <w:sz w:val="24"/>
        </w:rPr>
      </w:pPr>
      <w:r>
        <w:rPr>
          <w:rFonts w:hint="eastAsia" w:ascii="宋体" w:hAnsi="宋体" w:cs="宋体"/>
          <w:sz w:val="24"/>
        </w:rPr>
        <w:t>响应人应知其权益受到损害之日，是指：</w:t>
      </w:r>
    </w:p>
    <w:p>
      <w:pPr>
        <w:pStyle w:val="2"/>
        <w:spacing w:after="0" w:line="560" w:lineRule="exact"/>
        <w:ind w:firstLine="600" w:firstLineChars="250"/>
        <w:rPr>
          <w:rFonts w:ascii="宋体" w:hAnsi="宋体" w:cs="宋体"/>
          <w:sz w:val="24"/>
        </w:rPr>
      </w:pPr>
      <w:r>
        <w:rPr>
          <w:rFonts w:hint="eastAsia" w:ascii="宋体" w:hAnsi="宋体" w:cs="宋体"/>
          <w:sz w:val="24"/>
        </w:rPr>
        <w:t>（1）对可以质疑的采购文件提出质疑的，为收到采购文件之日或者采购文件公告期限届满之日；</w:t>
      </w:r>
    </w:p>
    <w:p>
      <w:pPr>
        <w:pStyle w:val="2"/>
        <w:spacing w:after="0" w:line="560" w:lineRule="exact"/>
        <w:ind w:firstLine="600" w:firstLineChars="250"/>
        <w:rPr>
          <w:rFonts w:ascii="宋体" w:hAnsi="宋体" w:cs="宋体"/>
          <w:sz w:val="24"/>
        </w:rPr>
      </w:pPr>
      <w:r>
        <w:rPr>
          <w:rFonts w:hint="eastAsia" w:ascii="宋体" w:hAnsi="宋体" w:cs="宋体"/>
          <w:sz w:val="24"/>
        </w:rPr>
        <w:t>（2）对采购过程提出质疑的，为各采购程序环节结束之日；</w:t>
      </w:r>
    </w:p>
    <w:p>
      <w:pPr>
        <w:pStyle w:val="2"/>
        <w:spacing w:after="0" w:line="560" w:lineRule="exact"/>
        <w:ind w:firstLine="600" w:firstLineChars="250"/>
        <w:rPr>
          <w:rFonts w:ascii="宋体" w:hAnsi="宋体" w:cs="宋体"/>
          <w:sz w:val="24"/>
        </w:rPr>
      </w:pPr>
      <w:r>
        <w:rPr>
          <w:rFonts w:hint="eastAsia" w:ascii="宋体" w:hAnsi="宋体" w:cs="宋体"/>
          <w:sz w:val="24"/>
        </w:rPr>
        <w:t>（3）对成交结果提出质疑的，为成交结果公告期限届满之日。</w:t>
      </w:r>
    </w:p>
    <w:p>
      <w:pPr>
        <w:pStyle w:val="2"/>
        <w:spacing w:after="0" w:line="560" w:lineRule="exact"/>
        <w:ind w:firstLine="600" w:firstLineChars="250"/>
        <w:rPr>
          <w:rFonts w:ascii="宋体" w:hAnsi="宋体" w:cs="宋体"/>
          <w:sz w:val="24"/>
        </w:rPr>
      </w:pPr>
      <w:r>
        <w:rPr>
          <w:rFonts w:hint="eastAsia" w:ascii="宋体" w:hAnsi="宋体" w:cs="宋体"/>
          <w:sz w:val="24"/>
        </w:rPr>
        <w:t>33.3 采购人或采购代理机构应当在收到响应人的书面质疑后七个工作日内作出答复，并以书面形式通知质疑响应人和其他有关响应人，但答复的内容不得涉及商业秘密。</w:t>
      </w:r>
    </w:p>
    <w:p>
      <w:pPr>
        <w:pStyle w:val="2"/>
        <w:spacing w:after="0" w:line="560" w:lineRule="exact"/>
        <w:ind w:firstLine="600" w:firstLineChars="250"/>
        <w:rPr>
          <w:rFonts w:ascii="宋体" w:hAnsi="宋体" w:cs="宋体"/>
          <w:sz w:val="24"/>
        </w:rPr>
      </w:pPr>
      <w:r>
        <w:rPr>
          <w:rFonts w:hint="eastAsia" w:ascii="宋体" w:hAnsi="宋体" w:cs="宋体"/>
          <w:sz w:val="24"/>
        </w:rPr>
        <w:t>33.4 采购人或采购代理机构接收质疑函的联系人、联系电话和通讯地址等信息详见本采购文件“竞争性磋商公告”中的联系方式相关内容、“响应人须知附表”中载明的采购人、采购代理机构联系方式和联系人。</w:t>
      </w:r>
    </w:p>
    <w:p>
      <w:pPr>
        <w:pStyle w:val="2"/>
        <w:spacing w:after="0" w:line="560" w:lineRule="exact"/>
        <w:ind w:firstLine="600" w:firstLineChars="250"/>
        <w:rPr>
          <w:rFonts w:ascii="宋体" w:hAnsi="宋体" w:cs="宋体"/>
          <w:sz w:val="24"/>
        </w:rPr>
      </w:pPr>
      <w:r>
        <w:rPr>
          <w:rFonts w:ascii="宋体" w:hAnsi="宋体" w:cs="宋体"/>
          <w:sz w:val="24"/>
        </w:rPr>
        <w:t>3</w:t>
      </w:r>
      <w:r>
        <w:rPr>
          <w:rFonts w:hint="eastAsia" w:ascii="宋体" w:hAnsi="宋体" w:cs="宋体"/>
          <w:sz w:val="24"/>
        </w:rPr>
        <w:t>3</w:t>
      </w:r>
      <w:r>
        <w:rPr>
          <w:rFonts w:ascii="宋体" w:hAnsi="宋体" w:cs="宋体"/>
          <w:sz w:val="24"/>
        </w:rPr>
        <w:t xml:space="preserve">.5 </w:t>
      </w:r>
      <w:r>
        <w:rPr>
          <w:rFonts w:hint="eastAsia" w:ascii="宋体" w:hAnsi="宋体" w:cs="宋体"/>
          <w:sz w:val="24"/>
        </w:rPr>
        <w:t>依据《政府采购质疑和投诉办法》（财政部令第</w:t>
      </w:r>
      <w:r>
        <w:rPr>
          <w:rFonts w:ascii="宋体" w:hAnsi="宋体" w:cs="宋体"/>
          <w:sz w:val="24"/>
        </w:rPr>
        <w:t>94号），</w:t>
      </w:r>
      <w:r>
        <w:rPr>
          <w:rFonts w:hint="eastAsia" w:ascii="宋体" w:hAnsi="宋体" w:cs="宋体"/>
          <w:sz w:val="24"/>
        </w:rPr>
        <w:t>响应人可以委托代理人进行质疑和投诉。其授权委托书应当载明代理人的姓名或者名称、代理事项、具体权限、期限和相关事项。响应人为自然人的，应当由本人签字；响应人为法人或者其他组织的，应当由法定代表人、主要负责人签字或者盖章，并加盖公章。</w:t>
      </w:r>
    </w:p>
    <w:p>
      <w:pPr>
        <w:pStyle w:val="2"/>
        <w:spacing w:after="0" w:line="560" w:lineRule="exact"/>
        <w:ind w:firstLine="480" w:firstLineChars="200"/>
        <w:rPr>
          <w:rFonts w:ascii="宋体" w:hAnsi="宋体" w:cs="宋体"/>
          <w:sz w:val="24"/>
        </w:rPr>
      </w:pPr>
      <w:r>
        <w:rPr>
          <w:rFonts w:hint="eastAsia" w:ascii="宋体" w:hAnsi="宋体" w:cs="宋体"/>
          <w:sz w:val="24"/>
        </w:rPr>
        <w:t>代理人提出质疑和投诉，应当提交响应人签署的授权委托书。</w:t>
      </w:r>
    </w:p>
    <w:p>
      <w:pPr>
        <w:pStyle w:val="2"/>
        <w:spacing w:after="0" w:line="560" w:lineRule="exact"/>
        <w:ind w:firstLine="480" w:firstLineChars="200"/>
        <w:rPr>
          <w:rFonts w:ascii="宋体" w:hAnsi="宋体" w:cs="宋体"/>
          <w:sz w:val="24"/>
        </w:rPr>
      </w:pPr>
      <w:r>
        <w:rPr>
          <w:rFonts w:hint="eastAsia" w:ascii="宋体" w:hAnsi="宋体" w:cs="宋体"/>
          <w:sz w:val="24"/>
        </w:rPr>
        <w:t>以联合体形式参加政府采购活动的，其投诉应当由组成联合体的所有响应人共同提出。</w:t>
      </w:r>
    </w:p>
    <w:p>
      <w:pPr>
        <w:pStyle w:val="2"/>
        <w:spacing w:after="0" w:line="560" w:lineRule="exact"/>
        <w:ind w:firstLine="600" w:firstLineChars="250"/>
        <w:rPr>
          <w:rFonts w:ascii="宋体" w:hAnsi="宋体" w:cs="宋体"/>
          <w:sz w:val="24"/>
        </w:rPr>
      </w:pPr>
      <w:r>
        <w:rPr>
          <w:rFonts w:ascii="宋体" w:hAnsi="宋体" w:cs="宋体"/>
          <w:sz w:val="24"/>
        </w:rPr>
        <w:t>3</w:t>
      </w:r>
      <w:r>
        <w:rPr>
          <w:rFonts w:hint="eastAsia" w:ascii="宋体" w:hAnsi="宋体" w:cs="宋体"/>
          <w:sz w:val="24"/>
        </w:rPr>
        <w:t>3</w:t>
      </w:r>
      <w:r>
        <w:rPr>
          <w:rFonts w:ascii="宋体" w:hAnsi="宋体" w:cs="宋体"/>
          <w:sz w:val="24"/>
        </w:rPr>
        <w:t>.6 提出质疑的</w:t>
      </w:r>
      <w:r>
        <w:rPr>
          <w:rFonts w:hint="eastAsia" w:ascii="宋体" w:hAnsi="宋体" w:cs="宋体"/>
          <w:sz w:val="24"/>
        </w:rPr>
        <w:t>响应人应当是参与所质疑项目采购活动的响应人。</w:t>
      </w:r>
    </w:p>
    <w:p>
      <w:pPr>
        <w:pStyle w:val="2"/>
        <w:spacing w:after="0" w:line="560" w:lineRule="exact"/>
        <w:ind w:firstLine="600" w:firstLineChars="250"/>
        <w:rPr>
          <w:rFonts w:ascii="宋体" w:hAnsi="宋体" w:cs="宋体"/>
          <w:sz w:val="24"/>
        </w:rPr>
      </w:pPr>
      <w:r>
        <w:rPr>
          <w:rFonts w:ascii="宋体" w:hAnsi="宋体" w:cs="宋体"/>
          <w:sz w:val="24"/>
        </w:rPr>
        <w:t>3</w:t>
      </w:r>
      <w:r>
        <w:rPr>
          <w:rFonts w:hint="eastAsia" w:ascii="宋体" w:hAnsi="宋体" w:cs="宋体"/>
          <w:sz w:val="24"/>
        </w:rPr>
        <w:t>3</w:t>
      </w:r>
      <w:r>
        <w:rPr>
          <w:rFonts w:ascii="宋体" w:hAnsi="宋体" w:cs="宋体"/>
          <w:sz w:val="24"/>
        </w:rPr>
        <w:t>.7 潜在</w:t>
      </w:r>
      <w:r>
        <w:rPr>
          <w:rFonts w:hint="eastAsia" w:ascii="宋体" w:hAnsi="宋体" w:cs="宋体"/>
          <w:sz w:val="24"/>
        </w:rPr>
        <w:t>响应人已依法获取其可质疑的采购文件的，可以对该文件提出质疑。对采购文件提出质疑的，应当在获取采购文件或者采购文件公告期限届满之日起</w:t>
      </w:r>
      <w:r>
        <w:rPr>
          <w:rFonts w:ascii="宋体" w:hAnsi="宋体" w:cs="宋体"/>
          <w:sz w:val="24"/>
        </w:rPr>
        <w:t>7个工作日内提出。</w:t>
      </w:r>
    </w:p>
    <w:p>
      <w:pPr>
        <w:pStyle w:val="2"/>
        <w:spacing w:after="0" w:line="560" w:lineRule="exact"/>
        <w:ind w:firstLine="600" w:firstLineChars="250"/>
        <w:rPr>
          <w:rFonts w:ascii="宋体" w:hAnsi="宋体" w:cs="宋体"/>
          <w:sz w:val="24"/>
        </w:rPr>
      </w:pPr>
      <w:r>
        <w:rPr>
          <w:rFonts w:ascii="宋体" w:hAnsi="宋体" w:cs="宋体"/>
          <w:sz w:val="24"/>
        </w:rPr>
        <w:t>3</w:t>
      </w:r>
      <w:r>
        <w:rPr>
          <w:rFonts w:hint="eastAsia" w:ascii="宋体" w:hAnsi="宋体" w:cs="宋体"/>
          <w:sz w:val="24"/>
        </w:rPr>
        <w:t>3</w:t>
      </w:r>
      <w:r>
        <w:rPr>
          <w:rFonts w:ascii="宋体" w:hAnsi="宋体" w:cs="宋体"/>
          <w:sz w:val="24"/>
        </w:rPr>
        <w:t xml:space="preserve">.8 </w:t>
      </w:r>
      <w:r>
        <w:rPr>
          <w:rFonts w:hint="eastAsia" w:ascii="宋体" w:hAnsi="宋体" w:cs="宋体"/>
          <w:sz w:val="24"/>
        </w:rPr>
        <w:t>响应人提出质疑应当提交质疑函和必要的证明材料。质疑函应当包括下列内容：</w:t>
      </w:r>
    </w:p>
    <w:p>
      <w:pPr>
        <w:pStyle w:val="2"/>
        <w:spacing w:after="0" w:line="560" w:lineRule="exact"/>
        <w:ind w:firstLine="600" w:firstLineChars="25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）响应人的姓名或者名称、地址、邮编、联系人及联系电话；</w:t>
      </w:r>
    </w:p>
    <w:p>
      <w:pPr>
        <w:pStyle w:val="2"/>
        <w:spacing w:after="0" w:line="560" w:lineRule="exact"/>
        <w:ind w:firstLine="600" w:firstLineChars="25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）质疑项目的名称、编号；</w:t>
      </w:r>
    </w:p>
    <w:p>
      <w:pPr>
        <w:pStyle w:val="2"/>
        <w:spacing w:after="0" w:line="560" w:lineRule="exact"/>
        <w:ind w:firstLine="600" w:firstLineChars="25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）具体、明确的质疑事项和与质疑事项相关的请求；</w:t>
      </w:r>
    </w:p>
    <w:p>
      <w:pPr>
        <w:pStyle w:val="2"/>
        <w:spacing w:after="0" w:line="560" w:lineRule="exact"/>
        <w:ind w:firstLine="600" w:firstLineChars="25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）事实依据；</w:t>
      </w:r>
    </w:p>
    <w:p>
      <w:pPr>
        <w:pStyle w:val="2"/>
        <w:spacing w:after="0" w:line="560" w:lineRule="exact"/>
        <w:ind w:firstLine="600" w:firstLineChars="250"/>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）必要的法律依据；</w:t>
      </w:r>
    </w:p>
    <w:p>
      <w:pPr>
        <w:pStyle w:val="2"/>
        <w:spacing w:after="0" w:line="560" w:lineRule="exact"/>
        <w:ind w:firstLine="600" w:firstLineChars="250"/>
        <w:rPr>
          <w:rFonts w:ascii="宋体" w:hAns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）提出质疑的日期。</w:t>
      </w:r>
    </w:p>
    <w:p>
      <w:pPr>
        <w:pStyle w:val="2"/>
        <w:spacing w:after="0" w:line="560" w:lineRule="exact"/>
        <w:ind w:firstLine="600" w:firstLineChars="250"/>
        <w:rPr>
          <w:rFonts w:ascii="宋体" w:hAnsi="宋体" w:cs="宋体"/>
          <w:sz w:val="24"/>
        </w:rPr>
      </w:pPr>
      <w:r>
        <w:rPr>
          <w:rFonts w:hint="eastAsia" w:ascii="宋体" w:hAnsi="宋体" w:cs="宋体"/>
          <w:sz w:val="24"/>
        </w:rPr>
        <w:t>响应人为自然人的，应当由本人签字；响应人为法人或者其他组织的，应当由法定代表人、主要负责人，或者其授权代表签字或者盖章，并加盖公章。</w:t>
      </w:r>
    </w:p>
    <w:p>
      <w:pPr>
        <w:pStyle w:val="2"/>
        <w:spacing w:after="0" w:line="560" w:lineRule="exact"/>
        <w:ind w:firstLine="600" w:firstLineChars="250"/>
        <w:rPr>
          <w:rFonts w:ascii="宋体" w:hAnsi="宋体" w:cs="宋体"/>
          <w:sz w:val="24"/>
        </w:rPr>
      </w:pPr>
      <w:r>
        <w:rPr>
          <w:rFonts w:ascii="宋体" w:hAnsi="宋体" w:cs="宋体"/>
          <w:sz w:val="24"/>
        </w:rPr>
        <w:t>3</w:t>
      </w:r>
      <w:r>
        <w:rPr>
          <w:rFonts w:hint="eastAsia" w:ascii="宋体" w:hAnsi="宋体" w:cs="宋体"/>
          <w:sz w:val="24"/>
        </w:rPr>
        <w:t>3</w:t>
      </w:r>
      <w:r>
        <w:rPr>
          <w:rFonts w:ascii="宋体" w:hAnsi="宋体" w:cs="宋体"/>
          <w:sz w:val="24"/>
        </w:rPr>
        <w:t xml:space="preserve">.9 </w:t>
      </w:r>
      <w:r>
        <w:rPr>
          <w:rFonts w:hint="eastAsia" w:ascii="宋体" w:hAnsi="宋体" w:cs="宋体"/>
          <w:sz w:val="24"/>
        </w:rPr>
        <w:t>采购人、采购代理机构认为响应人质疑不成立，或者成立但未对成交、成交结果构成影响的，继续开展采购活动；认为响应人质疑成立且影响或者可能影响成交、成交结果的，按照下列情况处理：</w:t>
      </w:r>
    </w:p>
    <w:p>
      <w:pPr>
        <w:pStyle w:val="2"/>
        <w:spacing w:after="0" w:line="560" w:lineRule="exact"/>
        <w:ind w:firstLine="600" w:firstLineChars="25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）对采购文件提出的质疑，依法通过澄清或者修改可以继续开展采购活动的，澄清或者修改采购文件后继续开展采购活动；否则应当修改采购文件后重新开展采购活动。</w:t>
      </w:r>
    </w:p>
    <w:p>
      <w:pPr>
        <w:pStyle w:val="2"/>
        <w:spacing w:after="0" w:line="560" w:lineRule="exact"/>
        <w:ind w:firstLine="600" w:firstLineChars="250"/>
        <w:rPr>
          <w:rFonts w:ascii="宋体" w:hAnsi="宋体" w:cs="宋体"/>
          <w:sz w:val="24"/>
        </w:rPr>
      </w:pPr>
      <w:r>
        <w:rPr>
          <w:rFonts w:hint="eastAsia" w:ascii="宋体" w:hAnsi="宋体" w:cs="宋体"/>
          <w:sz w:val="24"/>
        </w:rPr>
        <w:t>（</w:t>
      </w:r>
      <w:r>
        <w:rPr>
          <w:rFonts w:ascii="宋体" w:hAnsi="宋体" w:cs="宋体"/>
          <w:sz w:val="24"/>
        </w:rPr>
        <w:t>2）对采购过程、成交或者成交结果提出的质疑，合格</w:t>
      </w:r>
      <w:r>
        <w:rPr>
          <w:rFonts w:hint="eastAsia" w:ascii="宋体" w:hAnsi="宋体" w:cs="宋体"/>
          <w:sz w:val="24"/>
        </w:rPr>
        <w:t>响应人</w:t>
      </w:r>
      <w:r>
        <w:rPr>
          <w:rFonts w:ascii="宋体" w:hAnsi="宋体" w:cs="宋体"/>
          <w:sz w:val="24"/>
        </w:rPr>
        <w:t>符合法定数量时，可以从合格的成交候选</w:t>
      </w:r>
      <w:r>
        <w:rPr>
          <w:rFonts w:hint="eastAsia" w:ascii="宋体" w:hAnsi="宋体" w:cs="宋体"/>
          <w:sz w:val="24"/>
        </w:rPr>
        <w:t>响应人</w:t>
      </w:r>
      <w:r>
        <w:rPr>
          <w:rFonts w:ascii="宋体" w:hAnsi="宋体" w:cs="宋体"/>
          <w:sz w:val="24"/>
        </w:rPr>
        <w:t>中另行确定成交候选</w:t>
      </w:r>
      <w:r>
        <w:rPr>
          <w:rFonts w:hint="eastAsia" w:ascii="宋体" w:hAnsi="宋体" w:cs="宋体"/>
          <w:sz w:val="24"/>
        </w:rPr>
        <w:t>响应人</w:t>
      </w:r>
      <w:r>
        <w:rPr>
          <w:rFonts w:ascii="宋体" w:hAnsi="宋体" w:cs="宋体"/>
          <w:sz w:val="24"/>
        </w:rPr>
        <w:t>的，应当依法另行确定成交候选</w:t>
      </w:r>
      <w:r>
        <w:rPr>
          <w:rFonts w:hint="eastAsia" w:ascii="宋体" w:hAnsi="宋体" w:cs="宋体"/>
          <w:sz w:val="24"/>
        </w:rPr>
        <w:t>响应人</w:t>
      </w:r>
      <w:r>
        <w:rPr>
          <w:rFonts w:ascii="宋体" w:hAnsi="宋体" w:cs="宋体"/>
          <w:sz w:val="24"/>
        </w:rPr>
        <w:t>；否则应当重新开展采购活动。</w:t>
      </w:r>
    </w:p>
    <w:p>
      <w:pPr>
        <w:pStyle w:val="2"/>
        <w:spacing w:after="0" w:line="560" w:lineRule="exact"/>
        <w:ind w:firstLine="600" w:firstLineChars="250"/>
        <w:rPr>
          <w:rFonts w:ascii="宋体" w:hAnsi="宋体" w:cs="宋体"/>
          <w:sz w:val="24"/>
        </w:rPr>
      </w:pPr>
      <w:r>
        <w:rPr>
          <w:rFonts w:hint="eastAsia" w:ascii="宋体" w:hAnsi="宋体" w:cs="宋体"/>
          <w:sz w:val="24"/>
        </w:rPr>
        <w:t>33.10 质疑响应人对采购人、采购代理机构的答复不满意或者采购人、采购代理机构未在规定的时间内作出答复的，可以在答复期满后十五个工作日内向同级政府采购监督管理部门投诉。</w:t>
      </w:r>
    </w:p>
    <w:p>
      <w:pPr>
        <w:pStyle w:val="2"/>
        <w:spacing w:after="0" w:line="560" w:lineRule="exact"/>
        <w:ind w:firstLine="600" w:firstLineChars="250"/>
        <w:rPr>
          <w:rFonts w:ascii="宋体" w:hAnsi="宋体" w:cs="宋体"/>
          <w:sz w:val="24"/>
        </w:rPr>
      </w:pPr>
      <w:r>
        <w:rPr>
          <w:rFonts w:hint="eastAsia" w:ascii="宋体" w:hAnsi="宋体" w:cs="宋体"/>
          <w:sz w:val="24"/>
        </w:rPr>
        <w:t>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pPr>
        <w:pStyle w:val="5"/>
        <w:spacing w:before="120" w:after="120" w:line="360" w:lineRule="exact"/>
        <w:ind w:firstLine="516" w:firstLineChars="214"/>
        <w:rPr>
          <w:rFonts w:ascii="宋体" w:hAnsi="宋体" w:eastAsia="宋体"/>
          <w:sz w:val="24"/>
          <w:szCs w:val="24"/>
        </w:rPr>
      </w:pPr>
      <w:bookmarkStart w:id="125" w:name="_Toc60585214"/>
      <w:bookmarkStart w:id="126" w:name="_Toc29186"/>
      <w:bookmarkStart w:id="127" w:name="_Toc25776"/>
      <w:bookmarkStart w:id="128" w:name="_Toc510973923"/>
      <w:bookmarkStart w:id="129" w:name="_Toc26845"/>
      <w:bookmarkStart w:id="130" w:name="_Toc508784353"/>
      <w:r>
        <w:rPr>
          <w:rFonts w:hint="eastAsia" w:ascii="宋体" w:hAnsi="宋体" w:eastAsia="宋体" w:cs="宋体"/>
          <w:sz w:val="24"/>
          <w:szCs w:val="24"/>
        </w:rPr>
        <w:t>七、授予合同</w:t>
      </w:r>
      <w:bookmarkEnd w:id="125"/>
      <w:bookmarkEnd w:id="126"/>
      <w:bookmarkEnd w:id="127"/>
      <w:bookmarkEnd w:id="128"/>
      <w:bookmarkEnd w:id="129"/>
      <w:bookmarkEnd w:id="130"/>
    </w:p>
    <w:p>
      <w:pPr>
        <w:pStyle w:val="7"/>
        <w:spacing w:before="0" w:after="0" w:line="500" w:lineRule="exact"/>
        <w:ind w:firstLine="504" w:firstLineChars="209"/>
        <w:rPr>
          <w:rFonts w:ascii="宋体" w:hAnsi="宋体"/>
          <w:sz w:val="24"/>
          <w:szCs w:val="24"/>
        </w:rPr>
      </w:pPr>
      <w:bookmarkStart w:id="131" w:name="_Toc346372910"/>
      <w:bookmarkStart w:id="132" w:name="_Toc346306763"/>
      <w:bookmarkStart w:id="133" w:name="_Toc352332884"/>
      <w:r>
        <w:rPr>
          <w:rFonts w:ascii="宋体" w:hAnsi="宋体"/>
          <w:sz w:val="24"/>
          <w:szCs w:val="24"/>
        </w:rPr>
        <w:t>3</w:t>
      </w:r>
      <w:r>
        <w:rPr>
          <w:rFonts w:hint="eastAsia" w:ascii="宋体" w:hAnsi="宋体"/>
          <w:sz w:val="24"/>
          <w:szCs w:val="24"/>
        </w:rPr>
        <w:t>4</w:t>
      </w:r>
      <w:r>
        <w:rPr>
          <w:rFonts w:ascii="宋体" w:hAnsi="宋体"/>
          <w:sz w:val="24"/>
          <w:szCs w:val="24"/>
        </w:rPr>
        <w:t xml:space="preserve">.  </w:t>
      </w:r>
      <w:r>
        <w:rPr>
          <w:rFonts w:hint="eastAsia" w:ascii="宋体" w:hAnsi="宋体"/>
          <w:sz w:val="24"/>
          <w:szCs w:val="24"/>
        </w:rPr>
        <w:t>成交通知书</w:t>
      </w:r>
      <w:bookmarkEnd w:id="131"/>
      <w:bookmarkEnd w:id="132"/>
      <w:bookmarkEnd w:id="133"/>
    </w:p>
    <w:p>
      <w:pPr>
        <w:pStyle w:val="2"/>
        <w:spacing w:after="0" w:line="560" w:lineRule="exact"/>
        <w:ind w:firstLine="600" w:firstLineChars="250"/>
        <w:rPr>
          <w:rFonts w:ascii="宋体" w:hAnsi="宋体" w:cs="宋体"/>
          <w:sz w:val="24"/>
        </w:rPr>
      </w:pPr>
      <w:bookmarkStart w:id="134" w:name="_Toc346306764"/>
      <w:bookmarkStart w:id="135" w:name="_Toc346372911"/>
      <w:bookmarkStart w:id="136" w:name="_Toc352332885"/>
      <w:r>
        <w:rPr>
          <w:rFonts w:hint="eastAsia" w:ascii="宋体" w:hAnsi="宋体" w:cs="宋体"/>
          <w:sz w:val="24"/>
        </w:rPr>
        <w:t>34.1在发布成交结果的同时，采购人或采购代理机构向成交人签发《成交通知书》。</w:t>
      </w:r>
    </w:p>
    <w:p>
      <w:pPr>
        <w:pStyle w:val="2"/>
        <w:spacing w:after="0" w:line="560" w:lineRule="exact"/>
        <w:ind w:firstLine="600" w:firstLineChars="250"/>
        <w:rPr>
          <w:rFonts w:ascii="宋体" w:hAnsi="宋体" w:cs="宋体"/>
          <w:sz w:val="24"/>
        </w:rPr>
      </w:pPr>
      <w:r>
        <w:rPr>
          <w:rFonts w:hint="eastAsia" w:ascii="宋体" w:hAnsi="宋体" w:cs="宋体"/>
          <w:sz w:val="24"/>
        </w:rPr>
        <w:t>34.2 成交通知书是合同的一个组成部分。</w:t>
      </w:r>
    </w:p>
    <w:p>
      <w:pPr>
        <w:pStyle w:val="7"/>
        <w:spacing w:before="0" w:after="0" w:line="500" w:lineRule="exact"/>
        <w:ind w:firstLine="504" w:firstLineChars="209"/>
        <w:rPr>
          <w:rFonts w:ascii="宋体" w:hAnsi="宋体"/>
          <w:sz w:val="24"/>
          <w:szCs w:val="24"/>
        </w:rPr>
      </w:pPr>
      <w:r>
        <w:rPr>
          <w:rFonts w:ascii="宋体" w:hAnsi="宋体"/>
          <w:sz w:val="24"/>
          <w:szCs w:val="24"/>
        </w:rPr>
        <w:t>3</w:t>
      </w:r>
      <w:r>
        <w:rPr>
          <w:rFonts w:hint="eastAsia" w:ascii="宋体" w:hAnsi="宋体"/>
          <w:sz w:val="24"/>
          <w:szCs w:val="24"/>
        </w:rPr>
        <w:t>5</w:t>
      </w:r>
      <w:r>
        <w:rPr>
          <w:rFonts w:ascii="宋体" w:hAnsi="宋体"/>
          <w:sz w:val="24"/>
          <w:szCs w:val="24"/>
        </w:rPr>
        <w:t xml:space="preserve">.  </w:t>
      </w:r>
      <w:r>
        <w:rPr>
          <w:rFonts w:hint="eastAsia" w:ascii="宋体" w:hAnsi="宋体"/>
          <w:sz w:val="24"/>
          <w:szCs w:val="24"/>
        </w:rPr>
        <w:t>签订合同</w:t>
      </w:r>
      <w:bookmarkEnd w:id="134"/>
      <w:bookmarkEnd w:id="135"/>
      <w:bookmarkEnd w:id="136"/>
    </w:p>
    <w:p>
      <w:pPr>
        <w:pStyle w:val="2"/>
        <w:spacing w:line="560" w:lineRule="exact"/>
        <w:ind w:firstLine="600" w:firstLineChars="250"/>
        <w:rPr>
          <w:rFonts w:ascii="宋体" w:hAnsi="宋体" w:cs="宋体"/>
          <w:sz w:val="24"/>
        </w:rPr>
      </w:pPr>
      <w:bookmarkStart w:id="137" w:name="_Toc475090309"/>
      <w:r>
        <w:rPr>
          <w:rFonts w:hint="eastAsia" w:ascii="宋体" w:hAnsi="宋体" w:cs="宋体"/>
          <w:sz w:val="24"/>
        </w:rPr>
        <w:t>35.1成交通知书发出之日起30日内，双方按照采购文件确定的事项签订合同。</w:t>
      </w:r>
      <w:bookmarkEnd w:id="137"/>
    </w:p>
    <w:p>
      <w:pPr>
        <w:pStyle w:val="2"/>
        <w:spacing w:line="560" w:lineRule="exact"/>
        <w:ind w:firstLine="600" w:firstLineChars="250"/>
        <w:rPr>
          <w:rFonts w:ascii="宋体" w:hAnsi="宋体" w:cs="宋体"/>
          <w:sz w:val="24"/>
        </w:rPr>
      </w:pPr>
      <w:bookmarkStart w:id="138" w:name="_Toc475090310"/>
      <w:r>
        <w:rPr>
          <w:rFonts w:hint="eastAsia" w:ascii="宋体" w:hAnsi="宋体" w:cs="宋体"/>
          <w:sz w:val="24"/>
        </w:rPr>
        <w:t>35.2 采购文件、成交人的响应文件以及评审过程中的有关澄清、承诺文件均为合同的组成部分。</w:t>
      </w:r>
      <w:bookmarkEnd w:id="138"/>
    </w:p>
    <w:p>
      <w:pPr>
        <w:pStyle w:val="2"/>
        <w:spacing w:after="0" w:line="560" w:lineRule="exact"/>
        <w:ind w:firstLine="600" w:firstLineChars="250"/>
        <w:rPr>
          <w:rFonts w:ascii="宋体" w:hAnsi="宋体" w:cs="宋体"/>
          <w:sz w:val="24"/>
        </w:rPr>
      </w:pPr>
      <w:r>
        <w:rPr>
          <w:rFonts w:hint="eastAsia" w:ascii="宋体" w:hAnsi="宋体" w:cs="宋体"/>
          <w:sz w:val="24"/>
        </w:rPr>
        <w:t>35.3成交人拒绝与采购人签订合同的，采购人可以依法确定排名紧随其后的成交候选响应人为成交人，也可以重新开展政府采购活动。</w:t>
      </w:r>
    </w:p>
    <w:p>
      <w:pPr>
        <w:pStyle w:val="5"/>
        <w:widowControl/>
        <w:spacing w:before="120" w:after="120" w:line="360" w:lineRule="exact"/>
        <w:ind w:firstLine="516" w:firstLineChars="214"/>
        <w:rPr>
          <w:rFonts w:ascii="宋体" w:hAnsi="宋体" w:eastAsia="宋体" w:cs="宋体"/>
          <w:sz w:val="24"/>
          <w:szCs w:val="24"/>
        </w:rPr>
      </w:pPr>
      <w:bookmarkStart w:id="139" w:name="_Toc510973924"/>
      <w:bookmarkStart w:id="140" w:name="_Toc26841"/>
      <w:bookmarkStart w:id="141" w:name="_Toc6445"/>
      <w:bookmarkStart w:id="142" w:name="_Toc60585215"/>
      <w:bookmarkStart w:id="143" w:name="_Toc11464"/>
      <w:r>
        <w:rPr>
          <w:rFonts w:hint="eastAsia" w:ascii="宋体" w:hAnsi="宋体" w:eastAsia="宋体" w:cs="宋体"/>
          <w:sz w:val="24"/>
          <w:szCs w:val="24"/>
          <w:lang w:eastAsia="zh-CN"/>
        </w:rPr>
        <w:t>八</w:t>
      </w:r>
      <w:r>
        <w:rPr>
          <w:rFonts w:hint="eastAsia" w:ascii="宋体" w:hAnsi="宋体" w:eastAsia="宋体" w:cs="宋体"/>
          <w:sz w:val="24"/>
          <w:szCs w:val="24"/>
        </w:rPr>
        <w:t>、履约担保</w:t>
      </w:r>
      <w:bookmarkEnd w:id="139"/>
      <w:bookmarkEnd w:id="140"/>
      <w:bookmarkEnd w:id="141"/>
      <w:bookmarkEnd w:id="142"/>
      <w:bookmarkEnd w:id="143"/>
    </w:p>
    <w:p>
      <w:pPr>
        <w:pStyle w:val="7"/>
        <w:spacing w:before="0" w:after="0" w:line="500" w:lineRule="exact"/>
        <w:ind w:firstLine="504" w:firstLineChars="209"/>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6</w:t>
      </w:r>
      <w:r>
        <w:rPr>
          <w:rFonts w:hint="eastAsia" w:ascii="宋体" w:hAnsi="宋体"/>
          <w:sz w:val="24"/>
          <w:szCs w:val="24"/>
        </w:rPr>
        <w:t>.  履约担保</w:t>
      </w:r>
    </w:p>
    <w:p>
      <w:pPr>
        <w:pStyle w:val="2"/>
        <w:spacing w:after="0" w:line="560" w:lineRule="exact"/>
        <w:ind w:firstLine="600" w:firstLineChars="250"/>
        <w:rPr>
          <w:rFonts w:ascii="宋体" w:hAnsi="宋体" w:cs="宋体"/>
          <w:sz w:val="24"/>
        </w:rPr>
      </w:pPr>
      <w:r>
        <w:rPr>
          <w:rFonts w:hint="eastAsia" w:ascii="宋体" w:hAnsi="宋体" w:cs="宋体"/>
          <w:sz w:val="24"/>
        </w:rPr>
        <w:t>3</w:t>
      </w:r>
      <w:r>
        <w:rPr>
          <w:rFonts w:hint="eastAsia" w:ascii="宋体" w:hAnsi="宋体" w:cs="宋体"/>
          <w:sz w:val="24"/>
          <w:lang w:val="en-US" w:eastAsia="zh-CN"/>
        </w:rPr>
        <w:t>6</w:t>
      </w:r>
      <w:r>
        <w:rPr>
          <w:rFonts w:hint="eastAsia" w:ascii="宋体" w:hAnsi="宋体" w:cs="宋体"/>
          <w:sz w:val="24"/>
        </w:rPr>
        <w:t>.1本项目成交人应按采购人要求提交履约担保，除非采购文件“响应人须知前附表”明确说明不要求成交人提交履约担保。履约担保的形式和担保金额见采购文件“响应人须知前附表”。</w:t>
      </w:r>
    </w:p>
    <w:p>
      <w:pPr>
        <w:pStyle w:val="5"/>
        <w:spacing w:before="120" w:after="120" w:line="360" w:lineRule="exact"/>
        <w:ind w:firstLine="516" w:firstLineChars="214"/>
        <w:rPr>
          <w:rFonts w:ascii="宋体" w:hAnsi="宋体" w:eastAsia="宋体" w:cs="宋体"/>
          <w:sz w:val="24"/>
          <w:szCs w:val="24"/>
        </w:rPr>
      </w:pPr>
      <w:bookmarkStart w:id="144" w:name="_Toc1055"/>
      <w:bookmarkStart w:id="145" w:name="_Toc60585216"/>
      <w:bookmarkStart w:id="146" w:name="_Toc508784354"/>
      <w:bookmarkStart w:id="147" w:name="_Toc878"/>
      <w:bookmarkStart w:id="148" w:name="_Toc510973925"/>
      <w:bookmarkStart w:id="149" w:name="_Toc21839"/>
      <w:bookmarkStart w:id="150" w:name="_Toc15203"/>
      <w:r>
        <w:rPr>
          <w:rFonts w:hint="eastAsia" w:ascii="宋体" w:hAnsi="宋体" w:eastAsia="宋体" w:cs="宋体"/>
          <w:sz w:val="24"/>
          <w:szCs w:val="24"/>
          <w:lang w:eastAsia="zh-CN"/>
        </w:rPr>
        <w:t>九</w:t>
      </w:r>
      <w:r>
        <w:rPr>
          <w:rFonts w:hint="eastAsia" w:ascii="宋体" w:hAnsi="宋体" w:eastAsia="宋体" w:cs="宋体"/>
          <w:sz w:val="24"/>
          <w:szCs w:val="24"/>
        </w:rPr>
        <w:t>、成交服务费</w:t>
      </w:r>
      <w:bookmarkEnd w:id="144"/>
      <w:bookmarkEnd w:id="145"/>
      <w:bookmarkEnd w:id="146"/>
      <w:bookmarkEnd w:id="147"/>
      <w:bookmarkEnd w:id="148"/>
      <w:bookmarkEnd w:id="149"/>
      <w:bookmarkEnd w:id="150"/>
    </w:p>
    <w:p>
      <w:pPr>
        <w:pStyle w:val="7"/>
        <w:spacing w:before="0" w:after="0" w:line="500" w:lineRule="exact"/>
        <w:ind w:firstLine="504" w:firstLineChars="209"/>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7</w:t>
      </w:r>
      <w:r>
        <w:rPr>
          <w:rFonts w:hint="eastAsia" w:ascii="宋体" w:hAnsi="宋体"/>
          <w:sz w:val="24"/>
          <w:szCs w:val="24"/>
        </w:rPr>
        <w:t>.成交服务费</w:t>
      </w:r>
    </w:p>
    <w:p>
      <w:pPr>
        <w:pStyle w:val="2"/>
        <w:spacing w:after="0" w:line="560" w:lineRule="exact"/>
        <w:ind w:firstLine="600" w:firstLineChars="250"/>
        <w:rPr>
          <w:rFonts w:ascii="宋体" w:hAnsi="宋体" w:cs="宋体"/>
          <w:sz w:val="24"/>
        </w:rPr>
      </w:pPr>
      <w:r>
        <w:rPr>
          <w:rFonts w:hint="eastAsia" w:ascii="宋体" w:hAnsi="宋体" w:cs="宋体"/>
          <w:sz w:val="24"/>
        </w:rPr>
        <w:t>3</w:t>
      </w:r>
      <w:r>
        <w:rPr>
          <w:rFonts w:hint="eastAsia" w:ascii="宋体" w:hAnsi="宋体" w:cs="宋体"/>
          <w:sz w:val="24"/>
          <w:lang w:val="en-US" w:eastAsia="zh-CN"/>
        </w:rPr>
        <w:t>7</w:t>
      </w:r>
      <w:r>
        <w:rPr>
          <w:rFonts w:hint="eastAsia" w:ascii="宋体" w:hAnsi="宋体" w:cs="宋体"/>
          <w:sz w:val="24"/>
        </w:rPr>
        <w:t>. 本项目成交服务费的计算标准详见响应人须知前附表。</w:t>
      </w:r>
    </w:p>
    <w:p>
      <w:pPr>
        <w:pStyle w:val="5"/>
        <w:spacing w:before="120" w:after="120" w:line="360" w:lineRule="exact"/>
        <w:ind w:firstLine="516" w:firstLineChars="214"/>
        <w:rPr>
          <w:rFonts w:ascii="宋体" w:hAnsi="宋体" w:eastAsia="宋体"/>
          <w:sz w:val="24"/>
          <w:szCs w:val="24"/>
        </w:rPr>
      </w:pPr>
      <w:bookmarkStart w:id="151" w:name="_Toc508784355"/>
      <w:bookmarkStart w:id="152" w:name="_Toc14529"/>
      <w:bookmarkStart w:id="153" w:name="_Toc23022"/>
      <w:bookmarkStart w:id="154" w:name="_Toc60585217"/>
      <w:bookmarkStart w:id="155" w:name="_Toc8651"/>
      <w:bookmarkStart w:id="156" w:name="_Toc510973926"/>
      <w:r>
        <w:rPr>
          <w:rFonts w:hint="eastAsia" w:ascii="宋体" w:hAnsi="宋体" w:eastAsia="宋体" w:cs="宋体"/>
          <w:sz w:val="24"/>
          <w:szCs w:val="24"/>
        </w:rPr>
        <w:t>十、解释权</w:t>
      </w:r>
      <w:bookmarkEnd w:id="151"/>
      <w:bookmarkEnd w:id="152"/>
      <w:bookmarkEnd w:id="153"/>
      <w:bookmarkEnd w:id="154"/>
      <w:bookmarkEnd w:id="155"/>
      <w:bookmarkEnd w:id="156"/>
    </w:p>
    <w:p>
      <w:pPr>
        <w:pStyle w:val="7"/>
        <w:spacing w:before="0" w:after="0" w:line="500" w:lineRule="exact"/>
        <w:ind w:firstLine="504" w:firstLineChars="209"/>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8</w:t>
      </w:r>
      <w:r>
        <w:rPr>
          <w:rFonts w:hint="eastAsia" w:ascii="宋体" w:hAnsi="宋体"/>
          <w:sz w:val="24"/>
          <w:szCs w:val="24"/>
        </w:rPr>
        <w:t>. 解释权</w:t>
      </w:r>
    </w:p>
    <w:p>
      <w:pPr>
        <w:pStyle w:val="2"/>
        <w:spacing w:after="0" w:line="560" w:lineRule="exact"/>
        <w:ind w:firstLine="600" w:firstLineChars="250"/>
        <w:rPr>
          <w:rFonts w:ascii="宋体" w:hAnsi="宋体" w:cs="宋体"/>
          <w:sz w:val="24"/>
        </w:rPr>
      </w:pPr>
      <w:r>
        <w:rPr>
          <w:rFonts w:hint="eastAsia" w:ascii="宋体" w:hAnsi="宋体" w:cs="宋体"/>
          <w:sz w:val="24"/>
        </w:rPr>
        <w:t>3</w:t>
      </w:r>
      <w:r>
        <w:rPr>
          <w:rFonts w:hint="eastAsia" w:ascii="宋体" w:hAnsi="宋体" w:cs="宋体"/>
          <w:sz w:val="24"/>
          <w:lang w:val="en-US" w:eastAsia="zh-CN"/>
        </w:rPr>
        <w:t>8</w:t>
      </w:r>
      <w:r>
        <w:rPr>
          <w:rFonts w:hint="eastAsia" w:ascii="宋体" w:hAnsi="宋体" w:cs="宋体"/>
          <w:sz w:val="24"/>
        </w:rPr>
        <w:t>.本采购文件的最终解释权归代理机构，当对一个问题有多种解释时以代理机构的书面解释为准。采购文件未做明示，而又有相关法律、法规规定的，代理机构对此所做解释以相关的法律、法规规定为依据。</w:t>
      </w:r>
    </w:p>
    <w:p>
      <w:pPr>
        <w:pStyle w:val="5"/>
        <w:spacing w:before="120" w:after="120" w:line="360" w:lineRule="exact"/>
        <w:ind w:firstLine="516" w:firstLineChars="214"/>
        <w:rPr>
          <w:rFonts w:ascii="宋体" w:hAnsi="宋体" w:eastAsia="宋体" w:cs="宋体"/>
          <w:sz w:val="24"/>
          <w:szCs w:val="24"/>
        </w:rPr>
      </w:pPr>
      <w:bookmarkStart w:id="157" w:name="_Toc16149"/>
      <w:bookmarkStart w:id="158" w:name="_Toc2790"/>
      <w:bookmarkStart w:id="159" w:name="_Toc60585218"/>
      <w:bookmarkStart w:id="160" w:name="_Toc20832"/>
      <w:r>
        <w:rPr>
          <w:rFonts w:hint="eastAsia" w:ascii="宋体" w:hAnsi="宋体" w:eastAsia="宋体" w:cs="宋体"/>
          <w:sz w:val="24"/>
          <w:szCs w:val="24"/>
        </w:rPr>
        <w:t>十</w:t>
      </w:r>
      <w:r>
        <w:rPr>
          <w:rFonts w:hint="eastAsia" w:ascii="宋体" w:hAnsi="宋体" w:eastAsia="宋体" w:cs="宋体"/>
          <w:sz w:val="24"/>
          <w:szCs w:val="24"/>
          <w:lang w:eastAsia="zh-CN"/>
        </w:rPr>
        <w:t>一</w:t>
      </w:r>
      <w:r>
        <w:rPr>
          <w:rFonts w:hint="eastAsia" w:ascii="宋体" w:hAnsi="宋体" w:eastAsia="宋体" w:cs="宋体"/>
          <w:sz w:val="24"/>
          <w:szCs w:val="24"/>
        </w:rPr>
        <w:t>、其他</w:t>
      </w:r>
      <w:bookmarkEnd w:id="157"/>
      <w:bookmarkEnd w:id="158"/>
      <w:bookmarkEnd w:id="159"/>
      <w:bookmarkEnd w:id="160"/>
    </w:p>
    <w:p>
      <w:pPr>
        <w:pStyle w:val="2"/>
        <w:spacing w:after="0" w:line="560" w:lineRule="exact"/>
        <w:ind w:firstLine="600" w:firstLineChars="250"/>
        <w:rPr>
          <w:rFonts w:ascii="宋体" w:hAnsi="宋体"/>
          <w:sz w:val="24"/>
        </w:rPr>
      </w:pPr>
      <w:r>
        <w:rPr>
          <w:rFonts w:hint="eastAsia" w:ascii="宋体" w:hAnsi="宋体" w:cs="宋体"/>
          <w:sz w:val="24"/>
        </w:rPr>
        <w:t>其他补充内容，详见响应人须知前附表。</w:t>
      </w:r>
    </w:p>
    <w:p>
      <w:pPr>
        <w:pStyle w:val="4"/>
        <w:spacing w:before="120" w:after="120" w:line="240" w:lineRule="auto"/>
        <w:jc w:val="center"/>
        <w:rPr>
          <w:rFonts w:ascii="宋体" w:hAnsi="宋体"/>
          <w:kern w:val="2"/>
          <w:sz w:val="32"/>
        </w:rPr>
      </w:pPr>
      <w:r>
        <w:rPr>
          <w:rFonts w:ascii="宋体" w:hAnsi="宋体"/>
          <w:kern w:val="2"/>
          <w:sz w:val="32"/>
        </w:rPr>
        <w:br w:type="page"/>
      </w:r>
      <w:bookmarkStart w:id="161" w:name="_Toc60585219"/>
      <w:bookmarkStart w:id="162" w:name="_Toc28967"/>
      <w:bookmarkStart w:id="163" w:name="_Toc732"/>
      <w:bookmarkStart w:id="164" w:name="_Toc12369"/>
      <w:r>
        <w:rPr>
          <w:rFonts w:hint="eastAsia" w:ascii="宋体" w:hAnsi="宋体"/>
          <w:kern w:val="2"/>
          <w:sz w:val="32"/>
        </w:rPr>
        <w:t>第三章评分办法</w:t>
      </w:r>
      <w:bookmarkEnd w:id="161"/>
      <w:bookmarkEnd w:id="162"/>
      <w:bookmarkEnd w:id="163"/>
      <w:bookmarkEnd w:id="164"/>
    </w:p>
    <w:p>
      <w:pPr>
        <w:spacing w:line="540" w:lineRule="exact"/>
        <w:ind w:firstLine="477" w:firstLineChars="198"/>
        <w:rPr>
          <w:rFonts w:ascii="宋体" w:hAnsi="宋体"/>
          <w:b/>
          <w:sz w:val="24"/>
        </w:rPr>
      </w:pPr>
      <w:r>
        <w:rPr>
          <w:rFonts w:hint="eastAsia" w:ascii="宋体" w:hAnsi="宋体"/>
          <w:b/>
          <w:sz w:val="24"/>
        </w:rPr>
        <w:t>一、评审方法</w:t>
      </w:r>
    </w:p>
    <w:p>
      <w:pPr>
        <w:spacing w:line="540" w:lineRule="exact"/>
        <w:ind w:firstLine="475" w:firstLineChars="198"/>
        <w:rPr>
          <w:rFonts w:ascii="宋体" w:hAnsi="宋体"/>
          <w:sz w:val="24"/>
        </w:rPr>
      </w:pPr>
      <w:r>
        <w:rPr>
          <w:rFonts w:hint="eastAsia" w:ascii="宋体" w:hAnsi="宋体"/>
          <w:sz w:val="24"/>
        </w:rPr>
        <w:t>1.1本项目评审方法采用综合评分法。磋商小组将依据各响应人响应文件，对其商务、技术</w:t>
      </w:r>
      <w:r>
        <w:rPr>
          <w:rFonts w:ascii="宋体" w:hAnsi="宋体"/>
          <w:sz w:val="24"/>
        </w:rPr>
        <w:t>、价格</w:t>
      </w:r>
      <w:r>
        <w:rPr>
          <w:rFonts w:hint="eastAsia" w:ascii="宋体" w:hAnsi="宋体"/>
          <w:sz w:val="24"/>
        </w:rPr>
        <w:t>、服务</w:t>
      </w:r>
      <w:r>
        <w:rPr>
          <w:rFonts w:ascii="宋体" w:hAnsi="宋体"/>
          <w:sz w:val="24"/>
        </w:rPr>
        <w:t>等各项因素进行评价</w:t>
      </w:r>
      <w:r>
        <w:rPr>
          <w:rFonts w:hint="eastAsia" w:ascii="宋体" w:hAnsi="宋体"/>
          <w:sz w:val="24"/>
        </w:rPr>
        <w:t>并按评分细则进行打分</w:t>
      </w:r>
      <w:r>
        <w:rPr>
          <w:rFonts w:ascii="宋体" w:hAnsi="宋体"/>
          <w:sz w:val="24"/>
        </w:rPr>
        <w:t>。每一</w:t>
      </w:r>
      <w:r>
        <w:rPr>
          <w:rFonts w:hint="eastAsia" w:ascii="宋体" w:hAnsi="宋体"/>
          <w:sz w:val="24"/>
        </w:rPr>
        <w:t>响应人</w:t>
      </w:r>
      <w:r>
        <w:rPr>
          <w:rFonts w:ascii="宋体" w:hAnsi="宋体"/>
          <w:sz w:val="24"/>
        </w:rPr>
        <w:t>的最终得分为所有</w:t>
      </w:r>
      <w:r>
        <w:rPr>
          <w:rFonts w:hint="eastAsia" w:ascii="宋体" w:hAnsi="宋体"/>
          <w:sz w:val="24"/>
        </w:rPr>
        <w:t>磋商小组成员</w:t>
      </w:r>
      <w:r>
        <w:rPr>
          <w:rFonts w:ascii="宋体" w:hAnsi="宋体"/>
          <w:sz w:val="24"/>
        </w:rPr>
        <w:t>评分的算术平均值。</w:t>
      </w:r>
    </w:p>
    <w:p>
      <w:pPr>
        <w:spacing w:line="540" w:lineRule="exact"/>
        <w:ind w:firstLine="475" w:firstLineChars="198"/>
        <w:rPr>
          <w:rFonts w:ascii="宋体" w:hAnsi="宋体"/>
          <w:sz w:val="24"/>
        </w:rPr>
      </w:pPr>
      <w:r>
        <w:rPr>
          <w:rFonts w:hint="eastAsia" w:ascii="宋体" w:hAnsi="宋体"/>
          <w:sz w:val="24"/>
        </w:rPr>
        <w:t>1.2磋商小组按各响应人最终得分由高到低顺序排列。得分相同的，按最终报价由低到高顺序排列。得分且最终报价相同的，按技术指标优劣顺序排列，按采购文件规定的成交候选响应人家数推荐成交候选响应人。</w:t>
      </w:r>
    </w:p>
    <w:p>
      <w:pPr>
        <w:spacing w:line="540" w:lineRule="exact"/>
        <w:ind w:firstLine="477" w:firstLineChars="198"/>
        <w:rPr>
          <w:rFonts w:ascii="宋体" w:hAnsi="宋体"/>
          <w:b/>
          <w:sz w:val="24"/>
        </w:rPr>
      </w:pPr>
      <w:r>
        <w:rPr>
          <w:rFonts w:hint="eastAsia" w:ascii="宋体" w:hAnsi="宋体"/>
          <w:b/>
          <w:sz w:val="24"/>
        </w:rPr>
        <w:t>二、评审细则</w:t>
      </w:r>
    </w:p>
    <w:tbl>
      <w:tblPr>
        <w:tblStyle w:val="75"/>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902"/>
        <w:gridCol w:w="2593"/>
        <w:gridCol w:w="3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60" w:type="dxa"/>
            <w:gridSpan w:val="4"/>
            <w:vAlign w:val="center"/>
          </w:tcPr>
          <w:p>
            <w:pPr>
              <w:spacing w:line="360" w:lineRule="auto"/>
              <w:jc w:val="center"/>
              <w:rPr>
                <w:rFonts w:ascii="宋体" w:hAnsi="宋体" w:cs="仿宋"/>
                <w:sz w:val="24"/>
              </w:rPr>
            </w:pPr>
            <w:r>
              <w:rPr>
                <w:rFonts w:hint="eastAsia" w:ascii="宋体" w:hAnsi="宋体" w:cs="仿宋"/>
                <w:sz w:val="24"/>
              </w:rPr>
              <w:t>总分100分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6" w:type="dxa"/>
            <w:vMerge w:val="restart"/>
            <w:vAlign w:val="center"/>
          </w:tcPr>
          <w:p>
            <w:pPr>
              <w:spacing w:line="360" w:lineRule="auto"/>
              <w:jc w:val="center"/>
              <w:rPr>
                <w:rFonts w:ascii="宋体" w:hAnsi="宋体" w:cs="仿宋"/>
                <w:sz w:val="24"/>
              </w:rPr>
            </w:pPr>
            <w:r>
              <w:rPr>
                <w:rFonts w:hint="eastAsia" w:ascii="宋体" w:hAnsi="宋体" w:cs="仿宋"/>
                <w:sz w:val="24"/>
              </w:rPr>
              <w:t>总分组成</w:t>
            </w:r>
          </w:p>
        </w:tc>
        <w:tc>
          <w:tcPr>
            <w:tcW w:w="1902" w:type="dxa"/>
            <w:vAlign w:val="center"/>
          </w:tcPr>
          <w:p>
            <w:pPr>
              <w:spacing w:line="360" w:lineRule="auto"/>
              <w:jc w:val="center"/>
              <w:rPr>
                <w:rFonts w:ascii="宋体" w:hAnsi="宋体" w:cs="仿宋"/>
                <w:sz w:val="24"/>
              </w:rPr>
            </w:pPr>
            <w:r>
              <w:rPr>
                <w:rFonts w:hint="eastAsia" w:ascii="宋体" w:hAnsi="宋体" w:cs="仿宋"/>
                <w:sz w:val="24"/>
              </w:rPr>
              <w:t>（1）价格</w:t>
            </w:r>
          </w:p>
        </w:tc>
        <w:tc>
          <w:tcPr>
            <w:tcW w:w="6482" w:type="dxa"/>
            <w:gridSpan w:val="2"/>
            <w:vAlign w:val="center"/>
          </w:tcPr>
          <w:p>
            <w:pPr>
              <w:spacing w:line="360" w:lineRule="auto"/>
              <w:jc w:val="center"/>
              <w:rPr>
                <w:rFonts w:ascii="宋体" w:hAnsi="宋体" w:cs="仿宋"/>
                <w:sz w:val="24"/>
              </w:rPr>
            </w:pPr>
            <w:r>
              <w:rPr>
                <w:rFonts w:hint="eastAsia" w:ascii="宋体" w:hAnsi="宋体" w:cs="仿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6" w:type="dxa"/>
            <w:vMerge w:val="continue"/>
            <w:vAlign w:val="center"/>
          </w:tcPr>
          <w:p>
            <w:pPr>
              <w:spacing w:line="360" w:lineRule="auto"/>
              <w:jc w:val="center"/>
              <w:rPr>
                <w:rFonts w:ascii="宋体" w:hAnsi="宋体" w:cs="仿宋"/>
                <w:sz w:val="24"/>
              </w:rPr>
            </w:pPr>
          </w:p>
        </w:tc>
        <w:tc>
          <w:tcPr>
            <w:tcW w:w="1902" w:type="dxa"/>
            <w:vAlign w:val="center"/>
          </w:tcPr>
          <w:p>
            <w:pPr>
              <w:spacing w:line="360" w:lineRule="auto"/>
              <w:jc w:val="center"/>
              <w:rPr>
                <w:rFonts w:ascii="宋体" w:hAnsi="宋体" w:cs="仿宋"/>
                <w:sz w:val="24"/>
              </w:rPr>
            </w:pPr>
            <w:r>
              <w:rPr>
                <w:rFonts w:hint="eastAsia" w:ascii="宋体" w:hAnsi="宋体" w:cs="仿宋"/>
                <w:sz w:val="24"/>
              </w:rPr>
              <w:t>（2）技术</w:t>
            </w:r>
          </w:p>
        </w:tc>
        <w:tc>
          <w:tcPr>
            <w:tcW w:w="6482" w:type="dxa"/>
            <w:gridSpan w:val="2"/>
            <w:vAlign w:val="center"/>
          </w:tcPr>
          <w:p>
            <w:pPr>
              <w:spacing w:line="360" w:lineRule="auto"/>
              <w:jc w:val="center"/>
              <w:rPr>
                <w:rFonts w:ascii="宋体" w:hAnsi="宋体" w:cs="仿宋"/>
                <w:sz w:val="24"/>
              </w:rPr>
            </w:pPr>
            <w:r>
              <w:rPr>
                <w:rFonts w:hint="eastAsia" w:ascii="宋体" w:hAnsi="宋体" w:cs="仿宋"/>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6" w:type="dxa"/>
            <w:vMerge w:val="continue"/>
            <w:vAlign w:val="center"/>
          </w:tcPr>
          <w:p>
            <w:pPr>
              <w:spacing w:line="360" w:lineRule="auto"/>
              <w:jc w:val="center"/>
              <w:rPr>
                <w:rFonts w:ascii="宋体" w:hAnsi="宋体" w:cs="仿宋"/>
                <w:sz w:val="24"/>
              </w:rPr>
            </w:pPr>
          </w:p>
        </w:tc>
        <w:tc>
          <w:tcPr>
            <w:tcW w:w="1902" w:type="dxa"/>
            <w:vAlign w:val="center"/>
          </w:tcPr>
          <w:p>
            <w:pPr>
              <w:spacing w:line="360" w:lineRule="auto"/>
              <w:jc w:val="center"/>
              <w:rPr>
                <w:rFonts w:ascii="宋体" w:hAnsi="宋体" w:cs="仿宋"/>
                <w:sz w:val="24"/>
              </w:rPr>
            </w:pPr>
            <w:r>
              <w:rPr>
                <w:rFonts w:hint="eastAsia" w:ascii="宋体" w:hAnsi="宋体" w:cs="仿宋"/>
                <w:sz w:val="24"/>
              </w:rPr>
              <w:t>（3）商务</w:t>
            </w:r>
          </w:p>
        </w:tc>
        <w:tc>
          <w:tcPr>
            <w:tcW w:w="6482" w:type="dxa"/>
            <w:gridSpan w:val="2"/>
            <w:vAlign w:val="center"/>
          </w:tcPr>
          <w:p>
            <w:pPr>
              <w:spacing w:line="360" w:lineRule="auto"/>
              <w:jc w:val="center"/>
              <w:rPr>
                <w:rFonts w:ascii="宋体" w:hAnsi="宋体" w:cs="仿宋"/>
                <w:sz w:val="24"/>
              </w:rPr>
            </w:pPr>
            <w:r>
              <w:rPr>
                <w:rFonts w:hint="eastAsia" w:ascii="宋体" w:hAnsi="宋体" w:cs="仿宋"/>
                <w:sz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78" w:type="dxa"/>
            <w:gridSpan w:val="2"/>
            <w:vAlign w:val="center"/>
          </w:tcPr>
          <w:p>
            <w:pPr>
              <w:spacing w:line="360" w:lineRule="auto"/>
              <w:jc w:val="center"/>
              <w:rPr>
                <w:rFonts w:ascii="宋体" w:hAnsi="宋体" w:cs="仿宋"/>
                <w:sz w:val="24"/>
              </w:rPr>
            </w:pPr>
            <w:r>
              <w:rPr>
                <w:rFonts w:hint="eastAsia" w:ascii="宋体" w:hAnsi="宋体" w:cs="仿宋"/>
                <w:sz w:val="24"/>
              </w:rPr>
              <w:t>响应报价</w:t>
            </w:r>
          </w:p>
          <w:p>
            <w:pPr>
              <w:spacing w:line="360" w:lineRule="auto"/>
              <w:jc w:val="center"/>
              <w:rPr>
                <w:rFonts w:ascii="宋体" w:hAnsi="宋体" w:cs="仿宋"/>
                <w:sz w:val="24"/>
              </w:rPr>
            </w:pPr>
            <w:r>
              <w:rPr>
                <w:rFonts w:hint="eastAsia" w:ascii="宋体" w:hAnsi="宋体" w:cs="仿宋"/>
                <w:sz w:val="24"/>
              </w:rPr>
              <w:t>15分</w:t>
            </w:r>
          </w:p>
        </w:tc>
        <w:tc>
          <w:tcPr>
            <w:tcW w:w="6482" w:type="dxa"/>
            <w:gridSpan w:val="2"/>
            <w:vAlign w:val="center"/>
          </w:tcPr>
          <w:p>
            <w:pPr>
              <w:spacing w:line="360" w:lineRule="auto"/>
              <w:jc w:val="left"/>
              <w:rPr>
                <w:rFonts w:ascii="宋体" w:hAnsi="宋体" w:cs="仿宋"/>
                <w:sz w:val="24"/>
              </w:rPr>
            </w:pPr>
            <w:r>
              <w:rPr>
                <w:rFonts w:hint="eastAsia" w:ascii="宋体" w:hAnsi="宋体" w:cs="仿宋"/>
                <w:sz w:val="24"/>
              </w:rPr>
              <w:t>以满足磋商文件要求且最终报价最低的响应报价为评标基准价，其价格分为满分15分，其他响应人的价格分按照下列公式计算：响应报价得分=（评标基准价/响应报价）×15。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76" w:type="dxa"/>
            <w:vMerge w:val="restart"/>
            <w:vAlign w:val="center"/>
          </w:tcPr>
          <w:p>
            <w:pPr>
              <w:spacing w:line="360" w:lineRule="auto"/>
              <w:jc w:val="center"/>
              <w:rPr>
                <w:rFonts w:ascii="宋体" w:hAnsi="宋体" w:cs="仿宋"/>
                <w:sz w:val="24"/>
              </w:rPr>
            </w:pPr>
            <w:r>
              <w:rPr>
                <w:rFonts w:hint="eastAsia" w:ascii="宋体" w:hAnsi="宋体" w:cs="仿宋"/>
                <w:sz w:val="24"/>
              </w:rPr>
              <w:t>技术部分48分</w:t>
            </w:r>
          </w:p>
        </w:tc>
        <w:tc>
          <w:tcPr>
            <w:tcW w:w="1902" w:type="dxa"/>
            <w:vMerge w:val="restart"/>
            <w:vAlign w:val="center"/>
          </w:tcPr>
          <w:p>
            <w:pPr>
              <w:spacing w:line="360" w:lineRule="auto"/>
              <w:jc w:val="center"/>
              <w:rPr>
                <w:rFonts w:ascii="宋体" w:hAnsi="宋体" w:cs="宋体"/>
                <w:sz w:val="24"/>
              </w:rPr>
            </w:pPr>
            <w:r>
              <w:rPr>
                <w:rFonts w:hint="eastAsia" w:ascii="宋体" w:hAnsi="宋体" w:cs="宋体"/>
                <w:sz w:val="24"/>
              </w:rPr>
              <w:t>造价咨询服务实施方案</w:t>
            </w:r>
          </w:p>
          <w:p>
            <w:pPr>
              <w:spacing w:line="360" w:lineRule="auto"/>
              <w:jc w:val="center"/>
              <w:rPr>
                <w:rFonts w:ascii="宋体" w:hAnsi="宋体" w:cs="宋体"/>
                <w:sz w:val="24"/>
              </w:rPr>
            </w:pPr>
            <w:r>
              <w:rPr>
                <w:rFonts w:hint="eastAsia" w:ascii="宋体" w:hAnsi="宋体" w:cs="宋体"/>
                <w:sz w:val="24"/>
              </w:rPr>
              <w:t>30</w:t>
            </w:r>
            <w:r>
              <w:rPr>
                <w:rFonts w:hint="eastAsia" w:ascii="宋体" w:hAnsi="宋体" w:cs="宋体"/>
                <w:sz w:val="24"/>
                <w:lang w:val="zh-CN"/>
              </w:rPr>
              <w:t>分</w:t>
            </w:r>
          </w:p>
        </w:tc>
        <w:tc>
          <w:tcPr>
            <w:tcW w:w="2593" w:type="dxa"/>
            <w:tcBorders>
              <w:top w:val="single" w:color="auto" w:sz="4" w:space="0"/>
              <w:left w:val="single" w:color="auto" w:sz="4" w:space="0"/>
            </w:tcBorders>
            <w:vAlign w:val="center"/>
          </w:tcPr>
          <w:p>
            <w:pPr>
              <w:pStyle w:val="137"/>
              <w:rPr>
                <w:rFonts w:hAnsi="宋体"/>
                <w:szCs w:val="21"/>
              </w:rPr>
            </w:pPr>
            <w:r>
              <w:rPr>
                <w:rFonts w:hint="eastAsia" w:hAnsi="宋体"/>
                <w:szCs w:val="21"/>
              </w:rPr>
              <w:t>预、结算审查</w:t>
            </w:r>
          </w:p>
        </w:tc>
        <w:tc>
          <w:tcPr>
            <w:tcW w:w="3889" w:type="dxa"/>
            <w:tcBorders>
              <w:top w:val="single" w:color="auto" w:sz="4" w:space="0"/>
              <w:left w:val="single" w:color="auto" w:sz="4" w:space="0"/>
            </w:tcBorders>
            <w:vAlign w:val="center"/>
          </w:tcPr>
          <w:p>
            <w:pPr>
              <w:pStyle w:val="137"/>
              <w:rPr>
                <w:rFonts w:hAnsi="宋体"/>
                <w:szCs w:val="21"/>
              </w:rPr>
            </w:pPr>
            <w:r>
              <w:rPr>
                <w:rFonts w:hint="eastAsia" w:hAnsi="宋体"/>
                <w:szCs w:val="21"/>
              </w:rPr>
              <w:t>A.方案描述清晰、详细、措施健全、有针对性，得3分；</w:t>
            </w:r>
          </w:p>
          <w:p>
            <w:pPr>
              <w:pStyle w:val="137"/>
              <w:rPr>
                <w:rFonts w:hAnsi="宋体"/>
                <w:szCs w:val="21"/>
              </w:rPr>
            </w:pPr>
            <w:r>
              <w:rPr>
                <w:rFonts w:hint="eastAsia" w:hAnsi="宋体"/>
                <w:szCs w:val="21"/>
              </w:rPr>
              <w:t>B.方案描述清晰、措施得当，得2分；</w:t>
            </w:r>
          </w:p>
          <w:p>
            <w:pPr>
              <w:pStyle w:val="137"/>
              <w:rPr>
                <w:rFonts w:hAnsi="宋体"/>
                <w:szCs w:val="21"/>
              </w:rPr>
            </w:pPr>
            <w:r>
              <w:rPr>
                <w:rFonts w:hint="eastAsia" w:hAnsi="宋体"/>
                <w:szCs w:val="21"/>
              </w:rPr>
              <w:t>C.内容不全、有所欠缺，得1分;</w:t>
            </w:r>
          </w:p>
          <w:p>
            <w:pPr>
              <w:pStyle w:val="137"/>
              <w:rPr>
                <w:rFonts w:hAnsi="宋体"/>
                <w:szCs w:val="21"/>
              </w:rPr>
            </w:pPr>
            <w:r>
              <w:rPr>
                <w:rFonts w:hint="eastAsia" w:hAnsi="宋体"/>
                <w:szCs w:val="21"/>
              </w:rPr>
              <w:t>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76" w:type="dxa"/>
            <w:vMerge w:val="continue"/>
            <w:vAlign w:val="center"/>
          </w:tcPr>
          <w:p>
            <w:pPr>
              <w:spacing w:line="360" w:lineRule="auto"/>
              <w:jc w:val="center"/>
              <w:rPr>
                <w:rFonts w:ascii="宋体" w:hAnsi="宋体" w:cs="仿宋"/>
                <w:sz w:val="24"/>
              </w:rPr>
            </w:pPr>
          </w:p>
        </w:tc>
        <w:tc>
          <w:tcPr>
            <w:tcW w:w="1902" w:type="dxa"/>
            <w:vMerge w:val="continue"/>
            <w:vAlign w:val="center"/>
          </w:tcPr>
          <w:p>
            <w:pPr>
              <w:spacing w:line="360" w:lineRule="auto"/>
              <w:jc w:val="center"/>
              <w:rPr>
                <w:rFonts w:ascii="宋体" w:hAnsi="宋体" w:cs="宋体"/>
                <w:sz w:val="24"/>
              </w:rPr>
            </w:pPr>
          </w:p>
        </w:tc>
        <w:tc>
          <w:tcPr>
            <w:tcW w:w="2593" w:type="dxa"/>
            <w:tcBorders>
              <w:top w:val="single" w:color="auto" w:sz="4" w:space="0"/>
              <w:left w:val="single" w:color="auto" w:sz="4" w:space="0"/>
            </w:tcBorders>
            <w:vAlign w:val="center"/>
          </w:tcPr>
          <w:p>
            <w:pPr>
              <w:pStyle w:val="137"/>
              <w:rPr>
                <w:rFonts w:hAnsi="宋体"/>
                <w:szCs w:val="21"/>
              </w:rPr>
            </w:pPr>
            <w:r>
              <w:rPr>
                <w:rFonts w:hint="eastAsia" w:hAnsi="宋体"/>
                <w:szCs w:val="21"/>
              </w:rPr>
              <w:t>施工图预算审查</w:t>
            </w:r>
          </w:p>
        </w:tc>
        <w:tc>
          <w:tcPr>
            <w:tcW w:w="3889" w:type="dxa"/>
            <w:tcBorders>
              <w:top w:val="single" w:color="auto" w:sz="4" w:space="0"/>
              <w:left w:val="single" w:color="auto" w:sz="4" w:space="0"/>
            </w:tcBorders>
            <w:vAlign w:val="center"/>
          </w:tcPr>
          <w:p>
            <w:pPr>
              <w:pStyle w:val="137"/>
              <w:rPr>
                <w:rFonts w:hAnsi="宋体"/>
                <w:szCs w:val="21"/>
              </w:rPr>
            </w:pPr>
            <w:r>
              <w:rPr>
                <w:rFonts w:hint="eastAsia" w:hAnsi="宋体"/>
                <w:szCs w:val="21"/>
              </w:rPr>
              <w:t>A.方案描述清晰、详细、措施健全、有针对性，得3分；</w:t>
            </w:r>
          </w:p>
          <w:p>
            <w:pPr>
              <w:pStyle w:val="137"/>
              <w:rPr>
                <w:rFonts w:hAnsi="宋体"/>
                <w:szCs w:val="21"/>
              </w:rPr>
            </w:pPr>
            <w:r>
              <w:rPr>
                <w:rFonts w:hint="eastAsia" w:hAnsi="宋体"/>
                <w:szCs w:val="21"/>
              </w:rPr>
              <w:t>B.方案描述清晰、措施得当，得2分；</w:t>
            </w:r>
          </w:p>
          <w:p>
            <w:pPr>
              <w:pStyle w:val="137"/>
              <w:rPr>
                <w:rFonts w:hAnsi="宋体"/>
                <w:szCs w:val="21"/>
              </w:rPr>
            </w:pPr>
            <w:r>
              <w:rPr>
                <w:rFonts w:hint="eastAsia" w:hAnsi="宋体"/>
                <w:szCs w:val="21"/>
              </w:rPr>
              <w:t>C.内容不全、有所欠缺，得1分;</w:t>
            </w:r>
          </w:p>
          <w:p>
            <w:pPr>
              <w:pStyle w:val="137"/>
            </w:pPr>
            <w:r>
              <w:rPr>
                <w:rFonts w:hint="eastAsia" w:hAnsi="宋体"/>
                <w:szCs w:val="21"/>
              </w:rPr>
              <w:t>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776" w:type="dxa"/>
            <w:vMerge w:val="continue"/>
            <w:vAlign w:val="center"/>
          </w:tcPr>
          <w:p>
            <w:pPr>
              <w:spacing w:line="360" w:lineRule="auto"/>
              <w:jc w:val="center"/>
              <w:rPr>
                <w:rFonts w:ascii="宋体" w:hAnsi="宋体" w:cs="仿宋"/>
                <w:sz w:val="24"/>
              </w:rPr>
            </w:pPr>
          </w:p>
        </w:tc>
        <w:tc>
          <w:tcPr>
            <w:tcW w:w="1902" w:type="dxa"/>
            <w:vMerge w:val="continue"/>
            <w:vAlign w:val="center"/>
          </w:tcPr>
          <w:p>
            <w:pPr>
              <w:spacing w:line="360" w:lineRule="auto"/>
              <w:jc w:val="center"/>
              <w:rPr>
                <w:rFonts w:ascii="宋体" w:hAnsi="宋体" w:cs="宋体"/>
                <w:sz w:val="24"/>
              </w:rPr>
            </w:pPr>
          </w:p>
        </w:tc>
        <w:tc>
          <w:tcPr>
            <w:tcW w:w="2593" w:type="dxa"/>
            <w:tcBorders>
              <w:top w:val="single" w:color="auto" w:sz="4" w:space="0"/>
              <w:left w:val="single" w:color="auto" w:sz="4" w:space="0"/>
            </w:tcBorders>
            <w:vAlign w:val="center"/>
          </w:tcPr>
          <w:p>
            <w:pPr>
              <w:pStyle w:val="137"/>
              <w:rPr>
                <w:rFonts w:hAnsi="宋体"/>
                <w:szCs w:val="21"/>
              </w:rPr>
            </w:pPr>
            <w:r>
              <w:rPr>
                <w:rFonts w:hint="eastAsia" w:hAnsi="宋体"/>
                <w:szCs w:val="21"/>
              </w:rPr>
              <w:t>形象进度付款审查</w:t>
            </w:r>
          </w:p>
        </w:tc>
        <w:tc>
          <w:tcPr>
            <w:tcW w:w="3889" w:type="dxa"/>
            <w:tcBorders>
              <w:top w:val="single" w:color="auto" w:sz="4" w:space="0"/>
              <w:left w:val="single" w:color="auto" w:sz="4" w:space="0"/>
            </w:tcBorders>
            <w:vAlign w:val="center"/>
          </w:tcPr>
          <w:p>
            <w:pPr>
              <w:pStyle w:val="137"/>
              <w:rPr>
                <w:rFonts w:hAnsi="宋体"/>
                <w:szCs w:val="21"/>
              </w:rPr>
            </w:pPr>
            <w:r>
              <w:rPr>
                <w:rFonts w:hint="eastAsia" w:hAnsi="宋体"/>
                <w:szCs w:val="21"/>
              </w:rPr>
              <w:t>A.方案描述清晰、详细、措施健全、有针对性，得3分；</w:t>
            </w:r>
          </w:p>
          <w:p>
            <w:pPr>
              <w:pStyle w:val="137"/>
              <w:rPr>
                <w:rFonts w:hAnsi="宋体"/>
                <w:szCs w:val="21"/>
              </w:rPr>
            </w:pPr>
            <w:r>
              <w:rPr>
                <w:rFonts w:hint="eastAsia" w:hAnsi="宋体"/>
                <w:szCs w:val="21"/>
              </w:rPr>
              <w:t>B.方案描述清晰、措施得当，得2分；</w:t>
            </w:r>
          </w:p>
          <w:p>
            <w:pPr>
              <w:pStyle w:val="137"/>
              <w:rPr>
                <w:rFonts w:hAnsi="宋体"/>
                <w:szCs w:val="21"/>
              </w:rPr>
            </w:pPr>
            <w:r>
              <w:rPr>
                <w:rFonts w:hint="eastAsia" w:hAnsi="宋体"/>
                <w:szCs w:val="21"/>
              </w:rPr>
              <w:t>C.内容不全、有所欠缺，得1分;</w:t>
            </w:r>
          </w:p>
          <w:p>
            <w:pPr>
              <w:pStyle w:val="137"/>
            </w:pPr>
            <w:r>
              <w:rPr>
                <w:rFonts w:hint="eastAsia" w:hAnsi="宋体"/>
                <w:szCs w:val="21"/>
              </w:rPr>
              <w:t>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76" w:type="dxa"/>
            <w:vMerge w:val="continue"/>
            <w:vAlign w:val="center"/>
          </w:tcPr>
          <w:p>
            <w:pPr>
              <w:spacing w:line="360" w:lineRule="auto"/>
              <w:jc w:val="center"/>
              <w:rPr>
                <w:rFonts w:ascii="宋体" w:hAnsi="宋体" w:cs="仿宋"/>
                <w:sz w:val="24"/>
              </w:rPr>
            </w:pPr>
          </w:p>
        </w:tc>
        <w:tc>
          <w:tcPr>
            <w:tcW w:w="1902" w:type="dxa"/>
            <w:vMerge w:val="continue"/>
            <w:vAlign w:val="center"/>
          </w:tcPr>
          <w:p>
            <w:pPr>
              <w:spacing w:line="360" w:lineRule="auto"/>
              <w:jc w:val="center"/>
              <w:rPr>
                <w:rFonts w:ascii="宋体" w:hAnsi="宋体" w:cs="宋体"/>
                <w:sz w:val="24"/>
              </w:rPr>
            </w:pPr>
          </w:p>
        </w:tc>
        <w:tc>
          <w:tcPr>
            <w:tcW w:w="2593" w:type="dxa"/>
            <w:tcBorders>
              <w:top w:val="single" w:color="auto" w:sz="4" w:space="0"/>
              <w:left w:val="single" w:color="auto" w:sz="4" w:space="0"/>
            </w:tcBorders>
            <w:vAlign w:val="center"/>
          </w:tcPr>
          <w:p>
            <w:pPr>
              <w:pStyle w:val="137"/>
              <w:rPr>
                <w:rFonts w:hAnsi="宋体"/>
                <w:szCs w:val="21"/>
              </w:rPr>
            </w:pPr>
            <w:r>
              <w:rPr>
                <w:rFonts w:hint="eastAsia" w:hAnsi="宋体"/>
                <w:szCs w:val="21"/>
              </w:rPr>
              <w:t>变更、洽商及签证的造价审核及协商调整</w:t>
            </w:r>
          </w:p>
        </w:tc>
        <w:tc>
          <w:tcPr>
            <w:tcW w:w="3889" w:type="dxa"/>
            <w:tcBorders>
              <w:top w:val="single" w:color="auto" w:sz="4" w:space="0"/>
              <w:left w:val="single" w:color="auto" w:sz="4" w:space="0"/>
            </w:tcBorders>
            <w:vAlign w:val="center"/>
          </w:tcPr>
          <w:p>
            <w:pPr>
              <w:pStyle w:val="137"/>
              <w:rPr>
                <w:rFonts w:hAnsi="宋体"/>
                <w:szCs w:val="21"/>
              </w:rPr>
            </w:pPr>
            <w:r>
              <w:rPr>
                <w:rFonts w:hint="eastAsia" w:hAnsi="宋体"/>
                <w:szCs w:val="21"/>
              </w:rPr>
              <w:t>A.方案描述清晰、详细、措施健全、有针对性，得3分；</w:t>
            </w:r>
          </w:p>
          <w:p>
            <w:pPr>
              <w:pStyle w:val="137"/>
              <w:rPr>
                <w:rFonts w:hAnsi="宋体"/>
                <w:szCs w:val="21"/>
              </w:rPr>
            </w:pPr>
            <w:r>
              <w:rPr>
                <w:rFonts w:hint="eastAsia" w:hAnsi="宋体"/>
                <w:szCs w:val="21"/>
              </w:rPr>
              <w:t>B.方案描述清晰、措施得当，得2分；</w:t>
            </w:r>
          </w:p>
          <w:p>
            <w:pPr>
              <w:pStyle w:val="137"/>
              <w:rPr>
                <w:rFonts w:hAnsi="宋体"/>
                <w:szCs w:val="21"/>
              </w:rPr>
            </w:pPr>
            <w:r>
              <w:rPr>
                <w:rFonts w:hint="eastAsia" w:hAnsi="宋体"/>
                <w:szCs w:val="21"/>
              </w:rPr>
              <w:t>C.内容不全、有所欠缺，得1分;</w:t>
            </w:r>
          </w:p>
          <w:p>
            <w:pPr>
              <w:pStyle w:val="137"/>
            </w:pPr>
            <w:r>
              <w:rPr>
                <w:rFonts w:hint="eastAsia" w:hAnsi="宋体"/>
                <w:szCs w:val="21"/>
              </w:rPr>
              <w:t>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76" w:type="dxa"/>
            <w:vMerge w:val="continue"/>
            <w:vAlign w:val="center"/>
          </w:tcPr>
          <w:p>
            <w:pPr>
              <w:spacing w:line="360" w:lineRule="auto"/>
              <w:jc w:val="center"/>
              <w:rPr>
                <w:rFonts w:ascii="宋体" w:hAnsi="宋体" w:cs="仿宋"/>
                <w:sz w:val="24"/>
              </w:rPr>
            </w:pPr>
          </w:p>
        </w:tc>
        <w:tc>
          <w:tcPr>
            <w:tcW w:w="1902" w:type="dxa"/>
            <w:vMerge w:val="continue"/>
            <w:vAlign w:val="center"/>
          </w:tcPr>
          <w:p>
            <w:pPr>
              <w:spacing w:line="360" w:lineRule="auto"/>
              <w:jc w:val="center"/>
              <w:rPr>
                <w:rFonts w:ascii="宋体" w:hAnsi="宋体" w:cs="宋体"/>
                <w:sz w:val="24"/>
              </w:rPr>
            </w:pPr>
          </w:p>
        </w:tc>
        <w:tc>
          <w:tcPr>
            <w:tcW w:w="2593" w:type="dxa"/>
            <w:tcBorders>
              <w:top w:val="single" w:color="auto" w:sz="4" w:space="0"/>
              <w:left w:val="single" w:color="auto" w:sz="4" w:space="0"/>
            </w:tcBorders>
            <w:vAlign w:val="center"/>
          </w:tcPr>
          <w:p>
            <w:pPr>
              <w:pStyle w:val="137"/>
              <w:rPr>
                <w:rFonts w:hAnsi="宋体"/>
                <w:szCs w:val="21"/>
              </w:rPr>
            </w:pPr>
            <w:r>
              <w:rPr>
                <w:rFonts w:hint="eastAsia" w:hAnsi="宋体"/>
                <w:szCs w:val="21"/>
              </w:rPr>
              <w:t>协助采购人对材料、设备的价格进行确认</w:t>
            </w:r>
          </w:p>
        </w:tc>
        <w:tc>
          <w:tcPr>
            <w:tcW w:w="3889" w:type="dxa"/>
            <w:tcBorders>
              <w:top w:val="single" w:color="auto" w:sz="4" w:space="0"/>
              <w:left w:val="single" w:color="auto" w:sz="4" w:space="0"/>
            </w:tcBorders>
            <w:vAlign w:val="center"/>
          </w:tcPr>
          <w:p>
            <w:pPr>
              <w:pStyle w:val="137"/>
              <w:rPr>
                <w:rFonts w:hAnsi="宋体"/>
                <w:szCs w:val="21"/>
              </w:rPr>
            </w:pPr>
            <w:r>
              <w:rPr>
                <w:rFonts w:hint="eastAsia" w:hAnsi="宋体"/>
                <w:szCs w:val="21"/>
              </w:rPr>
              <w:t>A.方案描述清晰、详细、措施健全、有针对性，得3分；</w:t>
            </w:r>
          </w:p>
          <w:p>
            <w:pPr>
              <w:pStyle w:val="137"/>
              <w:rPr>
                <w:rFonts w:hAnsi="宋体"/>
                <w:szCs w:val="21"/>
              </w:rPr>
            </w:pPr>
            <w:r>
              <w:rPr>
                <w:rFonts w:hint="eastAsia" w:hAnsi="宋体"/>
                <w:szCs w:val="21"/>
              </w:rPr>
              <w:t>B.方案描述清晰、措施得当，得2分；</w:t>
            </w:r>
          </w:p>
          <w:p>
            <w:pPr>
              <w:pStyle w:val="137"/>
              <w:rPr>
                <w:rFonts w:hAnsi="宋体"/>
                <w:szCs w:val="21"/>
              </w:rPr>
            </w:pPr>
            <w:r>
              <w:rPr>
                <w:rFonts w:hint="eastAsia" w:hAnsi="宋体"/>
                <w:szCs w:val="21"/>
              </w:rPr>
              <w:t>C.内容不全、有所欠缺，得1分;</w:t>
            </w:r>
          </w:p>
          <w:p>
            <w:pPr>
              <w:pStyle w:val="137"/>
            </w:pPr>
            <w:r>
              <w:rPr>
                <w:rFonts w:hint="eastAsia" w:hAnsi="宋体"/>
                <w:szCs w:val="21"/>
              </w:rPr>
              <w:t>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76" w:type="dxa"/>
            <w:vMerge w:val="continue"/>
            <w:vAlign w:val="center"/>
          </w:tcPr>
          <w:p>
            <w:pPr>
              <w:spacing w:line="360" w:lineRule="auto"/>
              <w:jc w:val="center"/>
              <w:rPr>
                <w:rFonts w:ascii="宋体" w:hAnsi="宋体" w:cs="仿宋"/>
                <w:sz w:val="24"/>
              </w:rPr>
            </w:pPr>
          </w:p>
        </w:tc>
        <w:tc>
          <w:tcPr>
            <w:tcW w:w="1902" w:type="dxa"/>
            <w:vMerge w:val="continue"/>
            <w:vAlign w:val="center"/>
          </w:tcPr>
          <w:p>
            <w:pPr>
              <w:spacing w:line="360" w:lineRule="auto"/>
              <w:jc w:val="center"/>
              <w:rPr>
                <w:rFonts w:ascii="宋体" w:hAnsi="宋体" w:cs="宋体"/>
                <w:sz w:val="24"/>
              </w:rPr>
            </w:pPr>
          </w:p>
        </w:tc>
        <w:tc>
          <w:tcPr>
            <w:tcW w:w="2593" w:type="dxa"/>
            <w:tcBorders>
              <w:top w:val="single" w:color="auto" w:sz="4" w:space="0"/>
              <w:left w:val="single" w:color="auto" w:sz="4" w:space="0"/>
            </w:tcBorders>
            <w:vAlign w:val="center"/>
          </w:tcPr>
          <w:p>
            <w:pPr>
              <w:pStyle w:val="137"/>
              <w:rPr>
                <w:rFonts w:hAnsi="宋体"/>
                <w:szCs w:val="21"/>
              </w:rPr>
            </w:pPr>
            <w:r>
              <w:rPr>
                <w:rFonts w:hint="eastAsia" w:hAnsi="宋体"/>
                <w:szCs w:val="21"/>
              </w:rPr>
              <w:t>投资控制目标及实施细则</w:t>
            </w:r>
          </w:p>
        </w:tc>
        <w:tc>
          <w:tcPr>
            <w:tcW w:w="3889" w:type="dxa"/>
            <w:tcBorders>
              <w:top w:val="single" w:color="auto" w:sz="4" w:space="0"/>
              <w:left w:val="single" w:color="auto" w:sz="4" w:space="0"/>
            </w:tcBorders>
            <w:vAlign w:val="center"/>
          </w:tcPr>
          <w:p>
            <w:pPr>
              <w:pStyle w:val="137"/>
              <w:rPr>
                <w:rFonts w:hAnsi="宋体"/>
                <w:szCs w:val="21"/>
              </w:rPr>
            </w:pPr>
            <w:r>
              <w:rPr>
                <w:rFonts w:hint="eastAsia" w:hAnsi="宋体"/>
                <w:szCs w:val="21"/>
              </w:rPr>
              <w:t>A.方案描述清晰、详细、措施健全、有针对性，得3分；</w:t>
            </w:r>
          </w:p>
          <w:p>
            <w:pPr>
              <w:pStyle w:val="137"/>
              <w:rPr>
                <w:rFonts w:hAnsi="宋体"/>
                <w:szCs w:val="21"/>
              </w:rPr>
            </w:pPr>
            <w:r>
              <w:rPr>
                <w:rFonts w:hint="eastAsia" w:hAnsi="宋体"/>
                <w:szCs w:val="21"/>
              </w:rPr>
              <w:t>B.方案描述清晰、措施得当，得2分；</w:t>
            </w:r>
          </w:p>
          <w:p>
            <w:pPr>
              <w:pStyle w:val="137"/>
              <w:rPr>
                <w:rFonts w:hAnsi="宋体"/>
                <w:szCs w:val="21"/>
              </w:rPr>
            </w:pPr>
            <w:r>
              <w:rPr>
                <w:rFonts w:hint="eastAsia" w:hAnsi="宋体"/>
                <w:szCs w:val="21"/>
              </w:rPr>
              <w:t>C.内容不全、有所欠缺，得1分;</w:t>
            </w:r>
          </w:p>
          <w:p>
            <w:pPr>
              <w:pStyle w:val="137"/>
            </w:pPr>
            <w:r>
              <w:rPr>
                <w:rFonts w:hint="eastAsia" w:hAnsi="宋体"/>
                <w:szCs w:val="21"/>
              </w:rPr>
              <w:t>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76" w:type="dxa"/>
            <w:vMerge w:val="continue"/>
            <w:vAlign w:val="center"/>
          </w:tcPr>
          <w:p>
            <w:pPr>
              <w:spacing w:line="360" w:lineRule="auto"/>
              <w:jc w:val="center"/>
              <w:rPr>
                <w:rFonts w:ascii="宋体" w:hAnsi="宋体" w:cs="仿宋"/>
                <w:sz w:val="24"/>
              </w:rPr>
            </w:pPr>
          </w:p>
        </w:tc>
        <w:tc>
          <w:tcPr>
            <w:tcW w:w="1902" w:type="dxa"/>
            <w:vMerge w:val="continue"/>
            <w:vAlign w:val="center"/>
          </w:tcPr>
          <w:p>
            <w:pPr>
              <w:spacing w:line="360" w:lineRule="auto"/>
              <w:jc w:val="center"/>
              <w:rPr>
                <w:rFonts w:ascii="宋体" w:hAnsi="宋体" w:cs="宋体"/>
                <w:sz w:val="24"/>
              </w:rPr>
            </w:pPr>
          </w:p>
        </w:tc>
        <w:tc>
          <w:tcPr>
            <w:tcW w:w="2593" w:type="dxa"/>
            <w:tcBorders>
              <w:top w:val="single" w:color="auto" w:sz="4" w:space="0"/>
              <w:left w:val="single" w:color="auto" w:sz="4" w:space="0"/>
            </w:tcBorders>
            <w:vAlign w:val="center"/>
          </w:tcPr>
          <w:p>
            <w:pPr>
              <w:pStyle w:val="137"/>
              <w:rPr>
                <w:rFonts w:hAnsi="宋体"/>
                <w:szCs w:val="21"/>
              </w:rPr>
            </w:pPr>
            <w:r>
              <w:rPr>
                <w:rFonts w:hint="eastAsia" w:hAnsi="宋体"/>
                <w:szCs w:val="21"/>
              </w:rPr>
              <w:t>动态成本监控实施</w:t>
            </w:r>
          </w:p>
        </w:tc>
        <w:tc>
          <w:tcPr>
            <w:tcW w:w="3889" w:type="dxa"/>
            <w:tcBorders>
              <w:top w:val="single" w:color="auto" w:sz="4" w:space="0"/>
              <w:left w:val="single" w:color="auto" w:sz="4" w:space="0"/>
            </w:tcBorders>
            <w:vAlign w:val="center"/>
          </w:tcPr>
          <w:p>
            <w:pPr>
              <w:pStyle w:val="137"/>
              <w:rPr>
                <w:rFonts w:hAnsi="宋体"/>
                <w:szCs w:val="21"/>
              </w:rPr>
            </w:pPr>
            <w:r>
              <w:rPr>
                <w:rFonts w:hint="eastAsia" w:hAnsi="宋体"/>
                <w:szCs w:val="21"/>
              </w:rPr>
              <w:t>A.方案描述清晰、详细、措施健全、有针对性，得3分；</w:t>
            </w:r>
          </w:p>
          <w:p>
            <w:pPr>
              <w:pStyle w:val="137"/>
              <w:rPr>
                <w:rFonts w:hAnsi="宋体"/>
                <w:szCs w:val="21"/>
              </w:rPr>
            </w:pPr>
            <w:r>
              <w:rPr>
                <w:rFonts w:hint="eastAsia" w:hAnsi="宋体"/>
                <w:szCs w:val="21"/>
              </w:rPr>
              <w:t>B.方案描述清晰、措施得当，得2分；</w:t>
            </w:r>
          </w:p>
          <w:p>
            <w:pPr>
              <w:pStyle w:val="137"/>
              <w:rPr>
                <w:rFonts w:hAnsi="宋体"/>
                <w:szCs w:val="21"/>
              </w:rPr>
            </w:pPr>
            <w:r>
              <w:rPr>
                <w:rFonts w:hint="eastAsia" w:hAnsi="宋体"/>
                <w:szCs w:val="21"/>
              </w:rPr>
              <w:t>C.内容不全、有所欠缺，得1分;</w:t>
            </w:r>
          </w:p>
          <w:p>
            <w:pPr>
              <w:pStyle w:val="137"/>
            </w:pPr>
            <w:r>
              <w:rPr>
                <w:rFonts w:hint="eastAsia" w:hAnsi="宋体"/>
                <w:szCs w:val="21"/>
              </w:rPr>
              <w:t>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76" w:type="dxa"/>
            <w:vMerge w:val="continue"/>
            <w:vAlign w:val="center"/>
          </w:tcPr>
          <w:p>
            <w:pPr>
              <w:spacing w:line="360" w:lineRule="auto"/>
              <w:jc w:val="center"/>
              <w:rPr>
                <w:rFonts w:ascii="宋体" w:hAnsi="宋体" w:cs="仿宋"/>
                <w:sz w:val="24"/>
              </w:rPr>
            </w:pPr>
          </w:p>
        </w:tc>
        <w:tc>
          <w:tcPr>
            <w:tcW w:w="1902" w:type="dxa"/>
            <w:vMerge w:val="continue"/>
            <w:vAlign w:val="center"/>
          </w:tcPr>
          <w:p>
            <w:pPr>
              <w:spacing w:line="360" w:lineRule="auto"/>
              <w:jc w:val="center"/>
              <w:rPr>
                <w:rFonts w:ascii="宋体" w:hAnsi="宋体" w:cs="宋体"/>
                <w:sz w:val="24"/>
              </w:rPr>
            </w:pPr>
          </w:p>
        </w:tc>
        <w:tc>
          <w:tcPr>
            <w:tcW w:w="2593" w:type="dxa"/>
            <w:tcBorders>
              <w:top w:val="single" w:color="auto" w:sz="4" w:space="0"/>
              <w:left w:val="single" w:color="auto" w:sz="4" w:space="0"/>
            </w:tcBorders>
            <w:vAlign w:val="center"/>
          </w:tcPr>
          <w:p>
            <w:pPr>
              <w:pStyle w:val="137"/>
              <w:rPr>
                <w:rFonts w:hAnsi="宋体"/>
                <w:szCs w:val="21"/>
              </w:rPr>
            </w:pPr>
            <w:r>
              <w:rPr>
                <w:rFonts w:hint="eastAsia" w:hAnsi="宋体"/>
                <w:szCs w:val="21"/>
              </w:rPr>
              <w:t>质量内部控制措施</w:t>
            </w:r>
          </w:p>
        </w:tc>
        <w:tc>
          <w:tcPr>
            <w:tcW w:w="3889" w:type="dxa"/>
            <w:tcBorders>
              <w:top w:val="single" w:color="auto" w:sz="4" w:space="0"/>
              <w:left w:val="single" w:color="auto" w:sz="4" w:space="0"/>
            </w:tcBorders>
            <w:vAlign w:val="center"/>
          </w:tcPr>
          <w:p>
            <w:pPr>
              <w:pStyle w:val="137"/>
              <w:rPr>
                <w:rFonts w:hAnsi="宋体"/>
                <w:szCs w:val="21"/>
              </w:rPr>
            </w:pPr>
            <w:r>
              <w:rPr>
                <w:rFonts w:hint="eastAsia" w:hAnsi="宋体"/>
                <w:szCs w:val="21"/>
              </w:rPr>
              <w:t>A.方案描述清晰、详细、措施健全、有针对性，得3分；</w:t>
            </w:r>
          </w:p>
          <w:p>
            <w:pPr>
              <w:pStyle w:val="137"/>
              <w:rPr>
                <w:rFonts w:hAnsi="宋体"/>
                <w:szCs w:val="21"/>
              </w:rPr>
            </w:pPr>
            <w:r>
              <w:rPr>
                <w:rFonts w:hint="eastAsia" w:hAnsi="宋体"/>
                <w:szCs w:val="21"/>
              </w:rPr>
              <w:t>B.方案描述清晰、措施得当，得2分；</w:t>
            </w:r>
          </w:p>
          <w:p>
            <w:pPr>
              <w:pStyle w:val="137"/>
              <w:rPr>
                <w:rFonts w:hAnsi="宋体"/>
                <w:szCs w:val="21"/>
              </w:rPr>
            </w:pPr>
            <w:r>
              <w:rPr>
                <w:rFonts w:hint="eastAsia" w:hAnsi="宋体"/>
                <w:szCs w:val="21"/>
              </w:rPr>
              <w:t>C.内容不全、有所欠缺，得1分;</w:t>
            </w:r>
          </w:p>
          <w:p>
            <w:pPr>
              <w:pStyle w:val="137"/>
            </w:pPr>
            <w:r>
              <w:rPr>
                <w:rFonts w:hint="eastAsia" w:hAnsi="宋体"/>
                <w:szCs w:val="21"/>
              </w:rPr>
              <w:t>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76" w:type="dxa"/>
            <w:vMerge w:val="continue"/>
            <w:vAlign w:val="center"/>
          </w:tcPr>
          <w:p>
            <w:pPr>
              <w:spacing w:line="360" w:lineRule="auto"/>
              <w:jc w:val="center"/>
              <w:rPr>
                <w:rFonts w:ascii="宋体" w:hAnsi="宋体" w:cs="仿宋"/>
                <w:sz w:val="24"/>
              </w:rPr>
            </w:pPr>
          </w:p>
        </w:tc>
        <w:tc>
          <w:tcPr>
            <w:tcW w:w="1902" w:type="dxa"/>
            <w:vMerge w:val="continue"/>
            <w:vAlign w:val="center"/>
          </w:tcPr>
          <w:p>
            <w:pPr>
              <w:spacing w:line="360" w:lineRule="auto"/>
              <w:jc w:val="center"/>
              <w:rPr>
                <w:rFonts w:ascii="宋体" w:hAnsi="宋体" w:cs="宋体"/>
                <w:sz w:val="24"/>
              </w:rPr>
            </w:pPr>
          </w:p>
        </w:tc>
        <w:tc>
          <w:tcPr>
            <w:tcW w:w="2593" w:type="dxa"/>
            <w:tcBorders>
              <w:top w:val="single" w:color="auto" w:sz="4" w:space="0"/>
              <w:left w:val="single" w:color="auto" w:sz="4" w:space="0"/>
            </w:tcBorders>
            <w:vAlign w:val="center"/>
          </w:tcPr>
          <w:p>
            <w:pPr>
              <w:pStyle w:val="137"/>
              <w:rPr>
                <w:rFonts w:hAnsi="宋体"/>
                <w:szCs w:val="21"/>
              </w:rPr>
            </w:pPr>
            <w:r>
              <w:rPr>
                <w:rFonts w:hint="eastAsia" w:hAnsi="宋体"/>
                <w:szCs w:val="21"/>
              </w:rPr>
              <w:t>全过程造价咨询质量、进度、造价控制的保证措施</w:t>
            </w:r>
          </w:p>
        </w:tc>
        <w:tc>
          <w:tcPr>
            <w:tcW w:w="3889" w:type="dxa"/>
            <w:tcBorders>
              <w:top w:val="single" w:color="auto" w:sz="4" w:space="0"/>
              <w:left w:val="single" w:color="auto" w:sz="4" w:space="0"/>
            </w:tcBorders>
            <w:vAlign w:val="center"/>
          </w:tcPr>
          <w:p>
            <w:pPr>
              <w:pStyle w:val="137"/>
              <w:rPr>
                <w:rFonts w:hAnsi="宋体"/>
                <w:szCs w:val="21"/>
              </w:rPr>
            </w:pPr>
            <w:r>
              <w:rPr>
                <w:rFonts w:hint="eastAsia" w:hAnsi="宋体"/>
                <w:szCs w:val="21"/>
              </w:rPr>
              <w:t>A.方案描述清晰、详细、措施健全、有针对性，得3分；</w:t>
            </w:r>
          </w:p>
          <w:p>
            <w:pPr>
              <w:pStyle w:val="137"/>
              <w:rPr>
                <w:rFonts w:hAnsi="宋体"/>
                <w:szCs w:val="21"/>
              </w:rPr>
            </w:pPr>
            <w:r>
              <w:rPr>
                <w:rFonts w:hint="eastAsia" w:hAnsi="宋体"/>
                <w:szCs w:val="21"/>
              </w:rPr>
              <w:t>B.方案描述清晰、措施得当，得2分；</w:t>
            </w:r>
          </w:p>
          <w:p>
            <w:pPr>
              <w:pStyle w:val="137"/>
              <w:rPr>
                <w:rFonts w:hAnsi="宋体"/>
                <w:szCs w:val="21"/>
              </w:rPr>
            </w:pPr>
            <w:r>
              <w:rPr>
                <w:rFonts w:hint="eastAsia" w:hAnsi="宋体"/>
                <w:szCs w:val="21"/>
              </w:rPr>
              <w:t>C.内容不全、有所欠缺，得1分;</w:t>
            </w:r>
          </w:p>
          <w:p>
            <w:pPr>
              <w:pStyle w:val="137"/>
            </w:pPr>
            <w:r>
              <w:rPr>
                <w:rFonts w:hint="eastAsia" w:hAnsi="宋体"/>
                <w:szCs w:val="21"/>
              </w:rPr>
              <w:t>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6" w:type="dxa"/>
            <w:vMerge w:val="continue"/>
            <w:vAlign w:val="center"/>
          </w:tcPr>
          <w:p>
            <w:pPr>
              <w:spacing w:line="360" w:lineRule="auto"/>
              <w:jc w:val="center"/>
              <w:rPr>
                <w:rFonts w:ascii="宋体" w:hAnsi="宋体" w:cs="仿宋"/>
                <w:sz w:val="24"/>
              </w:rPr>
            </w:pPr>
          </w:p>
        </w:tc>
        <w:tc>
          <w:tcPr>
            <w:tcW w:w="1902" w:type="dxa"/>
            <w:vMerge w:val="continue"/>
            <w:vAlign w:val="center"/>
          </w:tcPr>
          <w:p>
            <w:pPr>
              <w:spacing w:line="360" w:lineRule="auto"/>
              <w:jc w:val="center"/>
              <w:rPr>
                <w:rFonts w:ascii="宋体" w:hAnsi="宋体" w:cs="宋体"/>
                <w:sz w:val="24"/>
              </w:rPr>
            </w:pPr>
          </w:p>
        </w:tc>
        <w:tc>
          <w:tcPr>
            <w:tcW w:w="2593" w:type="dxa"/>
            <w:tcBorders>
              <w:top w:val="single" w:color="auto" w:sz="4" w:space="0"/>
              <w:left w:val="single" w:color="auto" w:sz="4" w:space="0"/>
            </w:tcBorders>
            <w:vAlign w:val="center"/>
          </w:tcPr>
          <w:p>
            <w:pPr>
              <w:pStyle w:val="137"/>
              <w:rPr>
                <w:rFonts w:hAnsi="宋体"/>
                <w:szCs w:val="21"/>
              </w:rPr>
            </w:pPr>
            <w:r>
              <w:rPr>
                <w:rFonts w:hint="eastAsia" w:hAnsi="宋体"/>
                <w:szCs w:val="21"/>
              </w:rPr>
              <w:t>与建设单位、被审核方进行沟通、协调的方法及措施</w:t>
            </w:r>
          </w:p>
        </w:tc>
        <w:tc>
          <w:tcPr>
            <w:tcW w:w="3889" w:type="dxa"/>
            <w:tcBorders>
              <w:top w:val="single" w:color="auto" w:sz="4" w:space="0"/>
              <w:left w:val="single" w:color="auto" w:sz="4" w:space="0"/>
            </w:tcBorders>
            <w:vAlign w:val="center"/>
          </w:tcPr>
          <w:p>
            <w:pPr>
              <w:pStyle w:val="137"/>
              <w:rPr>
                <w:rFonts w:hAnsi="宋体"/>
                <w:szCs w:val="21"/>
              </w:rPr>
            </w:pPr>
            <w:r>
              <w:rPr>
                <w:rFonts w:hint="eastAsia" w:hAnsi="宋体"/>
                <w:szCs w:val="21"/>
              </w:rPr>
              <w:t>A.方案描述清晰、详细、措施健全、有针对性，得3分；</w:t>
            </w:r>
          </w:p>
          <w:p>
            <w:pPr>
              <w:pStyle w:val="137"/>
              <w:rPr>
                <w:rFonts w:hAnsi="宋体"/>
                <w:szCs w:val="21"/>
              </w:rPr>
            </w:pPr>
            <w:r>
              <w:rPr>
                <w:rFonts w:hint="eastAsia" w:hAnsi="宋体"/>
                <w:szCs w:val="21"/>
              </w:rPr>
              <w:t>B.方案描述清晰、措施得当，得2分；</w:t>
            </w:r>
          </w:p>
          <w:p>
            <w:pPr>
              <w:pStyle w:val="137"/>
              <w:rPr>
                <w:rFonts w:hAnsi="宋体"/>
                <w:szCs w:val="21"/>
              </w:rPr>
            </w:pPr>
            <w:r>
              <w:rPr>
                <w:rFonts w:hint="eastAsia" w:hAnsi="宋体"/>
                <w:szCs w:val="21"/>
              </w:rPr>
              <w:t>C.内容不全、有所欠缺，得1分;</w:t>
            </w:r>
          </w:p>
          <w:p>
            <w:pPr>
              <w:pStyle w:val="137"/>
            </w:pPr>
            <w:r>
              <w:rPr>
                <w:rFonts w:hint="eastAsia" w:hAnsi="宋体"/>
                <w:szCs w:val="21"/>
              </w:rPr>
              <w:t>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trPr>
        <w:tc>
          <w:tcPr>
            <w:tcW w:w="776" w:type="dxa"/>
            <w:vMerge w:val="continue"/>
            <w:vAlign w:val="center"/>
          </w:tcPr>
          <w:p>
            <w:pPr>
              <w:spacing w:line="360" w:lineRule="auto"/>
              <w:jc w:val="center"/>
              <w:rPr>
                <w:rFonts w:ascii="宋体" w:hAnsi="宋体" w:cs="仿宋"/>
                <w:sz w:val="24"/>
              </w:rPr>
            </w:pPr>
          </w:p>
        </w:tc>
        <w:tc>
          <w:tcPr>
            <w:tcW w:w="1902" w:type="dxa"/>
            <w:vAlign w:val="center"/>
          </w:tcPr>
          <w:p>
            <w:pPr>
              <w:spacing w:line="360" w:lineRule="auto"/>
              <w:jc w:val="center"/>
              <w:rPr>
                <w:rFonts w:ascii="宋体" w:hAnsi="宋体" w:cs="宋体"/>
                <w:sz w:val="24"/>
              </w:rPr>
            </w:pPr>
            <w:r>
              <w:rPr>
                <w:rFonts w:hint="eastAsia" w:ascii="宋体" w:hAnsi="宋体" w:cs="宋体"/>
                <w:sz w:val="24"/>
              </w:rPr>
              <w:t>工程造价咨询人员岗位职责、职业道德、行为守则、工作制度</w:t>
            </w:r>
          </w:p>
          <w:p>
            <w:pPr>
              <w:spacing w:line="360" w:lineRule="auto"/>
              <w:jc w:val="center"/>
              <w:rPr>
                <w:rFonts w:ascii="宋体" w:hAnsi="宋体" w:cs="宋体"/>
                <w:sz w:val="24"/>
              </w:rPr>
            </w:pPr>
            <w:r>
              <w:rPr>
                <w:rFonts w:hint="eastAsia" w:ascii="宋体" w:hAnsi="宋体" w:cs="宋体"/>
                <w:sz w:val="24"/>
              </w:rPr>
              <w:t>5分</w:t>
            </w:r>
          </w:p>
        </w:tc>
        <w:tc>
          <w:tcPr>
            <w:tcW w:w="6482" w:type="dxa"/>
            <w:gridSpan w:val="2"/>
            <w:tcBorders>
              <w:top w:val="single" w:color="auto" w:sz="4" w:space="0"/>
              <w:left w:val="single" w:color="auto" w:sz="4" w:space="0"/>
            </w:tcBorders>
            <w:vAlign w:val="center"/>
          </w:tcPr>
          <w:p>
            <w:pPr>
              <w:pStyle w:val="137"/>
              <w:rPr>
                <w:rFonts w:hAnsi="宋体"/>
                <w:szCs w:val="21"/>
              </w:rPr>
            </w:pPr>
            <w:r>
              <w:rPr>
                <w:rFonts w:hint="eastAsia" w:hAnsi="宋体"/>
                <w:szCs w:val="21"/>
              </w:rPr>
              <w:t>由磋商小组根据响应人提供的工程造价咨询人员岗位职责、职业道德、行为守则、工作制度进行评审：</w:t>
            </w:r>
          </w:p>
          <w:p>
            <w:pPr>
              <w:pStyle w:val="137"/>
              <w:rPr>
                <w:rFonts w:hAnsi="宋体"/>
                <w:szCs w:val="21"/>
              </w:rPr>
            </w:pPr>
            <w:r>
              <w:rPr>
                <w:rFonts w:hint="eastAsia" w:hAnsi="宋体"/>
                <w:szCs w:val="21"/>
              </w:rPr>
              <w:t>A.岗位职责明确、职业道德规范、行为守则及工作制度健全，得5分；</w:t>
            </w:r>
          </w:p>
          <w:p>
            <w:pPr>
              <w:pStyle w:val="137"/>
              <w:rPr>
                <w:rFonts w:hAnsi="宋体"/>
                <w:szCs w:val="21"/>
              </w:rPr>
            </w:pPr>
            <w:r>
              <w:rPr>
                <w:rFonts w:hint="eastAsia" w:hAnsi="宋体"/>
                <w:szCs w:val="21"/>
              </w:rPr>
              <w:t>B.岗位职责明确、职业道德规范、有行为守则及工作制度，得3分；</w:t>
            </w:r>
          </w:p>
          <w:p>
            <w:pPr>
              <w:pStyle w:val="137"/>
              <w:rPr>
                <w:rFonts w:hAnsi="宋体"/>
                <w:szCs w:val="21"/>
              </w:rPr>
            </w:pPr>
            <w:r>
              <w:rPr>
                <w:rFonts w:hint="eastAsia" w:hAnsi="宋体"/>
                <w:szCs w:val="21"/>
              </w:rPr>
              <w:t>C.内容不全、有所欠缺，得1分；</w:t>
            </w:r>
          </w:p>
          <w:p>
            <w:pPr>
              <w:pStyle w:val="137"/>
              <w:rPr>
                <w:rFonts w:hAnsi="宋体"/>
                <w:szCs w:val="21"/>
              </w:rPr>
            </w:pPr>
            <w:r>
              <w:rPr>
                <w:rFonts w:hint="eastAsia" w:hAnsi="宋体"/>
                <w:szCs w:val="21"/>
              </w:rPr>
              <w:t>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776" w:type="dxa"/>
            <w:vMerge w:val="continue"/>
            <w:vAlign w:val="center"/>
          </w:tcPr>
          <w:p>
            <w:pPr>
              <w:spacing w:line="360" w:lineRule="auto"/>
              <w:jc w:val="center"/>
              <w:rPr>
                <w:rFonts w:ascii="宋体" w:hAnsi="宋体" w:cs="仿宋"/>
                <w:sz w:val="24"/>
              </w:rPr>
            </w:pPr>
          </w:p>
        </w:tc>
        <w:tc>
          <w:tcPr>
            <w:tcW w:w="1902" w:type="dxa"/>
            <w:vAlign w:val="center"/>
          </w:tcPr>
          <w:p>
            <w:pPr>
              <w:spacing w:line="360" w:lineRule="auto"/>
              <w:jc w:val="center"/>
              <w:rPr>
                <w:rFonts w:ascii="宋体" w:hAnsi="宋体" w:cs="宋体"/>
                <w:sz w:val="24"/>
              </w:rPr>
            </w:pPr>
            <w:r>
              <w:rPr>
                <w:rFonts w:hint="eastAsia" w:ascii="宋体" w:hAnsi="宋体" w:cs="宋体"/>
                <w:sz w:val="24"/>
              </w:rPr>
              <w:t>驻场方案</w:t>
            </w:r>
          </w:p>
          <w:p>
            <w:pPr>
              <w:spacing w:line="360" w:lineRule="auto"/>
              <w:jc w:val="center"/>
              <w:rPr>
                <w:rFonts w:ascii="宋体" w:hAnsi="宋体" w:cs="宋体"/>
                <w:sz w:val="24"/>
              </w:rPr>
            </w:pPr>
            <w:r>
              <w:rPr>
                <w:rFonts w:hint="eastAsia" w:ascii="宋体" w:hAnsi="宋体" w:cs="宋体"/>
                <w:sz w:val="24"/>
              </w:rPr>
              <w:t>5分</w:t>
            </w:r>
          </w:p>
        </w:tc>
        <w:tc>
          <w:tcPr>
            <w:tcW w:w="6482" w:type="dxa"/>
            <w:gridSpan w:val="2"/>
            <w:tcBorders>
              <w:top w:val="single" w:color="auto" w:sz="4" w:space="0"/>
              <w:left w:val="single" w:color="auto" w:sz="4" w:space="0"/>
            </w:tcBorders>
            <w:vAlign w:val="center"/>
          </w:tcPr>
          <w:p>
            <w:pPr>
              <w:pStyle w:val="137"/>
              <w:rPr>
                <w:rFonts w:hAnsi="宋体"/>
                <w:szCs w:val="21"/>
              </w:rPr>
            </w:pPr>
            <w:r>
              <w:rPr>
                <w:rFonts w:hint="eastAsia" w:hAnsi="宋体"/>
                <w:szCs w:val="21"/>
              </w:rPr>
              <w:t>项目部管理机构各专业人员配备齐全、合理，数量满足要求,驻场人员及驻场时间满足要求、能保证按时完成任务，得5分；项目部管理机构各专业人员配备合理、驻</w:t>
            </w:r>
            <w:bookmarkStart w:id="220" w:name="_GoBack"/>
            <w:bookmarkEnd w:id="220"/>
            <w:r>
              <w:rPr>
                <w:rFonts w:hint="eastAsia" w:hAnsi="宋体"/>
                <w:szCs w:val="21"/>
              </w:rPr>
              <w:t>场人员及驻场时间满足要求、能保证按时完成任务，得3分；项目部人员配备基本满足需求，得1分，无此项内容不得分。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776" w:type="dxa"/>
            <w:vMerge w:val="continue"/>
            <w:vAlign w:val="center"/>
          </w:tcPr>
          <w:p>
            <w:pPr>
              <w:spacing w:line="360" w:lineRule="auto"/>
              <w:jc w:val="center"/>
              <w:rPr>
                <w:rFonts w:ascii="宋体" w:hAnsi="宋体" w:cs="仿宋"/>
                <w:sz w:val="24"/>
              </w:rPr>
            </w:pPr>
          </w:p>
        </w:tc>
        <w:tc>
          <w:tcPr>
            <w:tcW w:w="1902" w:type="dxa"/>
            <w:vAlign w:val="center"/>
          </w:tcPr>
          <w:p>
            <w:pPr>
              <w:spacing w:line="360" w:lineRule="auto"/>
              <w:jc w:val="center"/>
              <w:rPr>
                <w:rFonts w:ascii="宋体" w:hAnsi="宋体" w:cs="宋体"/>
                <w:sz w:val="24"/>
              </w:rPr>
            </w:pPr>
            <w:r>
              <w:rPr>
                <w:rFonts w:hint="eastAsia" w:ascii="宋体" w:hAnsi="宋体" w:cs="宋体"/>
                <w:sz w:val="24"/>
              </w:rPr>
              <w:t>承诺及保障措施</w:t>
            </w:r>
          </w:p>
          <w:p>
            <w:pPr>
              <w:spacing w:line="360" w:lineRule="auto"/>
              <w:jc w:val="center"/>
              <w:rPr>
                <w:rFonts w:ascii="宋体" w:hAnsi="宋体" w:cs="宋体"/>
                <w:sz w:val="24"/>
              </w:rPr>
            </w:pPr>
            <w:r>
              <w:rPr>
                <w:rFonts w:hint="eastAsia" w:ascii="宋体" w:hAnsi="宋体" w:cs="宋体"/>
                <w:sz w:val="24"/>
              </w:rPr>
              <w:t>5分</w:t>
            </w:r>
          </w:p>
        </w:tc>
        <w:tc>
          <w:tcPr>
            <w:tcW w:w="6482" w:type="dxa"/>
            <w:gridSpan w:val="2"/>
            <w:tcBorders>
              <w:top w:val="single" w:color="auto" w:sz="4" w:space="0"/>
              <w:left w:val="single" w:color="auto" w:sz="4" w:space="0"/>
            </w:tcBorders>
            <w:vAlign w:val="center"/>
          </w:tcPr>
          <w:p>
            <w:pPr>
              <w:pStyle w:val="137"/>
              <w:rPr>
                <w:rFonts w:hAnsi="宋体"/>
                <w:szCs w:val="21"/>
              </w:rPr>
            </w:pPr>
            <w:r>
              <w:rPr>
                <w:rFonts w:hint="eastAsia" w:hAnsi="宋体"/>
                <w:szCs w:val="21"/>
              </w:rPr>
              <w:t>根据响应人的服务承诺及保障措施进行综合评估，服务承诺和保障措施完善全面得5分，服务承诺和保障措施单一不全面得3分，无此项内容不得分。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76" w:type="dxa"/>
            <w:vMerge w:val="continue"/>
            <w:vAlign w:val="center"/>
          </w:tcPr>
          <w:p>
            <w:pPr>
              <w:spacing w:line="360" w:lineRule="auto"/>
              <w:jc w:val="center"/>
              <w:rPr>
                <w:rFonts w:ascii="宋体" w:hAnsi="宋体" w:cs="仿宋"/>
                <w:sz w:val="24"/>
              </w:rPr>
            </w:pPr>
          </w:p>
        </w:tc>
        <w:tc>
          <w:tcPr>
            <w:tcW w:w="1902" w:type="dxa"/>
            <w:vAlign w:val="center"/>
          </w:tcPr>
          <w:p>
            <w:pPr>
              <w:spacing w:line="360" w:lineRule="auto"/>
              <w:jc w:val="center"/>
              <w:rPr>
                <w:rFonts w:ascii="宋体" w:hAnsi="宋体" w:cs="宋体"/>
                <w:sz w:val="24"/>
              </w:rPr>
            </w:pPr>
            <w:r>
              <w:rPr>
                <w:rFonts w:hint="eastAsia" w:ascii="宋体" w:hAnsi="宋体" w:cs="宋体"/>
                <w:sz w:val="24"/>
              </w:rPr>
              <w:t>企业能力</w:t>
            </w:r>
          </w:p>
          <w:p>
            <w:pPr>
              <w:spacing w:line="360" w:lineRule="auto"/>
              <w:jc w:val="center"/>
              <w:rPr>
                <w:rFonts w:ascii="宋体" w:hAnsi="宋体" w:cs="宋体"/>
                <w:sz w:val="24"/>
              </w:rPr>
            </w:pPr>
            <w:r>
              <w:rPr>
                <w:rFonts w:hint="eastAsia" w:ascii="宋体" w:hAnsi="宋体" w:cs="宋体"/>
                <w:sz w:val="24"/>
              </w:rPr>
              <w:t>3分</w:t>
            </w:r>
          </w:p>
        </w:tc>
        <w:tc>
          <w:tcPr>
            <w:tcW w:w="6482" w:type="dxa"/>
            <w:gridSpan w:val="2"/>
            <w:tcBorders>
              <w:top w:val="single" w:color="auto" w:sz="4" w:space="0"/>
              <w:left w:val="single" w:color="auto" w:sz="4" w:space="0"/>
            </w:tcBorders>
            <w:vAlign w:val="center"/>
          </w:tcPr>
          <w:p>
            <w:pPr>
              <w:pStyle w:val="137"/>
              <w:rPr>
                <w:rFonts w:hint="eastAsia" w:hAnsi="宋体"/>
                <w:szCs w:val="21"/>
              </w:rPr>
            </w:pPr>
            <w:r>
              <w:rPr>
                <w:rFonts w:hint="eastAsia" w:hAnsi="宋体"/>
                <w:szCs w:val="21"/>
              </w:rPr>
              <w:t>响应人企业市场信誉较高、企业管理、组织、技术等措施健全得3分，否则不得分。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776" w:type="dxa"/>
            <w:vMerge w:val="restart"/>
            <w:vAlign w:val="center"/>
          </w:tcPr>
          <w:p>
            <w:pPr>
              <w:spacing w:line="360" w:lineRule="auto"/>
              <w:jc w:val="center"/>
              <w:rPr>
                <w:rFonts w:ascii="宋体" w:hAnsi="宋体" w:cs="仿宋"/>
                <w:sz w:val="24"/>
              </w:rPr>
            </w:pPr>
            <w:r>
              <w:rPr>
                <w:rFonts w:hint="eastAsia" w:ascii="宋体" w:hAnsi="宋体" w:cs="仿宋"/>
                <w:sz w:val="24"/>
              </w:rPr>
              <w:t>商务</w:t>
            </w:r>
          </w:p>
          <w:p>
            <w:pPr>
              <w:spacing w:line="360" w:lineRule="auto"/>
              <w:jc w:val="center"/>
              <w:rPr>
                <w:rFonts w:ascii="宋体" w:hAnsi="宋体" w:cs="仿宋"/>
                <w:sz w:val="24"/>
              </w:rPr>
            </w:pPr>
            <w:r>
              <w:rPr>
                <w:rFonts w:hint="eastAsia" w:ascii="宋体" w:hAnsi="宋体" w:cs="仿宋"/>
                <w:sz w:val="24"/>
              </w:rPr>
              <w:t>部分</w:t>
            </w:r>
          </w:p>
          <w:p>
            <w:pPr>
              <w:spacing w:line="360" w:lineRule="auto"/>
              <w:jc w:val="center"/>
              <w:rPr>
                <w:rFonts w:ascii="宋体" w:hAnsi="宋体" w:cs="仿宋"/>
                <w:sz w:val="24"/>
              </w:rPr>
            </w:pPr>
            <w:r>
              <w:rPr>
                <w:rFonts w:hint="eastAsia" w:ascii="宋体" w:hAnsi="宋体" w:cs="仿宋"/>
                <w:sz w:val="24"/>
              </w:rPr>
              <w:t>37分</w:t>
            </w:r>
          </w:p>
        </w:tc>
        <w:tc>
          <w:tcPr>
            <w:tcW w:w="1902" w:type="dxa"/>
            <w:vAlign w:val="center"/>
          </w:tcPr>
          <w:p>
            <w:pPr>
              <w:spacing w:line="360" w:lineRule="auto"/>
              <w:jc w:val="center"/>
              <w:rPr>
                <w:rFonts w:ascii="宋体" w:hAnsi="宋体" w:cs="宋体"/>
                <w:sz w:val="24"/>
              </w:rPr>
            </w:pPr>
            <w:r>
              <w:rPr>
                <w:rFonts w:hint="eastAsia" w:ascii="宋体" w:hAnsi="宋体" w:cs="宋体"/>
                <w:sz w:val="24"/>
              </w:rPr>
              <w:t>同类项目业绩</w:t>
            </w:r>
          </w:p>
          <w:p>
            <w:pPr>
              <w:spacing w:line="360" w:lineRule="auto"/>
              <w:jc w:val="center"/>
              <w:rPr>
                <w:rFonts w:ascii="宋体" w:hAnsi="宋体" w:cs="宋体"/>
                <w:sz w:val="24"/>
              </w:rPr>
            </w:pPr>
            <w:r>
              <w:rPr>
                <w:rFonts w:hint="eastAsia" w:ascii="宋体" w:hAnsi="宋体" w:cs="宋体"/>
                <w:sz w:val="24"/>
              </w:rPr>
              <w:t>10分</w:t>
            </w:r>
          </w:p>
        </w:tc>
        <w:tc>
          <w:tcPr>
            <w:tcW w:w="6482" w:type="dxa"/>
            <w:gridSpan w:val="2"/>
            <w:vAlign w:val="center"/>
          </w:tcPr>
          <w:p>
            <w:pPr>
              <w:pStyle w:val="137"/>
              <w:jc w:val="both"/>
              <w:rPr>
                <w:rFonts w:hint="eastAsia" w:ascii="宋体" w:hAnsi="宋体" w:cs="宋体"/>
                <w:sz w:val="24"/>
                <w:szCs w:val="21"/>
              </w:rPr>
            </w:pPr>
            <w:r>
              <w:rPr>
                <w:rFonts w:hint="eastAsia" w:ascii="宋体" w:hAnsi="宋体" w:cs="宋体"/>
                <w:sz w:val="24"/>
                <w:szCs w:val="21"/>
              </w:rPr>
              <w:t>响应人自2019年</w:t>
            </w:r>
            <w:r>
              <w:rPr>
                <w:rFonts w:hint="eastAsia" w:ascii="宋体" w:hAnsi="宋体" w:cs="宋体"/>
                <w:sz w:val="24"/>
                <w:szCs w:val="21"/>
                <w:lang w:val="en-US" w:eastAsia="zh-CN"/>
              </w:rPr>
              <w:t>7</w:t>
            </w:r>
            <w:r>
              <w:rPr>
                <w:rFonts w:hint="eastAsia" w:ascii="宋体" w:hAnsi="宋体" w:cs="宋体"/>
                <w:sz w:val="24"/>
                <w:szCs w:val="21"/>
              </w:rPr>
              <w:t>月1日至今已完成的同类项目（</w:t>
            </w:r>
            <w:r>
              <w:rPr>
                <w:rFonts w:hint="eastAsia" w:ascii="宋体" w:hAnsi="宋体"/>
                <w:szCs w:val="21"/>
              </w:rPr>
              <w:t>单个项目</w:t>
            </w:r>
            <w:r>
              <w:rPr>
                <w:rFonts w:hint="eastAsia" w:ascii="宋体" w:hAnsi="宋体"/>
                <w:szCs w:val="21"/>
                <w:lang w:val="en-US" w:eastAsia="zh-CN"/>
              </w:rPr>
              <w:t>1</w:t>
            </w:r>
            <w:r>
              <w:rPr>
                <w:rFonts w:hint="eastAsia" w:ascii="宋体" w:hAnsi="宋体"/>
                <w:szCs w:val="21"/>
              </w:rPr>
              <w:t>0万以上造价咨询</w:t>
            </w:r>
            <w:r>
              <w:rPr>
                <w:rFonts w:hint="eastAsia" w:ascii="宋体" w:hAnsi="宋体"/>
                <w:szCs w:val="21"/>
                <w:lang w:eastAsia="zh-CN"/>
              </w:rPr>
              <w:t>服务费</w:t>
            </w:r>
            <w:r>
              <w:rPr>
                <w:rFonts w:hint="eastAsia" w:ascii="宋体" w:hAnsi="宋体"/>
                <w:szCs w:val="21"/>
              </w:rPr>
              <w:t>业绩</w:t>
            </w:r>
            <w:r>
              <w:rPr>
                <w:rFonts w:hint="eastAsia" w:ascii="宋体" w:hAnsi="宋体" w:cs="宋体"/>
                <w:sz w:val="24"/>
                <w:szCs w:val="21"/>
              </w:rPr>
              <w:t>），每项得</w:t>
            </w:r>
            <w:r>
              <w:rPr>
                <w:rFonts w:hint="eastAsia" w:hAnsi="宋体" w:cs="宋体"/>
                <w:sz w:val="24"/>
                <w:szCs w:val="21"/>
                <w:lang w:eastAsia="zh-CN"/>
              </w:rPr>
              <w:t>2</w:t>
            </w:r>
            <w:r>
              <w:rPr>
                <w:rFonts w:hint="eastAsia" w:ascii="宋体" w:hAnsi="宋体" w:cs="宋体"/>
                <w:sz w:val="24"/>
                <w:szCs w:val="21"/>
              </w:rPr>
              <w:t>分，满分10分。</w:t>
            </w:r>
          </w:p>
          <w:p>
            <w:pPr>
              <w:pStyle w:val="137"/>
              <w:jc w:val="both"/>
              <w:rPr>
                <w:rFonts w:hint="eastAsia" w:ascii="宋体" w:hAnsi="宋体" w:cs="宋体"/>
                <w:sz w:val="24"/>
                <w:szCs w:val="21"/>
              </w:rPr>
            </w:pPr>
            <w:r>
              <w:rPr>
                <w:rFonts w:hint="eastAsia" w:ascii="宋体" w:hAnsi="宋体" w:cs="宋体"/>
                <w:b w:val="0"/>
                <w:bCs w:val="0"/>
                <w:sz w:val="24"/>
                <w:szCs w:val="21"/>
              </w:rPr>
              <w:t>注：响应人须提供合同复印件，</w:t>
            </w:r>
            <w:ins w:id="0" w:author="Administrator" w:date="2022-08-01T14:16:26Z">
              <w:r>
                <w:rPr>
                  <w:rFonts w:hint="eastAsia" w:hAnsi="宋体" w:cs="宋体"/>
                  <w:b w:val="0"/>
                  <w:bCs w:val="0"/>
                  <w:sz w:val="24"/>
                  <w:szCs w:val="21"/>
                  <w:lang w:val="en-US" w:eastAsia="zh-CN"/>
                </w:rPr>
                <w:t xml:space="preserve"> </w:t>
              </w:r>
            </w:ins>
            <w:r>
              <w:rPr>
                <w:rFonts w:hint="eastAsia" w:ascii="宋体" w:hAnsi="宋体" w:cs="宋体"/>
                <w:b w:val="0"/>
                <w:bCs w:val="0"/>
                <w:sz w:val="24"/>
                <w:szCs w:val="21"/>
              </w:rPr>
              <w:t>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6" w:type="dxa"/>
            <w:vMerge w:val="continue"/>
            <w:vAlign w:val="center"/>
          </w:tcPr>
          <w:p>
            <w:pPr>
              <w:spacing w:line="360" w:lineRule="auto"/>
              <w:jc w:val="center"/>
              <w:rPr>
                <w:rFonts w:ascii="宋体" w:hAnsi="宋体" w:cs="仿宋"/>
                <w:sz w:val="24"/>
              </w:rPr>
            </w:pPr>
          </w:p>
        </w:tc>
        <w:tc>
          <w:tcPr>
            <w:tcW w:w="1902" w:type="dxa"/>
            <w:vAlign w:val="center"/>
          </w:tcPr>
          <w:p>
            <w:pPr>
              <w:spacing w:line="360" w:lineRule="auto"/>
              <w:jc w:val="center"/>
              <w:rPr>
                <w:rFonts w:ascii="宋体" w:hAnsi="宋体" w:cs="仿宋"/>
                <w:sz w:val="24"/>
              </w:rPr>
            </w:pPr>
            <w:r>
              <w:rPr>
                <w:rFonts w:hint="eastAsia" w:ascii="宋体" w:hAnsi="宋体" w:cs="仿宋"/>
                <w:sz w:val="24"/>
              </w:rPr>
              <w:t>综合实力</w:t>
            </w:r>
          </w:p>
          <w:p>
            <w:pPr>
              <w:spacing w:line="360" w:lineRule="auto"/>
              <w:jc w:val="center"/>
              <w:rPr>
                <w:rFonts w:ascii="宋体" w:hAnsi="宋体" w:cs="宋体"/>
                <w:sz w:val="24"/>
              </w:rPr>
            </w:pPr>
            <w:r>
              <w:rPr>
                <w:rFonts w:hint="eastAsia" w:ascii="宋体" w:hAnsi="宋体" w:cs="仿宋"/>
                <w:sz w:val="24"/>
              </w:rPr>
              <w:t>14分</w:t>
            </w:r>
          </w:p>
        </w:tc>
        <w:tc>
          <w:tcPr>
            <w:tcW w:w="6482" w:type="dxa"/>
            <w:gridSpan w:val="2"/>
          </w:tcPr>
          <w:p>
            <w:pPr>
              <w:spacing w:line="360" w:lineRule="auto"/>
              <w:rPr>
                <w:rFonts w:ascii="宋体" w:hAnsi="宋体" w:cs="宋体"/>
                <w:sz w:val="24"/>
              </w:rPr>
            </w:pPr>
            <w:r>
              <w:rPr>
                <w:rFonts w:hint="eastAsia" w:ascii="宋体" w:hAnsi="宋体" w:cs="宋体"/>
                <w:sz w:val="24"/>
              </w:rPr>
              <w:t>1、响应人具备工程造价咨询企业3A信用等级得6分，具备工程造价咨询企业2A信用等级得3分，否则不得分。</w:t>
            </w:r>
          </w:p>
          <w:p>
            <w:pPr>
              <w:spacing w:line="360" w:lineRule="auto"/>
              <w:rPr>
                <w:rFonts w:ascii="宋体" w:hAnsi="宋体" w:cs="宋体"/>
                <w:b/>
                <w:bCs/>
                <w:sz w:val="24"/>
              </w:rPr>
            </w:pPr>
            <w:r>
              <w:rPr>
                <w:rFonts w:hint="eastAsia" w:ascii="宋体" w:hAnsi="宋体" w:cs="宋体"/>
                <w:b/>
                <w:bCs/>
                <w:sz w:val="24"/>
              </w:rPr>
              <w:t>注：响应文件附证书复印件加盖公章，否则不得分</w:t>
            </w:r>
          </w:p>
          <w:p>
            <w:pPr>
              <w:spacing w:line="360" w:lineRule="auto"/>
              <w:rPr>
                <w:rFonts w:ascii="宋体" w:hAnsi="宋体" w:cs="宋体"/>
                <w:sz w:val="24"/>
              </w:rPr>
            </w:pPr>
            <w:r>
              <w:rPr>
                <w:rFonts w:hint="eastAsia" w:ascii="宋体" w:hAnsi="宋体" w:cs="宋体"/>
                <w:sz w:val="24"/>
              </w:rPr>
              <w:t>2、响应人在满足注册造价师</w:t>
            </w:r>
            <w:r>
              <w:rPr>
                <w:rFonts w:hint="eastAsia" w:ascii="宋体" w:hAnsi="宋体" w:cs="宋体"/>
                <w:sz w:val="24"/>
                <w:lang w:val="en-US" w:eastAsia="zh-CN"/>
              </w:rPr>
              <w:t>6</w:t>
            </w:r>
            <w:r>
              <w:rPr>
                <w:rFonts w:hint="eastAsia" w:ascii="宋体" w:hAnsi="宋体" w:cs="宋体"/>
                <w:sz w:val="24"/>
              </w:rPr>
              <w:t>人的基础上，</w:t>
            </w:r>
            <w:r>
              <w:rPr>
                <w:rFonts w:hint="eastAsia" w:ascii="宋体" w:hAnsi="宋体" w:cs="宋体"/>
                <w:sz w:val="24"/>
                <w:lang w:eastAsia="zh-CN"/>
              </w:rPr>
              <w:t>不得分，</w:t>
            </w:r>
            <w:r>
              <w:rPr>
                <w:rFonts w:hint="eastAsia" w:ascii="宋体" w:hAnsi="宋体" w:cs="宋体"/>
                <w:sz w:val="24"/>
              </w:rPr>
              <w:t>每增加一名注册造价师加2分，最多8分。本项最高得8分。</w:t>
            </w:r>
          </w:p>
          <w:p>
            <w:pPr>
              <w:spacing w:line="360" w:lineRule="auto"/>
              <w:rPr>
                <w:rFonts w:ascii="宋体" w:hAnsi="宋体" w:cs="宋体"/>
                <w:sz w:val="24"/>
              </w:rPr>
            </w:pPr>
            <w:r>
              <w:rPr>
                <w:rFonts w:hint="eastAsia" w:ascii="宋体" w:hAnsi="宋体" w:cs="宋体"/>
                <w:b/>
                <w:bCs/>
                <w:sz w:val="24"/>
              </w:rPr>
              <w:t>注：注：在</w:t>
            </w:r>
            <w:r>
              <w:rPr>
                <w:rFonts w:hint="eastAsia" w:ascii="宋体" w:hAnsi="宋体" w:cs="宋体"/>
                <w:b/>
                <w:bCs/>
                <w:sz w:val="24"/>
                <w:lang w:val="en-US" w:eastAsia="zh-CN"/>
              </w:rPr>
              <w:t>响应人</w:t>
            </w:r>
            <w:r>
              <w:rPr>
                <w:rFonts w:hint="eastAsia" w:ascii="宋体" w:hAnsi="宋体" w:cs="宋体"/>
                <w:b/>
                <w:bCs/>
                <w:sz w:val="24"/>
              </w:rPr>
              <w:t>本单位注册，响应文件中需附注册证书复印件加盖公章，否则不得分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6" w:type="dxa"/>
            <w:vMerge w:val="continue"/>
            <w:vAlign w:val="center"/>
          </w:tcPr>
          <w:p>
            <w:pPr>
              <w:spacing w:line="360" w:lineRule="auto"/>
              <w:jc w:val="center"/>
              <w:rPr>
                <w:rFonts w:ascii="宋体" w:hAnsi="宋体" w:cs="仿宋"/>
                <w:sz w:val="24"/>
              </w:rPr>
            </w:pPr>
          </w:p>
        </w:tc>
        <w:tc>
          <w:tcPr>
            <w:tcW w:w="1902" w:type="dxa"/>
            <w:vAlign w:val="center"/>
          </w:tcPr>
          <w:p>
            <w:pPr>
              <w:spacing w:line="360" w:lineRule="auto"/>
              <w:jc w:val="center"/>
              <w:rPr>
                <w:rFonts w:ascii="宋体" w:hAnsi="宋体" w:cs="宋体"/>
                <w:sz w:val="24"/>
              </w:rPr>
            </w:pPr>
            <w:r>
              <w:rPr>
                <w:rFonts w:hint="eastAsia" w:ascii="宋体" w:hAnsi="宋体" w:cs="宋体"/>
                <w:sz w:val="24"/>
              </w:rPr>
              <w:t>人员配备</w:t>
            </w:r>
          </w:p>
          <w:p>
            <w:pPr>
              <w:spacing w:line="360" w:lineRule="auto"/>
              <w:jc w:val="center"/>
              <w:rPr>
                <w:rFonts w:ascii="宋体" w:hAnsi="宋体" w:cs="宋体"/>
                <w:sz w:val="24"/>
              </w:rPr>
            </w:pPr>
            <w:r>
              <w:rPr>
                <w:rFonts w:hint="eastAsia" w:ascii="宋体" w:hAnsi="宋体" w:cs="宋体"/>
                <w:sz w:val="24"/>
              </w:rPr>
              <w:t>13分</w:t>
            </w:r>
          </w:p>
        </w:tc>
        <w:tc>
          <w:tcPr>
            <w:tcW w:w="6482" w:type="dxa"/>
            <w:gridSpan w:val="2"/>
            <w:vAlign w:val="center"/>
          </w:tcPr>
          <w:p>
            <w:pPr>
              <w:spacing w:line="360" w:lineRule="auto"/>
              <w:rPr>
                <w:rFonts w:ascii="宋体" w:hAnsi="宋体" w:cs="宋体"/>
                <w:sz w:val="24"/>
              </w:rPr>
            </w:pPr>
            <w:r>
              <w:rPr>
                <w:rFonts w:hint="eastAsia" w:ascii="宋体" w:hAnsi="宋体" w:cs="宋体"/>
                <w:sz w:val="24"/>
              </w:rPr>
              <w:t>1、项目负责人具有近三年(2019年</w:t>
            </w:r>
            <w:r>
              <w:rPr>
                <w:rFonts w:hint="eastAsia" w:ascii="宋体" w:hAnsi="宋体" w:cs="宋体"/>
                <w:sz w:val="24"/>
                <w:lang w:val="en-US" w:eastAsia="zh-CN"/>
              </w:rPr>
              <w:t>7</w:t>
            </w:r>
            <w:r>
              <w:rPr>
                <w:rFonts w:hint="eastAsia" w:ascii="宋体" w:hAnsi="宋体" w:cs="宋体"/>
                <w:sz w:val="24"/>
              </w:rPr>
              <w:t>月</w:t>
            </w:r>
            <w:r>
              <w:rPr>
                <w:rFonts w:hint="eastAsia" w:ascii="宋体" w:hAnsi="宋体" w:cs="宋体"/>
                <w:sz w:val="24"/>
                <w:szCs w:val="21"/>
              </w:rPr>
              <w:t>1日</w:t>
            </w:r>
            <w:r>
              <w:rPr>
                <w:rFonts w:hint="eastAsia" w:ascii="宋体" w:hAnsi="宋体" w:cs="宋体"/>
                <w:sz w:val="24"/>
              </w:rPr>
              <w:t>至今)3个建设项目跟踪审计或结算审计的业绩记录，</w:t>
            </w:r>
            <w:r>
              <w:rPr>
                <w:rFonts w:hint="eastAsia" w:ascii="宋体" w:hAnsi="宋体" w:cs="宋体"/>
                <w:sz w:val="24"/>
                <w:lang w:eastAsia="zh-CN"/>
              </w:rPr>
              <w:t>得</w:t>
            </w:r>
            <w:r>
              <w:rPr>
                <w:rFonts w:hint="eastAsia" w:ascii="宋体" w:hAnsi="宋体" w:cs="宋体"/>
                <w:sz w:val="24"/>
                <w:lang w:val="en-US" w:eastAsia="zh-CN"/>
              </w:rPr>
              <w:t>5分，</w:t>
            </w:r>
            <w:r>
              <w:rPr>
                <w:rFonts w:hint="eastAsia" w:ascii="宋体" w:hAnsi="宋体" w:cs="宋体"/>
                <w:sz w:val="24"/>
              </w:rPr>
              <w:t>每</w:t>
            </w:r>
            <w:r>
              <w:rPr>
                <w:rFonts w:hint="eastAsia" w:ascii="宋体" w:hAnsi="宋体" w:cs="宋体"/>
                <w:sz w:val="24"/>
                <w:lang w:eastAsia="zh-CN"/>
              </w:rPr>
              <w:t>增加</w:t>
            </w:r>
            <w:r>
              <w:rPr>
                <w:rFonts w:hint="eastAsia" w:ascii="宋体" w:hAnsi="宋体" w:cs="宋体"/>
                <w:sz w:val="24"/>
              </w:rPr>
              <w:t>1个业绩记录</w:t>
            </w:r>
            <w:r>
              <w:rPr>
                <w:rFonts w:hint="eastAsia" w:ascii="宋体" w:hAnsi="宋体" w:cs="宋体"/>
                <w:sz w:val="24"/>
                <w:lang w:eastAsia="zh-CN"/>
              </w:rPr>
              <w:t>加</w:t>
            </w:r>
            <w:r>
              <w:rPr>
                <w:rFonts w:hint="eastAsia" w:ascii="宋体" w:hAnsi="宋体" w:cs="宋体"/>
                <w:sz w:val="24"/>
                <w:lang w:val="en-US" w:eastAsia="zh-CN"/>
              </w:rPr>
              <w:t>2</w:t>
            </w:r>
            <w:r>
              <w:rPr>
                <w:rFonts w:hint="eastAsia" w:ascii="宋体" w:hAnsi="宋体" w:cs="宋体"/>
                <w:sz w:val="24"/>
              </w:rPr>
              <w:t>分，最高得9分。需提供业绩合同复印件，合同中若不能体现人员的，需提供委托方出具的证明文件或能体现该人员业绩的成果文件复印件。</w:t>
            </w:r>
          </w:p>
          <w:p>
            <w:pPr>
              <w:spacing w:line="360" w:lineRule="auto"/>
              <w:rPr>
                <w:rFonts w:hint="eastAsia" w:ascii="宋体" w:hAnsi="宋体" w:eastAsia="宋体" w:cs="宋体"/>
                <w:sz w:val="24"/>
                <w:lang w:eastAsia="zh-CN"/>
              </w:rPr>
            </w:pPr>
            <w:r>
              <w:rPr>
                <w:rFonts w:hint="eastAsia" w:ascii="宋体" w:hAnsi="宋体" w:cs="宋体"/>
                <w:sz w:val="24"/>
              </w:rPr>
              <w:t>2、项目部现场审计人员（项目负责人和技术负责人除外）每有1名注册造价师得2分，此项最多得4分；（提供证书复印件）</w:t>
            </w:r>
            <w:r>
              <w:rPr>
                <w:rFonts w:hint="eastAsia" w:ascii="宋体" w:hAnsi="宋体" w:cs="宋体"/>
                <w:sz w:val="24"/>
                <w:lang w:eastAsia="zh-CN"/>
              </w:rPr>
              <w:t>。</w:t>
            </w:r>
          </w:p>
        </w:tc>
      </w:tr>
    </w:tbl>
    <w:p>
      <w:pPr>
        <w:spacing w:line="360" w:lineRule="auto"/>
        <w:ind w:right="2" w:firstLine="480"/>
        <w:rPr>
          <w:rFonts w:ascii="宋体" w:hAnsi="宋体"/>
          <w:sz w:val="24"/>
        </w:rPr>
      </w:pPr>
      <w:r>
        <w:rPr>
          <w:rFonts w:hint="eastAsia" w:ascii="宋体" w:hAnsi="宋体"/>
          <w:sz w:val="24"/>
        </w:rPr>
        <w:t>注：本细则只针对有效响应文件予以评分，评分计算均保留小数点后两位有效数字。</w:t>
      </w:r>
    </w:p>
    <w:p>
      <w:pPr>
        <w:rPr>
          <w:rFonts w:ascii="宋体" w:hAnsi="宋体" w:cs="宋体"/>
          <w:b/>
          <w:bCs/>
          <w:sz w:val="24"/>
        </w:rPr>
      </w:pPr>
      <w:r>
        <w:rPr>
          <w:rFonts w:hint="eastAsia" w:ascii="宋体" w:hAnsi="宋体" w:cs="宋体"/>
          <w:b/>
          <w:bCs/>
          <w:sz w:val="24"/>
        </w:rPr>
        <w:br w:type="page"/>
      </w:r>
    </w:p>
    <w:p>
      <w:pPr>
        <w:spacing w:line="360" w:lineRule="auto"/>
        <w:ind w:right="2" w:firstLine="480"/>
        <w:rPr>
          <w:rFonts w:ascii="宋体" w:hAnsi="宋体" w:cs="宋体"/>
          <w:b/>
          <w:bCs/>
          <w:sz w:val="24"/>
        </w:rPr>
      </w:pPr>
      <w:r>
        <w:rPr>
          <w:rFonts w:hint="eastAsia" w:ascii="宋体" w:hAnsi="宋体" w:cs="宋体"/>
          <w:b/>
          <w:bCs/>
          <w:sz w:val="24"/>
        </w:rPr>
        <w:t>三、</w:t>
      </w:r>
      <w:bookmarkStart w:id="165" w:name="OLE_LINK23"/>
      <w:r>
        <w:rPr>
          <w:rFonts w:hint="eastAsia" w:ascii="宋体" w:hAnsi="宋体" w:cs="宋体"/>
          <w:b/>
          <w:bCs/>
          <w:sz w:val="24"/>
        </w:rPr>
        <w:t>评审执行的政府采购政策</w:t>
      </w:r>
      <w:bookmarkEnd w:id="165"/>
    </w:p>
    <w:p>
      <w:pPr>
        <w:adjustRightInd w:val="0"/>
        <w:snapToGrid w:val="0"/>
        <w:spacing w:line="500" w:lineRule="exact"/>
        <w:ind w:firstLine="480" w:firstLineChars="200"/>
        <w:jc w:val="left"/>
        <w:rPr>
          <w:rFonts w:ascii="宋体" w:hAnsi="宋体" w:cs="仿宋"/>
          <w:snapToGrid w:val="0"/>
          <w:kern w:val="0"/>
          <w:sz w:val="24"/>
        </w:rPr>
      </w:pPr>
      <w:r>
        <w:rPr>
          <w:rFonts w:hint="eastAsia" w:ascii="宋体" w:hAnsi="宋体" w:cs="仿宋"/>
          <w:snapToGrid w:val="0"/>
          <w:kern w:val="0"/>
          <w:sz w:val="24"/>
        </w:rPr>
        <w:t>（一）中小微型企业政府采购政策</w:t>
      </w:r>
    </w:p>
    <w:p>
      <w:pPr>
        <w:adjustRightInd w:val="0"/>
        <w:snapToGrid w:val="0"/>
        <w:spacing w:line="500" w:lineRule="exact"/>
        <w:ind w:firstLine="480" w:firstLineChars="200"/>
        <w:jc w:val="left"/>
        <w:rPr>
          <w:rFonts w:ascii="宋体" w:hAnsi="宋体" w:cs="仿宋"/>
          <w:snapToGrid w:val="0"/>
          <w:kern w:val="0"/>
          <w:sz w:val="24"/>
        </w:rPr>
      </w:pPr>
      <w:r>
        <w:rPr>
          <w:rFonts w:hint="eastAsia" w:ascii="宋体" w:hAnsi="宋体" w:cs="仿宋"/>
          <w:snapToGrid w:val="0"/>
          <w:kern w:val="0"/>
          <w:sz w:val="24"/>
        </w:rPr>
        <w:t>1、为了发挥政府采购的政策功能，促进符合国家经济和社会发展政策目标，产品、服务、信誉较好的中小企业发展，按照《政府采购促进中小企业发展管理办法》规定，对符合规定的小型和微型企业的价格给予10%的扣除，用扣除后的价格参与评审。评审价格仅为评定价格，不作为最终的成交价格。</w:t>
      </w:r>
    </w:p>
    <w:p>
      <w:pPr>
        <w:adjustRightInd w:val="0"/>
        <w:snapToGrid w:val="0"/>
        <w:spacing w:line="500" w:lineRule="exact"/>
        <w:ind w:firstLine="480" w:firstLineChars="200"/>
        <w:jc w:val="left"/>
        <w:rPr>
          <w:rFonts w:ascii="宋体" w:hAnsi="宋体" w:cs="仿宋"/>
          <w:snapToGrid w:val="0"/>
          <w:kern w:val="0"/>
          <w:sz w:val="24"/>
        </w:rPr>
      </w:pPr>
      <w:r>
        <w:rPr>
          <w:rFonts w:hint="eastAsia" w:ascii="宋体" w:hAnsi="宋体" w:cs="仿宋"/>
          <w:snapToGrid w:val="0"/>
          <w:kern w:val="0"/>
          <w:sz w:val="24"/>
        </w:rPr>
        <w:t>2、</w:t>
      </w:r>
      <w:r>
        <w:rPr>
          <w:sz w:val="25"/>
          <w:szCs w:val="25"/>
        </w:rPr>
        <w:t>接受大中型企业与小微企业组成联合体或者允许大中型企业向一家或者多家小微企业分包的采购项目，对于联合协议或者分包意向协议约定小微企业的合同份额占到合同总金额30%以上的</w:t>
      </w:r>
      <w:r>
        <w:rPr>
          <w:rFonts w:hint="eastAsia" w:ascii="宋体" w:hAnsi="宋体" w:cs="仿宋"/>
          <w:snapToGrid w:val="0"/>
          <w:kern w:val="0"/>
          <w:sz w:val="24"/>
        </w:rPr>
        <w:t>，则在评审过程中评审价格可给予联合体4%的价格扣除。如果联合体各方均为小型、微型企业的，联合体视同为小型、微型企业，但联合体各方均应按竞争性磋商文件要求提供中小企业声明函。</w:t>
      </w:r>
    </w:p>
    <w:p>
      <w:pPr>
        <w:adjustRightInd w:val="0"/>
        <w:snapToGrid w:val="0"/>
        <w:spacing w:line="500" w:lineRule="exact"/>
        <w:ind w:firstLine="480" w:firstLineChars="200"/>
        <w:jc w:val="left"/>
        <w:rPr>
          <w:rFonts w:ascii="宋体" w:hAnsi="宋体" w:cs="仿宋"/>
          <w:sz w:val="24"/>
        </w:rPr>
      </w:pPr>
      <w:r>
        <w:rPr>
          <w:rFonts w:hint="eastAsia" w:ascii="宋体" w:hAnsi="宋体" w:cs="仿宋"/>
          <w:snapToGrid w:val="0"/>
          <w:kern w:val="0"/>
          <w:sz w:val="24"/>
        </w:rPr>
        <w:t>3、评审价格的计算：评审价格=最终报价×（1-扣除幅度）。</w:t>
      </w:r>
    </w:p>
    <w:p>
      <w:pPr>
        <w:adjustRightInd w:val="0"/>
        <w:snapToGrid w:val="0"/>
        <w:spacing w:line="500" w:lineRule="exact"/>
        <w:ind w:firstLine="480" w:firstLineChars="200"/>
        <w:jc w:val="left"/>
        <w:rPr>
          <w:rFonts w:ascii="宋体" w:hAnsi="宋体" w:cs="仿宋"/>
          <w:sz w:val="24"/>
        </w:rPr>
      </w:pPr>
      <w:r>
        <w:rPr>
          <w:rFonts w:hint="eastAsia" w:ascii="宋体" w:hAnsi="宋体" w:cs="仿宋"/>
          <w:sz w:val="24"/>
        </w:rPr>
        <w:t>（二）监狱企业政府采购政策</w:t>
      </w:r>
    </w:p>
    <w:p>
      <w:pPr>
        <w:adjustRightInd w:val="0"/>
        <w:snapToGrid w:val="0"/>
        <w:spacing w:line="500" w:lineRule="exact"/>
        <w:ind w:firstLine="480" w:firstLineChars="200"/>
        <w:jc w:val="left"/>
        <w:rPr>
          <w:rFonts w:ascii="宋体" w:hAnsi="宋体" w:cs="仿宋"/>
          <w:sz w:val="24"/>
        </w:rPr>
      </w:pPr>
      <w:r>
        <w:rPr>
          <w:rFonts w:hint="eastAsia" w:ascii="宋体" w:hAnsi="宋体" w:cs="仿宋"/>
          <w:sz w:val="24"/>
        </w:rPr>
        <w:t>对监狱企业的价格给予[10%×（监狱企业产品合计报价/总报价）]的扣除，用扣除后的价格参与评审；参加政府采购活动的监狱企业应当在响应文件中提供监狱企业证明，否则不予认定。</w:t>
      </w:r>
    </w:p>
    <w:p>
      <w:pPr>
        <w:adjustRightInd w:val="0"/>
        <w:snapToGrid w:val="0"/>
        <w:spacing w:line="500" w:lineRule="exact"/>
        <w:ind w:firstLine="480" w:firstLineChars="200"/>
        <w:jc w:val="left"/>
        <w:rPr>
          <w:rFonts w:ascii="宋体" w:hAnsi="宋体" w:cs="仿宋"/>
          <w:sz w:val="24"/>
        </w:rPr>
      </w:pPr>
      <w:r>
        <w:rPr>
          <w:rFonts w:hint="eastAsia" w:ascii="宋体" w:hAnsi="宋体" w:cs="仿宋"/>
          <w:sz w:val="24"/>
        </w:rPr>
        <w:t>（三）残疾人福利性单位政府采购政策</w:t>
      </w:r>
    </w:p>
    <w:p>
      <w:pPr>
        <w:adjustRightInd w:val="0"/>
        <w:snapToGrid w:val="0"/>
        <w:spacing w:line="500" w:lineRule="exact"/>
        <w:ind w:firstLine="480" w:firstLineChars="200"/>
        <w:jc w:val="left"/>
        <w:rPr>
          <w:rFonts w:ascii="宋体" w:hAnsi="宋体" w:cs="仿宋"/>
          <w:sz w:val="24"/>
        </w:rPr>
      </w:pPr>
      <w:r>
        <w:rPr>
          <w:rFonts w:hint="eastAsia" w:ascii="宋体" w:hAnsi="宋体" w:cs="仿宋"/>
          <w:sz w:val="24"/>
        </w:rPr>
        <w:t>对残疾人福利性单位的价格给予[10%×（残疾人福利性单位产品合计报价/总报价）]的扣除，用扣除后的价格参与评审。</w:t>
      </w:r>
    </w:p>
    <w:p>
      <w:pPr>
        <w:adjustRightInd w:val="0"/>
        <w:snapToGrid w:val="0"/>
        <w:spacing w:line="500" w:lineRule="exact"/>
        <w:ind w:firstLine="480" w:firstLineChars="200"/>
        <w:jc w:val="left"/>
        <w:rPr>
          <w:rFonts w:ascii="宋体" w:hAnsi="宋体"/>
          <w:sz w:val="24"/>
        </w:rPr>
      </w:pPr>
      <w:r>
        <w:rPr>
          <w:rFonts w:hint="eastAsia" w:ascii="宋体" w:hAnsi="宋体" w:cs="仿宋"/>
          <w:sz w:val="24"/>
        </w:rPr>
        <w:t>符合条件的残疾人福利性单位在参加政府采购活动时，应当提供财库〔2017〕141号规定的《残疾人福利性单位声明函》，并对声明的真实性负责。未提供的，评审时不享受残疾人福利性单位政府采购政策。</w:t>
      </w:r>
    </w:p>
    <w:p>
      <w:pPr>
        <w:ind w:right="2" w:firstLine="480"/>
        <w:jc w:val="center"/>
        <w:rPr>
          <w:rFonts w:ascii="宋体" w:hAnsi="宋体"/>
          <w:b/>
          <w:sz w:val="24"/>
        </w:rPr>
      </w:pPr>
    </w:p>
    <w:p>
      <w:pPr>
        <w:widowControl/>
        <w:jc w:val="left"/>
        <w:rPr>
          <w:rFonts w:ascii="宋体" w:hAnsi="宋体"/>
          <w:b/>
          <w:bCs/>
          <w:sz w:val="32"/>
          <w:szCs w:val="44"/>
        </w:rPr>
      </w:pPr>
      <w:r>
        <w:rPr>
          <w:rFonts w:ascii="宋体" w:hAnsi="宋体"/>
          <w:sz w:val="32"/>
        </w:rPr>
        <w:br w:type="page"/>
      </w:r>
    </w:p>
    <w:p>
      <w:pPr>
        <w:pStyle w:val="4"/>
        <w:spacing w:before="120" w:after="120" w:line="240" w:lineRule="auto"/>
        <w:jc w:val="center"/>
        <w:rPr>
          <w:rFonts w:ascii="宋体" w:hAnsi="宋体"/>
          <w:kern w:val="2"/>
          <w:sz w:val="32"/>
        </w:rPr>
      </w:pPr>
      <w:bookmarkStart w:id="166" w:name="_Toc15566"/>
      <w:bookmarkStart w:id="167" w:name="_Toc10482"/>
      <w:bookmarkStart w:id="168" w:name="_Toc60585220"/>
      <w:bookmarkStart w:id="169" w:name="_Toc23210"/>
      <w:r>
        <w:rPr>
          <w:rFonts w:hint="eastAsia" w:ascii="宋体" w:hAnsi="宋体"/>
          <w:kern w:val="2"/>
          <w:sz w:val="32"/>
        </w:rPr>
        <w:t>第四章采购内容及项目要求</w:t>
      </w:r>
      <w:bookmarkEnd w:id="166"/>
      <w:bookmarkEnd w:id="167"/>
      <w:bookmarkEnd w:id="168"/>
      <w:bookmarkEnd w:id="169"/>
    </w:p>
    <w:p>
      <w:pPr>
        <w:pStyle w:val="291"/>
        <w:spacing w:line="420" w:lineRule="exact"/>
        <w:ind w:firstLine="0" w:firstLineChars="0"/>
        <w:rPr>
          <w:rFonts w:ascii="宋体" w:hAnsi="宋体"/>
          <w:b/>
          <w:szCs w:val="24"/>
        </w:rPr>
      </w:pPr>
      <w:r>
        <w:rPr>
          <w:rFonts w:hint="eastAsia" w:ascii="宋体" w:hAnsi="宋体"/>
          <w:b/>
          <w:szCs w:val="24"/>
        </w:rPr>
        <w:t>一、服务范围：</w:t>
      </w:r>
    </w:p>
    <w:p>
      <w:pPr>
        <w:pStyle w:val="291"/>
        <w:numPr>
          <w:ilvl w:val="255"/>
          <w:numId w:val="0"/>
        </w:numPr>
        <w:spacing w:line="420" w:lineRule="exact"/>
        <w:ind w:firstLine="504" w:firstLineChars="200"/>
        <w:rPr>
          <w:rFonts w:ascii="宋体" w:hAnsi="宋体"/>
          <w:szCs w:val="24"/>
        </w:rPr>
      </w:pPr>
      <w:r>
        <w:rPr>
          <w:rFonts w:hint="eastAsia"/>
          <w:szCs w:val="24"/>
        </w:rPr>
        <w:t>院区的零星修缮工程竣工结算审计及小型新建工程项目清单及控制价编审。</w:t>
      </w:r>
    </w:p>
    <w:p>
      <w:pPr>
        <w:spacing w:line="480" w:lineRule="exact"/>
        <w:rPr>
          <w:rFonts w:ascii="宋体" w:hAnsi="宋体" w:cs="宋体"/>
          <w:sz w:val="24"/>
        </w:rPr>
      </w:pPr>
      <w:r>
        <w:rPr>
          <w:rFonts w:hint="eastAsia" w:ascii="宋体" w:hAnsi="宋体" w:cs="宋体"/>
          <w:b/>
          <w:bCs/>
          <w:sz w:val="24"/>
        </w:rPr>
        <w:t>二、服务内容</w:t>
      </w:r>
      <w:r>
        <w:rPr>
          <w:rFonts w:hint="eastAsia" w:ascii="宋体" w:hAnsi="宋体" w:cs="宋体"/>
          <w:sz w:val="24"/>
        </w:rPr>
        <w:t>：</w:t>
      </w:r>
    </w:p>
    <w:p>
      <w:pPr>
        <w:pStyle w:val="291"/>
        <w:numPr>
          <w:ilvl w:val="255"/>
          <w:numId w:val="0"/>
        </w:numPr>
        <w:spacing w:line="420" w:lineRule="exact"/>
        <w:ind w:firstLine="504" w:firstLineChars="200"/>
        <w:rPr>
          <w:rFonts w:hint="eastAsia"/>
          <w:szCs w:val="24"/>
        </w:rPr>
      </w:pPr>
      <w:r>
        <w:rPr>
          <w:rFonts w:hint="eastAsia"/>
          <w:szCs w:val="24"/>
        </w:rPr>
        <w:t>1、零星修缮及小型工程项目跟踪、结算审计。全院零星修缮及小型工程项目，根据报审零星维修工程结算情况，随报随审，最终结果需经医院审计处审核确认，再出具审核报告</w:t>
      </w:r>
      <w:r>
        <w:rPr>
          <w:rFonts w:hint="eastAsia"/>
          <w:szCs w:val="24"/>
          <w:lang w:eastAsia="zh-CN"/>
        </w:rPr>
        <w:t>，</w:t>
      </w:r>
      <w:r>
        <w:rPr>
          <w:rFonts w:hint="eastAsia"/>
          <w:szCs w:val="24"/>
        </w:rPr>
        <w:t>服从医院审计处的工作安排；</w:t>
      </w:r>
    </w:p>
    <w:p>
      <w:pPr>
        <w:pStyle w:val="291"/>
        <w:numPr>
          <w:ilvl w:val="255"/>
          <w:numId w:val="0"/>
        </w:numPr>
        <w:spacing w:line="420" w:lineRule="exact"/>
        <w:ind w:firstLine="504" w:firstLineChars="200"/>
        <w:rPr>
          <w:szCs w:val="24"/>
        </w:rPr>
      </w:pPr>
      <w:r>
        <w:rPr>
          <w:rFonts w:hint="eastAsia"/>
          <w:szCs w:val="24"/>
        </w:rPr>
        <w:t>2、基建维修工程项目清单及控制价编审，对工程项目勘查现场，实测工程数据，采用工程量清单计价模式，依据工程技术文件及相关招标工作要求，计算招标范围内项目清单工程量，按规范编制完整的工程量清单及招标控制价，经医院审计处确认后出具审核报告。</w:t>
      </w:r>
    </w:p>
    <w:p>
      <w:pPr>
        <w:spacing w:line="480" w:lineRule="exact"/>
        <w:rPr>
          <w:rFonts w:ascii="宋体" w:hAnsi="宋体" w:cs="宋体"/>
          <w:b/>
          <w:bCs/>
          <w:sz w:val="24"/>
        </w:rPr>
      </w:pPr>
      <w:r>
        <w:rPr>
          <w:rFonts w:hint="eastAsia" w:ascii="宋体" w:hAnsi="宋体" w:cs="宋体"/>
          <w:b/>
          <w:bCs/>
          <w:sz w:val="24"/>
        </w:rPr>
        <w:t>三、具体工作</w:t>
      </w:r>
    </w:p>
    <w:p>
      <w:pPr>
        <w:pStyle w:val="69"/>
        <w:rPr>
          <w:rFonts w:ascii="Times New Roman" w:hAnsi="Times New Roman" w:cs="Times New Roman"/>
          <w:spacing w:val="6"/>
          <w:kern w:val="2"/>
        </w:rPr>
      </w:pPr>
      <w:r>
        <w:rPr>
          <w:rFonts w:hint="eastAsia" w:ascii="Times New Roman" w:hAnsi="Times New Roman" w:cs="Times New Roman"/>
          <w:spacing w:val="6"/>
          <w:kern w:val="2"/>
        </w:rPr>
        <w:t>包含但不限于以下内容：</w:t>
      </w:r>
    </w:p>
    <w:p>
      <w:pPr>
        <w:pStyle w:val="291"/>
        <w:numPr>
          <w:ilvl w:val="255"/>
          <w:numId w:val="0"/>
        </w:numPr>
        <w:spacing w:line="420" w:lineRule="exact"/>
        <w:ind w:firstLine="504" w:firstLineChars="200"/>
      </w:pPr>
      <w:r>
        <w:rPr>
          <w:rFonts w:hint="eastAsia"/>
        </w:rPr>
        <w:t>（一）零星修缮及小型工程项目跟踪、结算审计</w:t>
      </w:r>
    </w:p>
    <w:p>
      <w:pPr>
        <w:pStyle w:val="291"/>
        <w:numPr>
          <w:ilvl w:val="255"/>
          <w:numId w:val="0"/>
        </w:numPr>
        <w:spacing w:line="420" w:lineRule="exact"/>
        <w:ind w:firstLine="504" w:firstLineChars="200"/>
      </w:pPr>
      <w:r>
        <w:rPr>
          <w:rFonts w:hint="eastAsia"/>
        </w:rPr>
        <w:t>1、</w:t>
      </w:r>
      <w:r>
        <w:rPr>
          <w:rFonts w:hint="eastAsia"/>
          <w:lang w:eastAsia="zh-CN"/>
        </w:rPr>
        <w:t>按照审计处工作安排及时来医院领取审计资料。</w:t>
      </w:r>
      <w:r>
        <w:rPr>
          <w:rFonts w:hint="eastAsia"/>
        </w:rPr>
        <w:t>跟随报审部门、施工单位、医院审计处一起勘查现场，现场实测工程数据；</w:t>
      </w:r>
    </w:p>
    <w:p>
      <w:pPr>
        <w:pStyle w:val="291"/>
        <w:numPr>
          <w:ilvl w:val="255"/>
          <w:numId w:val="0"/>
        </w:numPr>
        <w:spacing w:line="420" w:lineRule="exact"/>
        <w:ind w:firstLine="504" w:firstLineChars="200"/>
      </w:pPr>
      <w:r>
        <w:rPr>
          <w:rFonts w:hint="eastAsia"/>
        </w:rPr>
        <w:t>2、根据现场实测签字确认并进行结算审计；</w:t>
      </w:r>
    </w:p>
    <w:p>
      <w:pPr>
        <w:pStyle w:val="291"/>
        <w:numPr>
          <w:ilvl w:val="255"/>
          <w:numId w:val="0"/>
        </w:numPr>
        <w:spacing w:line="420" w:lineRule="exact"/>
        <w:ind w:firstLine="504" w:firstLineChars="200"/>
      </w:pPr>
      <w:r>
        <w:rPr>
          <w:rFonts w:hint="eastAsia"/>
        </w:rPr>
        <w:t>3、初审报告完成后报医院审计处进行复核；</w:t>
      </w:r>
    </w:p>
    <w:p>
      <w:pPr>
        <w:pStyle w:val="291"/>
        <w:numPr>
          <w:ilvl w:val="255"/>
          <w:numId w:val="0"/>
        </w:numPr>
        <w:spacing w:line="420" w:lineRule="exact"/>
        <w:ind w:firstLine="504" w:firstLineChars="200"/>
      </w:pPr>
      <w:r>
        <w:rPr>
          <w:rFonts w:hint="eastAsia"/>
        </w:rPr>
        <w:t>4、复核无误后，经施工单位确认，出具审核报告。</w:t>
      </w:r>
    </w:p>
    <w:p>
      <w:pPr>
        <w:pStyle w:val="291"/>
        <w:numPr>
          <w:ilvl w:val="255"/>
          <w:numId w:val="0"/>
        </w:numPr>
        <w:spacing w:line="420" w:lineRule="exact"/>
        <w:ind w:firstLine="504" w:firstLineChars="200"/>
      </w:pPr>
      <w:r>
        <w:rPr>
          <w:rFonts w:hint="eastAsia"/>
        </w:rPr>
        <w:t>（二）基建维修</w:t>
      </w:r>
      <w:r>
        <w:t>工程项目</w:t>
      </w:r>
      <w:r>
        <w:rPr>
          <w:rFonts w:hint="eastAsia"/>
        </w:rPr>
        <w:t>清单及控制价编审</w:t>
      </w:r>
    </w:p>
    <w:p>
      <w:pPr>
        <w:pStyle w:val="291"/>
        <w:numPr>
          <w:ilvl w:val="255"/>
          <w:numId w:val="0"/>
        </w:numPr>
        <w:spacing w:line="420" w:lineRule="exact"/>
        <w:ind w:firstLine="504" w:firstLineChars="200"/>
      </w:pPr>
      <w:r>
        <w:rPr>
          <w:rFonts w:hint="eastAsia"/>
        </w:rPr>
        <w:t>1、编制工程量清单及招标控制价</w:t>
      </w:r>
    </w:p>
    <w:p>
      <w:pPr>
        <w:pStyle w:val="291"/>
        <w:numPr>
          <w:ilvl w:val="255"/>
          <w:numId w:val="0"/>
        </w:numPr>
        <w:spacing w:line="420" w:lineRule="exact"/>
        <w:ind w:firstLine="504" w:firstLineChars="200"/>
      </w:pPr>
      <w:r>
        <w:rPr>
          <w:rFonts w:hint="eastAsia"/>
        </w:rPr>
        <w:t>采用工程量清单计价模式，依据工程技术文件及相关招标工作要求，计算招标范围内项目清单工程量，按规范编制完整的工程量清单及招标控制价。</w:t>
      </w:r>
    </w:p>
    <w:p>
      <w:pPr>
        <w:pStyle w:val="291"/>
        <w:numPr>
          <w:ilvl w:val="255"/>
          <w:numId w:val="0"/>
        </w:numPr>
        <w:spacing w:line="420" w:lineRule="exact"/>
        <w:ind w:firstLine="504" w:firstLineChars="200"/>
      </w:pPr>
      <w:r>
        <w:rPr>
          <w:rFonts w:hint="eastAsia"/>
        </w:rPr>
        <w:t>2、审核施工图预算（若有）</w:t>
      </w:r>
    </w:p>
    <w:p>
      <w:pPr>
        <w:pStyle w:val="291"/>
        <w:numPr>
          <w:ilvl w:val="255"/>
          <w:numId w:val="0"/>
        </w:numPr>
        <w:spacing w:line="420" w:lineRule="exact"/>
        <w:ind w:firstLine="504" w:firstLineChars="200"/>
      </w:pPr>
      <w:r>
        <w:rPr>
          <w:rFonts w:hint="eastAsia"/>
        </w:rPr>
        <w:t>对于施工单位编制的施工图预算，按照相关规定进行审核；</w:t>
      </w:r>
    </w:p>
    <w:p>
      <w:pPr>
        <w:pStyle w:val="291"/>
        <w:numPr>
          <w:ilvl w:val="255"/>
          <w:numId w:val="0"/>
        </w:numPr>
        <w:spacing w:line="420" w:lineRule="exact"/>
        <w:ind w:firstLine="504" w:firstLineChars="200"/>
      </w:pPr>
      <w:r>
        <w:rPr>
          <w:rFonts w:hint="eastAsia"/>
        </w:rPr>
        <w:t>3、跟随报审部门、施工单位、审计部门一起勘查现场，现场实测工程数据；</w:t>
      </w:r>
    </w:p>
    <w:p>
      <w:pPr>
        <w:pStyle w:val="291"/>
        <w:numPr>
          <w:ilvl w:val="255"/>
          <w:numId w:val="0"/>
        </w:numPr>
        <w:spacing w:line="420" w:lineRule="exact"/>
        <w:ind w:firstLine="504" w:firstLineChars="200"/>
      </w:pPr>
      <w:r>
        <w:rPr>
          <w:rFonts w:hint="eastAsia"/>
        </w:rPr>
        <w:t>4、根据现场实测签字确认并进行结算审计；</w:t>
      </w:r>
    </w:p>
    <w:p>
      <w:pPr>
        <w:pStyle w:val="291"/>
        <w:numPr>
          <w:ilvl w:val="255"/>
          <w:numId w:val="0"/>
        </w:numPr>
        <w:spacing w:line="420" w:lineRule="exact"/>
        <w:ind w:firstLine="504" w:firstLineChars="200"/>
      </w:pPr>
      <w:r>
        <w:rPr>
          <w:rFonts w:hint="eastAsia"/>
        </w:rPr>
        <w:t>5、审核完成后报审计部门进行复核；</w:t>
      </w:r>
    </w:p>
    <w:p>
      <w:pPr>
        <w:pStyle w:val="291"/>
        <w:numPr>
          <w:ilvl w:val="255"/>
          <w:numId w:val="0"/>
        </w:numPr>
        <w:spacing w:line="420" w:lineRule="exact"/>
        <w:ind w:firstLine="504" w:firstLineChars="200"/>
      </w:pPr>
      <w:r>
        <w:rPr>
          <w:rFonts w:hint="eastAsia"/>
        </w:rPr>
        <w:t>6、复核无误后与施工单位进行确认后出具结算意见(出具结算报告，必要时需进行现场跟踪)。</w:t>
      </w:r>
    </w:p>
    <w:p>
      <w:pPr>
        <w:pStyle w:val="291"/>
        <w:numPr>
          <w:ilvl w:val="255"/>
          <w:numId w:val="0"/>
        </w:numPr>
        <w:spacing w:line="420" w:lineRule="exact"/>
        <w:ind w:firstLine="504" w:firstLineChars="200"/>
      </w:pPr>
      <w:r>
        <w:rPr>
          <w:rFonts w:hint="eastAsia"/>
        </w:rPr>
        <w:t>（三）委托人交办的其他工作</w:t>
      </w:r>
    </w:p>
    <w:p>
      <w:pPr>
        <w:pStyle w:val="291"/>
        <w:numPr>
          <w:ilvl w:val="255"/>
          <w:numId w:val="0"/>
        </w:numPr>
        <w:spacing w:line="420" w:lineRule="exact"/>
        <w:ind w:firstLine="504" w:firstLineChars="200"/>
      </w:pPr>
      <w:r>
        <w:rPr>
          <w:rFonts w:hint="eastAsia"/>
        </w:rPr>
        <w:t>1、咨询人按委托人要求进行该项目的各项经济指标分析等；</w:t>
      </w:r>
    </w:p>
    <w:p>
      <w:pPr>
        <w:pStyle w:val="291"/>
        <w:numPr>
          <w:ilvl w:val="255"/>
          <w:numId w:val="0"/>
        </w:numPr>
        <w:spacing w:line="420" w:lineRule="exact"/>
        <w:ind w:firstLine="504" w:firstLineChars="200"/>
      </w:pPr>
      <w:r>
        <w:rPr>
          <w:rFonts w:hint="eastAsia"/>
        </w:rPr>
        <w:t>2、委托人交办的其他事项。</w:t>
      </w:r>
    </w:p>
    <w:p>
      <w:pPr>
        <w:spacing w:line="480" w:lineRule="exact"/>
        <w:rPr>
          <w:sz w:val="24"/>
        </w:rPr>
      </w:pPr>
      <w:r>
        <w:rPr>
          <w:rFonts w:hint="eastAsia" w:ascii="宋体" w:hAnsi="宋体" w:cs="宋体"/>
          <w:b/>
          <w:bCs/>
          <w:sz w:val="24"/>
        </w:rPr>
        <w:t>四、投标报价</w:t>
      </w:r>
    </w:p>
    <w:p>
      <w:pPr>
        <w:pStyle w:val="291"/>
        <w:spacing w:line="420" w:lineRule="exact"/>
        <w:ind w:firstLine="504"/>
      </w:pPr>
      <w:r>
        <w:rPr>
          <w:rFonts w:hint="eastAsia"/>
        </w:rPr>
        <w:t>（一）报价费率</w:t>
      </w:r>
    </w:p>
    <w:p>
      <w:pPr>
        <w:pStyle w:val="291"/>
        <w:spacing w:line="420" w:lineRule="exact"/>
        <w:ind w:firstLine="504"/>
      </w:pPr>
      <w:r>
        <w:rPr>
          <w:rFonts w:hint="eastAsia"/>
        </w:rPr>
        <w:t>参照《山东省关于继续执行新增建设工程造价咨询服务收费标准的通知》鲁价费发〔2007〕205号文件，报价不得高于文件规定标准。</w:t>
      </w:r>
      <w:r>
        <w:t>结算</w:t>
      </w:r>
      <w:r>
        <w:rPr>
          <w:rFonts w:hint="eastAsia"/>
        </w:rPr>
        <w:t>咨询费按照项目审定结算金额造价乘以中标</w:t>
      </w:r>
      <w:r>
        <w:t>的费率据实结算</w:t>
      </w:r>
      <w:r>
        <w:rPr>
          <w:rFonts w:hint="eastAsia"/>
        </w:rPr>
        <w:t>，一年结算一次。</w:t>
      </w:r>
    </w:p>
    <w:p>
      <w:pPr>
        <w:pStyle w:val="291"/>
        <w:spacing w:line="420" w:lineRule="exact"/>
        <w:ind w:firstLine="504"/>
      </w:pPr>
      <w:r>
        <w:rPr>
          <w:rFonts w:hint="eastAsia"/>
        </w:rPr>
        <w:t>（二）服务期限</w:t>
      </w:r>
    </w:p>
    <w:p>
      <w:pPr>
        <w:pStyle w:val="291"/>
        <w:spacing w:line="420" w:lineRule="exact"/>
        <w:ind w:firstLine="504"/>
      </w:pPr>
      <w:r>
        <w:rPr>
          <w:rFonts w:hint="eastAsia"/>
        </w:rPr>
        <w:t>服务期三年，采用1+1+1形式，一年一签合同。合同期第一年工作完成良好，可续签一年，如工作完成情况不好，采购人可随时终止服务合同。采购人每年对中标方合同履行情况进行质量、价格、服务等考核，并根据考核结果决定是否继续履行服务期限，如考核中不达标，不再续签合同。</w:t>
      </w:r>
    </w:p>
    <w:p>
      <w:pPr>
        <w:pStyle w:val="291"/>
        <w:spacing w:line="420" w:lineRule="exact"/>
        <w:ind w:firstLine="504"/>
      </w:pPr>
      <w:r>
        <w:rPr>
          <w:rFonts w:hint="eastAsia"/>
        </w:rPr>
        <w:t>（三）预算资金和资金来源</w:t>
      </w:r>
    </w:p>
    <w:p>
      <w:pPr>
        <w:pStyle w:val="291"/>
        <w:spacing w:line="420" w:lineRule="exact"/>
        <w:ind w:firstLine="0" w:firstLineChars="0"/>
      </w:pPr>
      <w:r>
        <w:rPr>
          <w:rFonts w:hint="eastAsia"/>
        </w:rPr>
        <w:t xml:space="preserve">    预算资金为12万元，资金来源为自筹资金。</w:t>
      </w:r>
    </w:p>
    <w:p>
      <w:pPr>
        <w:pStyle w:val="14"/>
        <w:numPr>
          <w:ilvl w:val="0"/>
          <w:numId w:val="2"/>
        </w:numPr>
        <w:tabs>
          <w:tab w:val="left" w:pos="382"/>
        </w:tabs>
        <w:spacing w:line="480" w:lineRule="exact"/>
        <w:ind w:left="48" w:leftChars="23" w:firstLine="480" w:firstLineChars="200"/>
        <w:rPr>
          <w:rFonts w:hint="eastAsia" w:ascii="宋体" w:hAnsi="宋体"/>
          <w:bCs/>
          <w:sz w:val="24"/>
        </w:rPr>
      </w:pPr>
      <w:r>
        <w:rPr>
          <w:rFonts w:hint="eastAsia" w:ascii="宋体" w:hAnsi="宋体"/>
          <w:bCs/>
          <w:sz w:val="24"/>
          <w:lang w:eastAsia="zh-CN"/>
        </w:rPr>
        <w:t>响应人</w:t>
      </w:r>
      <w:r>
        <w:rPr>
          <w:rFonts w:hint="eastAsia" w:ascii="宋体" w:hAnsi="宋体"/>
          <w:bCs/>
          <w:sz w:val="24"/>
        </w:rPr>
        <w:t>应根据项目实际情况，结合本单位情况，充分考虑市场因素，确定承担工程造价咨询工作的报价。报价中应包括直接成本（现场审计人员工资及差旅费、补助费等用于工程审计人员的其他专项开支、工程造价咨询期间与审计工作相关的设备、仪器费用、常规试验检测费用等），间接成本（公司管理人员工资、行政办公费、业务培训费用等）、税金、利润等完成本工程造价咨询工作所需的全部费用。工程暂按上述招标范围服务内容自主竞报。</w:t>
      </w:r>
      <w:r>
        <w:rPr>
          <w:rFonts w:hint="eastAsia" w:ascii="宋体" w:hAnsi="宋体"/>
          <w:bCs/>
          <w:sz w:val="24"/>
          <w:lang w:eastAsia="zh-CN"/>
        </w:rPr>
        <w:t>响应人</w:t>
      </w:r>
      <w:r>
        <w:rPr>
          <w:rFonts w:hint="eastAsia" w:ascii="宋体" w:hAnsi="宋体"/>
          <w:bCs/>
          <w:sz w:val="24"/>
        </w:rPr>
        <w:t>应充分考虑各种因素，不得在中标后无故增加任何费用。</w:t>
      </w:r>
    </w:p>
    <w:p>
      <w:pPr>
        <w:pStyle w:val="14"/>
        <w:tabs>
          <w:tab w:val="left" w:pos="382"/>
        </w:tabs>
        <w:spacing w:line="480" w:lineRule="exact"/>
        <w:ind w:left="48" w:leftChars="23" w:firstLine="480" w:firstLineChars="200"/>
        <w:rPr>
          <w:rFonts w:hint="eastAsia" w:ascii="宋体" w:hAnsi="宋体"/>
          <w:bCs/>
          <w:sz w:val="24"/>
        </w:rPr>
      </w:pPr>
      <w:r>
        <w:rPr>
          <w:rFonts w:hint="eastAsia" w:ascii="宋体" w:hAnsi="宋体"/>
          <w:bCs/>
          <w:sz w:val="24"/>
        </w:rPr>
        <w:t>（五）中标的工程造价咨询服务费率在本合同存续期间不因市场和政策变化因素而调整。</w:t>
      </w:r>
    </w:p>
    <w:p>
      <w:pPr>
        <w:pStyle w:val="14"/>
        <w:tabs>
          <w:tab w:val="left" w:pos="382"/>
        </w:tabs>
        <w:spacing w:line="480" w:lineRule="exact"/>
        <w:ind w:left="48" w:leftChars="23" w:firstLine="480" w:firstLineChars="200"/>
        <w:rPr>
          <w:rFonts w:hint="eastAsia" w:ascii="宋体" w:hAnsi="宋体" w:cs="Times New Roman"/>
          <w:bCs/>
          <w:kern w:val="2"/>
          <w:sz w:val="24"/>
        </w:rPr>
        <w:sectPr>
          <w:headerReference r:id="rId6" w:type="default"/>
          <w:footerReference r:id="rId7" w:type="default"/>
          <w:pgSz w:w="11907" w:h="16840"/>
          <w:pgMar w:top="1418" w:right="1418" w:bottom="1418" w:left="1418" w:header="851" w:footer="823" w:gutter="0"/>
          <w:pgNumType w:start="1"/>
          <w:cols w:space="720" w:num="1"/>
          <w:docGrid w:linePitch="290" w:charSpace="-3931"/>
        </w:sectPr>
      </w:pPr>
      <w:r>
        <w:rPr>
          <w:rFonts w:hint="eastAsia" w:ascii="宋体" w:hAnsi="宋体"/>
          <w:bCs/>
          <w:sz w:val="24"/>
        </w:rPr>
        <w:t>（六）遴选单位根据院方委托项目的实际情况进行造价服务人员配备，服务人员专业及数量满足项目的实际需求，专业人员配备合理（根据需要应配有土建、安装、装饰等专业人员）</w:t>
      </w:r>
    </w:p>
    <w:p>
      <w:pPr>
        <w:pStyle w:val="5"/>
        <w:spacing w:before="120" w:after="120" w:line="415" w:lineRule="auto"/>
        <w:jc w:val="center"/>
        <w:rPr>
          <w:rFonts w:ascii="宋体" w:hAnsi="宋体" w:eastAsia="宋体"/>
          <w:kern w:val="2"/>
          <w:szCs w:val="44"/>
        </w:rPr>
      </w:pPr>
      <w:bookmarkStart w:id="170" w:name="_Toc20447"/>
      <w:bookmarkStart w:id="171" w:name="_Toc1097"/>
      <w:bookmarkStart w:id="172" w:name="_Toc29191"/>
      <w:r>
        <w:rPr>
          <w:rFonts w:hint="eastAsia" w:ascii="宋体" w:hAnsi="宋体" w:eastAsia="宋体"/>
          <w:kern w:val="2"/>
          <w:szCs w:val="44"/>
        </w:rPr>
        <w:t>第五章合同格式</w:t>
      </w:r>
      <w:bookmarkEnd w:id="170"/>
      <w:bookmarkEnd w:id="171"/>
      <w:bookmarkEnd w:id="172"/>
    </w:p>
    <w:p>
      <w:pPr>
        <w:pStyle w:val="52"/>
        <w:pBdr>
          <w:bottom w:val="none" w:color="auto" w:sz="0" w:space="0"/>
        </w:pBdr>
        <w:tabs>
          <w:tab w:val="right" w:pos="8460"/>
          <w:tab w:val="clear" w:pos="8306"/>
        </w:tabs>
        <w:wordWrap w:val="0"/>
        <w:rPr>
          <w:rFonts w:ascii="宋体" w:hAnsi="宋体"/>
          <w:b/>
          <w:sz w:val="30"/>
          <w:szCs w:val="30"/>
        </w:rPr>
      </w:pPr>
      <w:r>
        <w:rPr>
          <w:rFonts w:hint="eastAsia" w:ascii="宋体" w:hAnsi="宋体"/>
          <w:b/>
          <w:sz w:val="30"/>
          <w:szCs w:val="30"/>
        </w:rPr>
        <w:t>（仅供参考，以院方版本为准）</w:t>
      </w:r>
    </w:p>
    <w:p>
      <w:pPr>
        <w:numPr>
          <w:ilvl w:val="0"/>
          <w:numId w:val="0"/>
        </w:numPr>
        <w:rPr>
          <w:rFonts w:hint="eastAsia" w:eastAsia="宋体"/>
          <w:lang w:eastAsia="zh-CN"/>
        </w:rPr>
      </w:pPr>
    </w:p>
    <w:p>
      <w:pPr>
        <w:pStyle w:val="52"/>
        <w:pBdr>
          <w:bottom w:val="none" w:color="auto" w:sz="0" w:space="0"/>
        </w:pBdr>
        <w:tabs>
          <w:tab w:val="right" w:pos="8460"/>
          <w:tab w:val="clear" w:pos="8306"/>
        </w:tabs>
        <w:wordWrap w:val="0"/>
        <w:jc w:val="right"/>
        <w:rPr>
          <w:rFonts w:ascii="宋体" w:hAnsi="宋体"/>
          <w:b/>
          <w:sz w:val="30"/>
          <w:szCs w:val="30"/>
        </w:rPr>
      </w:pPr>
    </w:p>
    <w:p>
      <w:pPr>
        <w:jc w:val="center"/>
        <w:rPr>
          <w:rFonts w:ascii="宋体" w:hAnsi="宋体"/>
          <w:sz w:val="44"/>
        </w:rPr>
      </w:pPr>
    </w:p>
    <w:p>
      <w:pPr>
        <w:pStyle w:val="52"/>
        <w:pBdr>
          <w:bottom w:val="none" w:color="auto" w:sz="0" w:space="0"/>
        </w:pBdr>
        <w:tabs>
          <w:tab w:val="right" w:pos="8460"/>
          <w:tab w:val="clear" w:pos="8306"/>
        </w:tabs>
        <w:ind w:right="600" w:firstLine="6035" w:firstLineChars="2004"/>
        <w:jc w:val="both"/>
        <w:rPr>
          <w:rFonts w:ascii="宋体" w:hAnsi="宋体"/>
          <w:b/>
          <w:sz w:val="30"/>
          <w:szCs w:val="30"/>
        </w:rPr>
      </w:pPr>
      <w:r>
        <w:rPr>
          <w:rFonts w:hint="eastAsia" w:ascii="宋体" w:hAnsi="宋体"/>
          <w:b/>
          <w:sz w:val="30"/>
          <w:szCs w:val="30"/>
        </w:rPr>
        <w:t>合同编号：</w:t>
      </w:r>
    </w:p>
    <w:p>
      <w:pPr>
        <w:jc w:val="center"/>
        <w:rPr>
          <w:rFonts w:ascii="宋体" w:hAnsi="宋体"/>
          <w:sz w:val="44"/>
        </w:rPr>
      </w:pPr>
    </w:p>
    <w:p>
      <w:pPr>
        <w:jc w:val="center"/>
        <w:rPr>
          <w:rFonts w:ascii="宋体" w:hAnsi="宋体"/>
          <w:b/>
          <w:sz w:val="72"/>
        </w:rPr>
      </w:pPr>
      <w:r>
        <w:rPr>
          <w:rFonts w:hint="eastAsia" w:ascii="宋体" w:hAnsi="宋体"/>
          <w:b/>
          <w:sz w:val="72"/>
        </w:rPr>
        <w:t>政府采购合同</w:t>
      </w:r>
    </w:p>
    <w:p>
      <w:pPr>
        <w:jc w:val="center"/>
        <w:rPr>
          <w:rFonts w:ascii="宋体" w:hAnsi="宋体"/>
          <w:sz w:val="72"/>
        </w:rPr>
      </w:pPr>
    </w:p>
    <w:p>
      <w:pPr>
        <w:widowControl/>
        <w:snapToGrid w:val="0"/>
        <w:spacing w:line="360" w:lineRule="auto"/>
        <w:rPr>
          <w:rFonts w:ascii="宋体" w:hAnsi="宋体" w:cs="宋体"/>
          <w:b/>
          <w:kern w:val="0"/>
          <w:sz w:val="24"/>
        </w:rPr>
      </w:pPr>
    </w:p>
    <w:p>
      <w:pPr>
        <w:widowControl/>
        <w:snapToGrid w:val="0"/>
        <w:spacing w:line="360" w:lineRule="auto"/>
        <w:rPr>
          <w:rFonts w:ascii="宋体" w:hAnsi="宋体" w:cs="宋体"/>
          <w:b/>
          <w:kern w:val="0"/>
          <w:sz w:val="32"/>
          <w:szCs w:val="32"/>
        </w:rPr>
      </w:pPr>
    </w:p>
    <w:p>
      <w:pPr>
        <w:widowControl/>
        <w:snapToGrid w:val="0"/>
        <w:spacing w:line="360" w:lineRule="auto"/>
        <w:ind w:left="2972" w:leftChars="658" w:hanging="1590" w:hangingChars="495"/>
        <w:jc w:val="left"/>
        <w:rPr>
          <w:rFonts w:ascii="宋体" w:hAnsi="宋体" w:cs="宋体"/>
          <w:b/>
          <w:kern w:val="0"/>
          <w:sz w:val="32"/>
          <w:szCs w:val="32"/>
          <w:u w:val="single"/>
        </w:rPr>
      </w:pPr>
      <w:r>
        <w:rPr>
          <w:rFonts w:hint="eastAsia" w:ascii="宋体" w:hAnsi="宋体" w:cs="宋体"/>
          <w:b/>
          <w:kern w:val="0"/>
          <w:sz w:val="32"/>
          <w:szCs w:val="32"/>
        </w:rPr>
        <w:t>项目名称</w:t>
      </w:r>
      <w:r>
        <w:rPr>
          <w:rFonts w:ascii="宋体" w:hAnsi="宋体" w:cs="宋体"/>
          <w:b/>
          <w:kern w:val="0"/>
          <w:sz w:val="32"/>
          <w:szCs w:val="32"/>
        </w:rPr>
        <w:t>:</w:t>
      </w:r>
    </w:p>
    <w:p>
      <w:pPr>
        <w:widowControl/>
        <w:snapToGrid w:val="0"/>
        <w:spacing w:line="360" w:lineRule="auto"/>
        <w:ind w:left="2972" w:leftChars="658" w:hanging="1590" w:hangingChars="495"/>
        <w:jc w:val="left"/>
        <w:rPr>
          <w:rFonts w:ascii="宋体" w:hAnsi="宋体" w:cs="宋体"/>
          <w:b/>
          <w:kern w:val="0"/>
          <w:sz w:val="32"/>
          <w:szCs w:val="32"/>
        </w:rPr>
      </w:pPr>
      <w:r>
        <w:rPr>
          <w:rFonts w:hint="eastAsia" w:ascii="宋体" w:hAnsi="宋体" w:cs="宋体"/>
          <w:b/>
          <w:kern w:val="0"/>
          <w:sz w:val="32"/>
          <w:szCs w:val="32"/>
        </w:rPr>
        <w:t>项目编号</w:t>
      </w:r>
      <w:r>
        <w:rPr>
          <w:rFonts w:ascii="宋体" w:hAnsi="宋体" w:cs="宋体"/>
          <w:b/>
          <w:kern w:val="0"/>
          <w:sz w:val="32"/>
          <w:szCs w:val="32"/>
        </w:rPr>
        <w:t>:</w:t>
      </w:r>
    </w:p>
    <w:p>
      <w:pPr>
        <w:widowControl/>
        <w:snapToGrid w:val="0"/>
        <w:spacing w:line="360" w:lineRule="auto"/>
        <w:rPr>
          <w:rFonts w:ascii="宋体" w:hAnsi="宋体" w:cs="宋体"/>
          <w:b/>
          <w:kern w:val="0"/>
          <w:sz w:val="32"/>
          <w:szCs w:val="32"/>
        </w:rPr>
      </w:pPr>
    </w:p>
    <w:p>
      <w:pPr>
        <w:widowControl/>
        <w:snapToGrid w:val="0"/>
        <w:spacing w:line="360" w:lineRule="auto"/>
        <w:rPr>
          <w:rFonts w:ascii="宋体" w:hAnsi="宋体" w:cs="宋体"/>
          <w:b/>
          <w:kern w:val="0"/>
          <w:sz w:val="32"/>
          <w:szCs w:val="32"/>
        </w:rPr>
      </w:pPr>
    </w:p>
    <w:p>
      <w:pPr>
        <w:widowControl/>
        <w:snapToGrid w:val="0"/>
        <w:spacing w:line="360" w:lineRule="auto"/>
        <w:rPr>
          <w:rFonts w:ascii="宋体" w:hAnsi="宋体" w:cs="宋体"/>
          <w:b/>
          <w:kern w:val="0"/>
          <w:sz w:val="32"/>
          <w:szCs w:val="32"/>
        </w:rPr>
      </w:pPr>
    </w:p>
    <w:p>
      <w:pPr>
        <w:widowControl/>
        <w:snapToGrid w:val="0"/>
        <w:spacing w:line="360" w:lineRule="auto"/>
        <w:ind w:firstLine="1285" w:firstLineChars="400"/>
        <w:jc w:val="left"/>
        <w:rPr>
          <w:rFonts w:ascii="宋体" w:hAnsi="宋体" w:cs="宋体"/>
          <w:b/>
          <w:kern w:val="0"/>
          <w:sz w:val="32"/>
          <w:szCs w:val="32"/>
          <w:u w:val="single"/>
        </w:rPr>
      </w:pPr>
      <w:r>
        <w:rPr>
          <w:rFonts w:hint="eastAsia" w:ascii="宋体" w:hAnsi="宋体" w:cs="宋体"/>
          <w:b/>
          <w:kern w:val="0"/>
          <w:sz w:val="32"/>
          <w:szCs w:val="32"/>
        </w:rPr>
        <w:t>甲方</w:t>
      </w:r>
      <w:r>
        <w:rPr>
          <w:rFonts w:ascii="宋体" w:hAnsi="宋体" w:cs="宋体"/>
          <w:b/>
          <w:kern w:val="0"/>
          <w:sz w:val="32"/>
          <w:szCs w:val="32"/>
        </w:rPr>
        <w:t>:</w:t>
      </w:r>
    </w:p>
    <w:p>
      <w:pPr>
        <w:widowControl/>
        <w:snapToGrid w:val="0"/>
        <w:spacing w:line="360" w:lineRule="auto"/>
        <w:ind w:left="420" w:leftChars="200" w:firstLine="855" w:firstLineChars="266"/>
        <w:jc w:val="left"/>
        <w:rPr>
          <w:rFonts w:ascii="宋体" w:hAnsi="宋体" w:cs="宋体"/>
          <w:b/>
          <w:kern w:val="0"/>
          <w:sz w:val="32"/>
          <w:szCs w:val="32"/>
          <w:u w:val="single"/>
        </w:rPr>
      </w:pPr>
      <w:r>
        <w:rPr>
          <w:rFonts w:hint="eastAsia" w:ascii="宋体" w:hAnsi="宋体" w:cs="宋体"/>
          <w:b/>
          <w:kern w:val="0"/>
          <w:sz w:val="32"/>
          <w:szCs w:val="32"/>
        </w:rPr>
        <w:t>乙方</w:t>
      </w:r>
      <w:r>
        <w:rPr>
          <w:rFonts w:ascii="宋体" w:hAnsi="宋体" w:cs="宋体"/>
          <w:b/>
          <w:kern w:val="0"/>
          <w:sz w:val="32"/>
          <w:szCs w:val="32"/>
        </w:rPr>
        <w:t>:</w:t>
      </w:r>
    </w:p>
    <w:p>
      <w:pPr>
        <w:spacing w:line="360" w:lineRule="auto"/>
        <w:ind w:firstLine="480" w:firstLineChars="200"/>
        <w:jc w:val="center"/>
        <w:rPr>
          <w:rFonts w:ascii="宋体" w:hAnsi="宋体"/>
          <w:sz w:val="24"/>
          <w:u w:val="single"/>
        </w:rPr>
      </w:pPr>
    </w:p>
    <w:p>
      <w:pPr>
        <w:widowControl/>
        <w:snapToGrid w:val="0"/>
        <w:spacing w:line="360" w:lineRule="auto"/>
        <w:jc w:val="center"/>
        <w:rPr>
          <w:rFonts w:ascii="宋体" w:hAnsi="宋体"/>
          <w:snapToGrid w:val="0"/>
          <w:kern w:val="0"/>
          <w:sz w:val="24"/>
          <w:u w:val="single"/>
        </w:rPr>
      </w:pPr>
    </w:p>
    <w:p>
      <w:pPr>
        <w:widowControl/>
        <w:snapToGrid w:val="0"/>
        <w:spacing w:line="360" w:lineRule="auto"/>
        <w:jc w:val="center"/>
        <w:rPr>
          <w:rFonts w:ascii="宋体" w:hAnsi="宋体" w:cs="宋体"/>
          <w:kern w:val="0"/>
          <w:sz w:val="24"/>
        </w:rPr>
      </w:pPr>
      <w:r>
        <w:rPr>
          <w:rFonts w:hint="eastAsia" w:ascii="宋体" w:hAnsi="宋体"/>
          <w:snapToGrid w:val="0"/>
          <w:kern w:val="0"/>
          <w:sz w:val="24"/>
          <w:u w:val="single"/>
        </w:rPr>
        <w:t>本合同非为中小企业预留合同</w:t>
      </w:r>
    </w:p>
    <w:p>
      <w:pPr>
        <w:widowControl/>
        <w:spacing w:line="360" w:lineRule="auto"/>
        <w:ind w:firstLine="480" w:firstLineChars="200"/>
        <w:jc w:val="left"/>
        <w:rPr>
          <w:rFonts w:ascii="宋体" w:hAnsi="宋体"/>
          <w:snapToGrid w:val="0"/>
          <w:kern w:val="0"/>
          <w:sz w:val="24"/>
        </w:rPr>
      </w:pPr>
      <w:r>
        <w:rPr>
          <w:rFonts w:ascii="宋体" w:hAnsi="宋体"/>
          <w:sz w:val="24"/>
          <w:u w:val="single"/>
        </w:rPr>
        <w:br w:type="page"/>
      </w:r>
      <w:r>
        <w:rPr>
          <w:rFonts w:hint="eastAsia" w:ascii="宋体" w:hAnsi="宋体"/>
          <w:snapToGrid w:val="0"/>
          <w:kern w:val="0"/>
          <w:sz w:val="24"/>
          <w:u w:val="single"/>
        </w:rPr>
        <w:t>（采购人名称）</w:t>
      </w:r>
      <w:r>
        <w:rPr>
          <w:rFonts w:hint="eastAsia" w:ascii="宋体" w:hAnsi="宋体"/>
          <w:snapToGrid w:val="0"/>
          <w:kern w:val="0"/>
          <w:sz w:val="24"/>
        </w:rPr>
        <w:t>所需</w:t>
      </w:r>
      <w:r>
        <w:rPr>
          <w:rFonts w:ascii="宋体" w:hAnsi="宋体"/>
          <w:snapToGrid w:val="0"/>
          <w:kern w:val="0"/>
          <w:sz w:val="24"/>
          <w:u w:val="single"/>
        </w:rPr>
        <w:t>(</w:t>
      </w:r>
      <w:r>
        <w:rPr>
          <w:rFonts w:hint="eastAsia" w:ascii="宋体" w:hAnsi="宋体"/>
          <w:snapToGrid w:val="0"/>
          <w:kern w:val="0"/>
          <w:sz w:val="24"/>
          <w:u w:val="single"/>
        </w:rPr>
        <w:t>服务名称</w:t>
      </w:r>
      <w:r>
        <w:rPr>
          <w:rFonts w:ascii="宋体" w:hAnsi="宋体"/>
          <w:snapToGrid w:val="0"/>
          <w:kern w:val="0"/>
          <w:sz w:val="24"/>
          <w:u w:val="single"/>
        </w:rPr>
        <w:t>)</w:t>
      </w:r>
      <w:r>
        <w:rPr>
          <w:rFonts w:hint="eastAsia" w:ascii="宋体" w:hAnsi="宋体"/>
          <w:snapToGrid w:val="0"/>
          <w:kern w:val="0"/>
          <w:sz w:val="24"/>
        </w:rPr>
        <w:t>经海逸恒安项目管理有限公司以</w:t>
      </w:r>
      <w:r>
        <w:rPr>
          <w:rFonts w:hint="eastAsia" w:ascii="宋体" w:hAnsi="宋体"/>
          <w:snapToGrid w:val="0"/>
          <w:kern w:val="0"/>
          <w:sz w:val="24"/>
          <w:u w:val="single"/>
        </w:rPr>
        <w:t>（采购编号）</w:t>
      </w:r>
      <w:r>
        <w:rPr>
          <w:rFonts w:hint="eastAsia" w:ascii="宋体" w:hAnsi="宋体"/>
          <w:snapToGrid w:val="0"/>
          <w:kern w:val="0"/>
          <w:sz w:val="24"/>
        </w:rPr>
        <w:t>采购文件在国内以竞争性磋商方式进行采购。经磋商小组评审，确定</w:t>
      </w:r>
      <w:r>
        <w:rPr>
          <w:rFonts w:hint="eastAsia" w:ascii="宋体" w:hAnsi="宋体"/>
          <w:snapToGrid w:val="0"/>
          <w:kern w:val="0"/>
          <w:sz w:val="24"/>
          <w:u w:val="single"/>
        </w:rPr>
        <w:t>（响应人名称）</w:t>
      </w:r>
      <w:r>
        <w:rPr>
          <w:rFonts w:hint="eastAsia" w:ascii="宋体" w:hAnsi="宋体"/>
          <w:snapToGrid w:val="0"/>
          <w:kern w:val="0"/>
          <w:sz w:val="24"/>
        </w:rPr>
        <w:t>为成交响应人。双方根据《中华人民共和国政府采购法》、《中华人民共和国民法典》等相关法律法规以及本项目采购文件的规定，经平等协商达成合同如下：</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一、合同文件</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本合同所附下列文件是构成本合同不可分割的部分：</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（一）本项目采购文件</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（二）成交响应人响应文件</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（三）合同格式及合同条款</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（四）成交响应人在评标过程中做出的有关澄清、说明或者补正文件</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（五）成交通知书</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（六）本合同附件</w:t>
      </w:r>
    </w:p>
    <w:p>
      <w:pPr>
        <w:widowControl/>
        <w:spacing w:line="360" w:lineRule="auto"/>
        <w:ind w:firstLine="480" w:firstLineChars="200"/>
        <w:jc w:val="left"/>
        <w:rPr>
          <w:rFonts w:ascii="宋体" w:cs="仿宋_GB2312"/>
          <w:kern w:val="0"/>
          <w:sz w:val="24"/>
        </w:rPr>
      </w:pPr>
      <w:r>
        <w:rPr>
          <w:rFonts w:hint="eastAsia" w:ascii="宋体" w:hAnsi="宋体" w:cs="仿宋_GB2312"/>
          <w:kern w:val="0"/>
          <w:sz w:val="24"/>
        </w:rPr>
        <w:t>在合同订立及履行过程中形成的与合同有关的文件均构成合同文件组成部分。</w:t>
      </w:r>
    </w:p>
    <w:p>
      <w:pPr>
        <w:widowControl/>
        <w:spacing w:line="360" w:lineRule="auto"/>
        <w:ind w:firstLine="480" w:firstLineChars="200"/>
        <w:jc w:val="left"/>
        <w:rPr>
          <w:rFonts w:ascii="宋体" w:cs="仿宋_GB2312"/>
          <w:kern w:val="0"/>
          <w:sz w:val="24"/>
        </w:rPr>
      </w:pPr>
      <w:r>
        <w:rPr>
          <w:rFonts w:hint="eastAsia" w:ascii="宋体" w:hAnsi="宋体" w:cs="仿宋_GB2312"/>
          <w:kern w:val="0"/>
          <w:sz w:val="24"/>
        </w:rPr>
        <w:t>上述各项合同文件包括合同当事人就该项合同文件所作出的补充和修改，属于同一类内容的文件，应以最新签署的为准。专用合同条款及其附件须经合同当事人签字或盖章。</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二、合同的范围和条件</w:t>
      </w:r>
    </w:p>
    <w:p>
      <w:pPr>
        <w:snapToGrid w:val="0"/>
        <w:spacing w:line="360" w:lineRule="auto"/>
        <w:ind w:firstLine="480" w:firstLineChars="200"/>
        <w:rPr>
          <w:rFonts w:ascii="宋体" w:hAnsi="宋体"/>
          <w:snapToGrid w:val="0"/>
          <w:kern w:val="0"/>
        </w:rPr>
      </w:pPr>
      <w:r>
        <w:rPr>
          <w:rFonts w:hint="eastAsia" w:ascii="宋体" w:hAnsi="宋体"/>
          <w:snapToGrid w:val="0"/>
          <w:kern w:val="0"/>
          <w:sz w:val="24"/>
        </w:rPr>
        <w:t>本合同的范围和条件应与上述合同文件的规定相一致。</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三、服务内容、数量及规格</w:t>
      </w:r>
    </w:p>
    <w:p>
      <w:pPr>
        <w:snapToGrid w:val="0"/>
        <w:spacing w:line="360" w:lineRule="auto"/>
        <w:ind w:firstLine="480" w:firstLineChars="200"/>
        <w:rPr>
          <w:rFonts w:ascii="宋体" w:hAnsi="宋体"/>
          <w:snapToGrid w:val="0"/>
          <w:kern w:val="0"/>
          <w:sz w:val="24"/>
        </w:rPr>
      </w:pPr>
      <w:r>
        <w:rPr>
          <w:rFonts w:hint="eastAsia" w:ascii="宋体" w:hAnsi="宋体"/>
          <w:sz w:val="24"/>
        </w:rPr>
        <w:t>本合同所提供的服务项目、数量及规格详见采购文件及响应文件服务方案</w:t>
      </w:r>
      <w:r>
        <w:rPr>
          <w:rFonts w:hint="eastAsia" w:ascii="宋体" w:hAnsi="宋体"/>
          <w:snapToGrid w:val="0"/>
          <w:kern w:val="0"/>
          <w:sz w:val="24"/>
        </w:rPr>
        <w:t>。</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四、签约合同价与合同价格形式</w:t>
      </w:r>
    </w:p>
    <w:p>
      <w:pPr>
        <w:widowControl/>
        <w:spacing w:line="360" w:lineRule="auto"/>
        <w:ind w:firstLine="480" w:firstLineChars="200"/>
        <w:jc w:val="left"/>
        <w:rPr>
          <w:rFonts w:ascii="宋体" w:cs="仿宋_GB2312"/>
          <w:kern w:val="0"/>
          <w:sz w:val="24"/>
        </w:rPr>
      </w:pPr>
      <w:r>
        <w:rPr>
          <w:rFonts w:ascii="宋体" w:hAnsi="宋体" w:cs="仿宋_GB2312"/>
          <w:kern w:val="0"/>
          <w:sz w:val="24"/>
        </w:rPr>
        <w:t>1.</w:t>
      </w:r>
      <w:r>
        <w:rPr>
          <w:rFonts w:hint="eastAsia" w:ascii="宋体" w:hAnsi="宋体" w:cs="仿宋_GB2312"/>
          <w:kern w:val="0"/>
          <w:sz w:val="24"/>
        </w:rPr>
        <w:t>签约合同价为：</w:t>
      </w:r>
    </w:p>
    <w:p>
      <w:pPr>
        <w:widowControl/>
        <w:spacing w:line="360" w:lineRule="auto"/>
        <w:ind w:firstLine="480" w:firstLineChars="200"/>
        <w:jc w:val="left"/>
        <w:rPr>
          <w:rFonts w:ascii="宋体" w:cs="仿宋_GB2312"/>
          <w:kern w:val="0"/>
          <w:sz w:val="24"/>
        </w:rPr>
      </w:pPr>
      <w:r>
        <w:rPr>
          <w:rFonts w:hint="eastAsia" w:ascii="宋体" w:hAnsi="宋体" w:cs="仿宋_GB2312"/>
          <w:kern w:val="0"/>
          <w:sz w:val="24"/>
        </w:rPr>
        <w:t>人民币（大写）</w:t>
      </w:r>
      <w:r>
        <w:rPr>
          <w:rFonts w:ascii="宋体" w:hAnsi="宋体" w:cs="仿宋_GB2312"/>
          <w:kern w:val="0"/>
          <w:sz w:val="24"/>
          <w:u w:val="single"/>
        </w:rPr>
        <w:t xml:space="preserve"> </w:t>
      </w:r>
      <w:r>
        <w:rPr>
          <w:rFonts w:hint="eastAsia" w:ascii="宋体" w:hAnsi="宋体" w:cs="仿宋_GB2312"/>
          <w:kern w:val="0"/>
          <w:sz w:val="24"/>
          <w:u w:val="single"/>
        </w:rPr>
        <w:t xml:space="preserve">             </w:t>
      </w:r>
      <w:r>
        <w:rPr>
          <w:rFonts w:hint="eastAsia" w:ascii="宋体" w:hAnsi="宋体" w:cs="仿宋_GB2312"/>
          <w:kern w:val="0"/>
          <w:sz w:val="24"/>
        </w:rPr>
        <w:t>；</w:t>
      </w:r>
    </w:p>
    <w:p>
      <w:pPr>
        <w:snapToGrid w:val="0"/>
        <w:spacing w:line="360" w:lineRule="auto"/>
        <w:ind w:firstLine="480" w:firstLineChars="200"/>
        <w:rPr>
          <w:rFonts w:ascii="宋体" w:hAnsi="宋体"/>
          <w:snapToGrid w:val="0"/>
          <w:kern w:val="0"/>
        </w:rPr>
      </w:pPr>
      <w:r>
        <w:rPr>
          <w:rFonts w:ascii="宋体" w:hAnsi="宋体" w:cs="仿宋_GB2312"/>
          <w:kern w:val="0"/>
          <w:sz w:val="24"/>
        </w:rPr>
        <w:t>2.</w:t>
      </w:r>
      <w:r>
        <w:rPr>
          <w:rFonts w:hint="eastAsia" w:ascii="宋体" w:hAnsi="宋体" w:cs="仿宋_GB2312"/>
          <w:kern w:val="0"/>
          <w:sz w:val="24"/>
        </w:rPr>
        <w:t>合同价格形式：</w:t>
      </w:r>
      <w:r>
        <w:rPr>
          <w:rFonts w:hint="eastAsia" w:ascii="宋体" w:hAnsi="宋体" w:cs="仿宋_GB2312"/>
          <w:kern w:val="0"/>
          <w:sz w:val="24"/>
          <w:u w:val="single"/>
        </w:rPr>
        <w:t xml:space="preserve">            。</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五、资金来源</w:t>
      </w:r>
    </w:p>
    <w:p>
      <w:pPr>
        <w:tabs>
          <w:tab w:val="left" w:pos="840"/>
        </w:tabs>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预算内资金</w:t>
      </w:r>
      <w:r>
        <w:rPr>
          <w:rFonts w:hint="eastAsia" w:ascii="宋体" w:hAnsi="宋体"/>
          <w:snapToGrid w:val="0"/>
          <w:kern w:val="0"/>
          <w:sz w:val="24"/>
          <w:u w:val="single"/>
        </w:rPr>
        <w:t xml:space="preserve">       </w:t>
      </w:r>
      <w:r>
        <w:rPr>
          <w:rFonts w:hint="eastAsia" w:ascii="宋体" w:hAnsi="宋体"/>
          <w:snapToGrid w:val="0"/>
          <w:kern w:val="0"/>
          <w:sz w:val="24"/>
        </w:rPr>
        <w:t>元；财政专户资金</w:t>
      </w:r>
      <w:r>
        <w:rPr>
          <w:rFonts w:hint="eastAsia" w:ascii="宋体" w:hAnsi="宋体"/>
          <w:snapToGrid w:val="0"/>
          <w:kern w:val="0"/>
          <w:sz w:val="24"/>
          <w:u w:val="single"/>
        </w:rPr>
        <w:t xml:space="preserve">         </w:t>
      </w:r>
      <w:r>
        <w:rPr>
          <w:rFonts w:hint="eastAsia" w:ascii="宋体" w:hAnsi="宋体"/>
          <w:snapToGrid w:val="0"/>
          <w:kern w:val="0"/>
          <w:sz w:val="24"/>
        </w:rPr>
        <w:t>元；自筹资金</w:t>
      </w:r>
      <w:r>
        <w:rPr>
          <w:rFonts w:hint="eastAsia" w:ascii="宋体" w:hAnsi="宋体"/>
          <w:snapToGrid w:val="0"/>
          <w:kern w:val="0"/>
          <w:sz w:val="24"/>
          <w:u w:val="single"/>
        </w:rPr>
        <w:t xml:space="preserve">         </w:t>
      </w:r>
      <w:r>
        <w:rPr>
          <w:rFonts w:hint="eastAsia" w:ascii="宋体" w:hAnsi="宋体"/>
          <w:snapToGrid w:val="0"/>
          <w:kern w:val="0"/>
          <w:sz w:val="24"/>
        </w:rPr>
        <w:t>元</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六、付款方式</w:t>
      </w:r>
    </w:p>
    <w:p>
      <w:pPr>
        <w:pStyle w:val="2"/>
        <w:snapToGrid w:val="0"/>
        <w:spacing w:after="0" w:line="360" w:lineRule="auto"/>
        <w:ind w:firstLine="480" w:firstLineChars="200"/>
        <w:rPr>
          <w:rFonts w:ascii="宋体" w:hAnsi="宋体"/>
          <w:snapToGrid w:val="0"/>
          <w:sz w:val="24"/>
        </w:rPr>
      </w:pPr>
      <w:r>
        <w:rPr>
          <w:rFonts w:hint="eastAsia" w:ascii="宋体" w:hAnsi="宋体"/>
          <w:snapToGrid w:val="0"/>
          <w:sz w:val="24"/>
        </w:rPr>
        <w:t>□分期支付方式：</w:t>
      </w:r>
    </w:p>
    <w:p>
      <w:pPr>
        <w:pStyle w:val="2"/>
        <w:snapToGrid w:val="0"/>
        <w:spacing w:after="0" w:line="360" w:lineRule="auto"/>
        <w:ind w:firstLine="480" w:firstLineChars="200"/>
        <w:rPr>
          <w:rFonts w:ascii="宋体" w:hAnsi="宋体"/>
          <w:snapToGrid w:val="0"/>
          <w:sz w:val="24"/>
        </w:rPr>
      </w:pPr>
      <w:r>
        <w:rPr>
          <w:rFonts w:hint="eastAsia" w:ascii="宋体" w:hAnsi="宋体"/>
          <w:snapToGrid w:val="0"/>
          <w:sz w:val="24"/>
        </w:rPr>
        <w:t>□一次性支付方式：</w:t>
      </w:r>
    </w:p>
    <w:p>
      <w:pPr>
        <w:pStyle w:val="2"/>
        <w:snapToGrid w:val="0"/>
        <w:spacing w:after="0" w:line="360" w:lineRule="auto"/>
        <w:ind w:firstLine="480" w:firstLineChars="200"/>
        <w:rPr>
          <w:rFonts w:ascii="宋体" w:hAnsi="宋体"/>
          <w:sz w:val="24"/>
        </w:rPr>
      </w:pPr>
      <w:r>
        <w:rPr>
          <w:rFonts w:hint="eastAsia" w:ascii="宋体" w:hAnsi="宋体"/>
          <w:snapToGrid w:val="0"/>
          <w:sz w:val="24"/>
        </w:rPr>
        <w:t>□其他支付方式：</w:t>
      </w:r>
    </w:p>
    <w:p>
      <w:pPr>
        <w:tabs>
          <w:tab w:val="left" w:pos="955"/>
        </w:tabs>
        <w:snapToGrid w:val="0"/>
        <w:spacing w:line="360" w:lineRule="auto"/>
        <w:ind w:firstLine="482" w:firstLineChars="200"/>
        <w:rPr>
          <w:rFonts w:ascii="宋体" w:hAnsi="宋体"/>
          <w:b/>
          <w:sz w:val="24"/>
        </w:rPr>
      </w:pPr>
      <w:r>
        <w:rPr>
          <w:rFonts w:hint="eastAsia" w:ascii="宋体" w:hAnsi="宋体"/>
          <w:b/>
          <w:sz w:val="24"/>
        </w:rPr>
        <w:t>七、服务期、地点</w:t>
      </w:r>
    </w:p>
    <w:p>
      <w:pPr>
        <w:tabs>
          <w:tab w:val="left" w:pos="955"/>
        </w:tabs>
        <w:snapToGrid w:val="0"/>
        <w:spacing w:line="360" w:lineRule="auto"/>
        <w:ind w:firstLine="480" w:firstLineChars="200"/>
        <w:rPr>
          <w:rFonts w:ascii="宋体" w:hAnsi="宋体"/>
          <w:bCs/>
          <w:sz w:val="24"/>
        </w:rPr>
      </w:pPr>
      <w:r>
        <w:rPr>
          <w:rFonts w:hint="eastAsia" w:ascii="宋体" w:hAnsi="宋体"/>
          <w:bCs/>
          <w:sz w:val="24"/>
        </w:rPr>
        <w:t>1、服务期：合同生效之日起   日内完成服务项目。</w:t>
      </w:r>
    </w:p>
    <w:p>
      <w:pPr>
        <w:tabs>
          <w:tab w:val="left" w:pos="955"/>
        </w:tabs>
        <w:snapToGrid w:val="0"/>
        <w:spacing w:line="360" w:lineRule="auto"/>
        <w:ind w:firstLine="480" w:firstLineChars="200"/>
        <w:rPr>
          <w:rFonts w:ascii="宋体" w:hAnsi="宋体"/>
          <w:sz w:val="24"/>
          <w:u w:val="single"/>
        </w:rPr>
      </w:pPr>
      <w:r>
        <w:rPr>
          <w:rFonts w:hint="eastAsia" w:ascii="宋体" w:hAnsi="宋体"/>
          <w:bCs/>
          <w:sz w:val="24"/>
        </w:rPr>
        <w:t>2、服务地点：</w:t>
      </w:r>
      <w:r>
        <w:rPr>
          <w:rFonts w:ascii="宋体" w:hAnsi="宋体"/>
          <w:sz w:val="24"/>
          <w:u w:val="single"/>
        </w:rPr>
        <w:t xml:space="preserve">  </w:t>
      </w:r>
      <w:r>
        <w:rPr>
          <w:rFonts w:ascii="宋体" w:hAnsi="宋体"/>
          <w:u w:val="single"/>
        </w:rPr>
        <w:t xml:space="preserve">                            </w:t>
      </w:r>
    </w:p>
    <w:p>
      <w:pPr>
        <w:snapToGrid w:val="0"/>
        <w:spacing w:line="360" w:lineRule="auto"/>
        <w:ind w:firstLine="480"/>
        <w:rPr>
          <w:rFonts w:ascii="宋体" w:hAnsi="宋体"/>
          <w:b/>
          <w:bCs/>
          <w:sz w:val="24"/>
        </w:rPr>
      </w:pPr>
      <w:r>
        <w:rPr>
          <w:rFonts w:hint="eastAsia" w:ascii="宋体" w:hAnsi="宋体"/>
          <w:b/>
          <w:bCs/>
          <w:sz w:val="24"/>
        </w:rPr>
        <w:t>八、质量标准和验收</w:t>
      </w:r>
    </w:p>
    <w:p>
      <w:pPr>
        <w:snapToGrid w:val="0"/>
        <w:spacing w:line="360" w:lineRule="auto"/>
        <w:ind w:firstLine="480"/>
        <w:rPr>
          <w:rFonts w:ascii="宋体" w:hAnsi="宋体"/>
          <w:snapToGrid w:val="0"/>
          <w:kern w:val="0"/>
          <w:sz w:val="24"/>
        </w:rPr>
      </w:pPr>
      <w:r>
        <w:rPr>
          <w:rFonts w:hint="eastAsia" w:ascii="宋体" w:hAnsi="宋体"/>
          <w:sz w:val="24"/>
        </w:rPr>
        <w:t>1、本项目质量标准及验收由采购人或采购人委托招标代理机构聘请相关专家及采购单位负责组织验收。采购人指定验收人员，全权负责验收签字工作，要将验收情况在验收单中如实说明，并签字确认。采购人要对自己的验收意见负责，如果验收意见与事实不符，应承担相应的法律责任。一方如对验收意见存在异议，可向当地质检（商检）部门申请检验，并出具检验证书，检验费用由主张方支付。验收通过后，双方共同在项目验收单上签字和加盖双方单位公章，作为验收合格的依据。</w:t>
      </w:r>
    </w:p>
    <w:p>
      <w:pPr>
        <w:snapToGrid w:val="0"/>
        <w:spacing w:line="360" w:lineRule="auto"/>
        <w:ind w:firstLine="480"/>
        <w:rPr>
          <w:rFonts w:ascii="宋体" w:hAnsi="宋体" w:cs="Calibri"/>
          <w:snapToGrid w:val="0"/>
          <w:kern w:val="0"/>
          <w:sz w:val="24"/>
        </w:rPr>
      </w:pPr>
      <w:r>
        <w:rPr>
          <w:rFonts w:hint="eastAsia" w:ascii="宋体" w:hAnsi="宋体" w:cs="Calibri"/>
          <w:snapToGrid w:val="0"/>
          <w:kern w:val="0"/>
          <w:sz w:val="24"/>
        </w:rPr>
        <w:t>2、履约验收方案（详见附件）</w:t>
      </w:r>
    </w:p>
    <w:p>
      <w:pPr>
        <w:snapToGrid w:val="0"/>
        <w:spacing w:line="360" w:lineRule="auto"/>
        <w:ind w:firstLine="480"/>
        <w:rPr>
          <w:rFonts w:ascii="宋体" w:hAnsi="宋体" w:cs="Calibri"/>
          <w:b/>
          <w:bCs/>
          <w:snapToGrid w:val="0"/>
          <w:kern w:val="0"/>
          <w:sz w:val="24"/>
        </w:rPr>
      </w:pPr>
      <w:r>
        <w:rPr>
          <w:rFonts w:hint="eastAsia" w:ascii="宋体" w:hAnsi="宋体" w:cs="Calibri"/>
          <w:b/>
          <w:bCs/>
          <w:snapToGrid w:val="0"/>
          <w:kern w:val="0"/>
          <w:sz w:val="24"/>
        </w:rPr>
        <w:t>九、承诺</w:t>
      </w:r>
    </w:p>
    <w:p>
      <w:pPr>
        <w:widowControl/>
        <w:spacing w:line="360" w:lineRule="auto"/>
        <w:ind w:firstLine="480" w:firstLineChars="200"/>
        <w:jc w:val="left"/>
        <w:rPr>
          <w:rFonts w:ascii="宋体" w:cs="仿宋_GB2312"/>
          <w:kern w:val="0"/>
          <w:sz w:val="24"/>
        </w:rPr>
      </w:pPr>
      <w:r>
        <w:rPr>
          <w:rFonts w:ascii="宋体" w:hAnsi="宋体" w:cs="仿宋_GB2312"/>
          <w:kern w:val="0"/>
          <w:sz w:val="24"/>
        </w:rPr>
        <w:t>1.</w:t>
      </w:r>
      <w:r>
        <w:rPr>
          <w:rFonts w:hint="eastAsia" w:ascii="宋体" w:hAnsi="宋体" w:cs="仿宋_GB2312"/>
          <w:kern w:val="0"/>
          <w:sz w:val="24"/>
        </w:rPr>
        <w:t>采购人承诺按照法律规定履行项目审批手续、筹集项目资金并按照合同约定的期限和方式支付合同价款。</w:t>
      </w:r>
    </w:p>
    <w:p>
      <w:pPr>
        <w:widowControl/>
        <w:spacing w:line="360" w:lineRule="auto"/>
        <w:ind w:firstLine="480" w:firstLineChars="200"/>
        <w:jc w:val="left"/>
        <w:rPr>
          <w:rFonts w:ascii="宋体" w:cs="仿宋_GB2312"/>
          <w:kern w:val="0"/>
          <w:sz w:val="24"/>
        </w:rPr>
      </w:pPr>
      <w:r>
        <w:rPr>
          <w:rFonts w:ascii="宋体" w:hAnsi="宋体" w:cs="仿宋_GB2312"/>
          <w:kern w:val="0"/>
          <w:sz w:val="24"/>
        </w:rPr>
        <w:t>2.</w:t>
      </w:r>
      <w:r>
        <w:rPr>
          <w:rFonts w:hint="eastAsia" w:ascii="宋体" w:hAnsi="宋体" w:cs="仿宋_GB2312"/>
          <w:kern w:val="0"/>
          <w:sz w:val="24"/>
        </w:rPr>
        <w:t>响应人承诺按照法律规定及合同约定提供服务，确保质量和安全，不进行转包及违法分包，并在缺陷责任期及保修期内承担相应的责任。</w:t>
      </w:r>
    </w:p>
    <w:p>
      <w:pPr>
        <w:widowControl/>
        <w:spacing w:line="360" w:lineRule="auto"/>
        <w:ind w:firstLine="480" w:firstLineChars="200"/>
        <w:jc w:val="left"/>
        <w:rPr>
          <w:rFonts w:ascii="宋体" w:hAnsi="宋体" w:cs="仿宋_GB2312"/>
          <w:kern w:val="0"/>
          <w:sz w:val="24"/>
        </w:rPr>
      </w:pPr>
      <w:r>
        <w:rPr>
          <w:rFonts w:hint="eastAsia" w:ascii="宋体" w:hAnsi="宋体" w:cs="仿宋_GB2312"/>
          <w:kern w:val="0"/>
          <w:sz w:val="24"/>
        </w:rPr>
        <w:t>3.采购人和响应人通过招投标形式签订合同的，双方理解并承诺不再就同一项目另行签订与合同实质性内容相背离的协议。</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十、履约保证金</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响应人在收到《成交通知书》后，如采购文件中要求缴纳履约保证金，则应按照采购文件的规定，向采购人提交履约保证金。</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十一、违约责任</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1、合同一方违约，违约方向对方支付违约金，违约金额为</w:t>
      </w:r>
      <w:r>
        <w:rPr>
          <w:rFonts w:hint="eastAsia" w:ascii="宋体" w:hAnsi="宋体"/>
          <w:snapToGrid w:val="0"/>
          <w:kern w:val="0"/>
          <w:sz w:val="24"/>
          <w:u w:val="single"/>
        </w:rPr>
        <w:t xml:space="preserve">    </w:t>
      </w:r>
      <w:r>
        <w:rPr>
          <w:rFonts w:hint="eastAsia" w:ascii="宋体" w:hAnsi="宋体"/>
          <w:snapToGrid w:val="0"/>
          <w:kern w:val="0"/>
          <w:sz w:val="24"/>
        </w:rPr>
        <w:t>。</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2、给对方造成的实际损失高于违约金的，对高出违约金的部分应予以赔偿。</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3、响应人迟延履行合同、不完全履行合同或提供的服务不符合采购文件的要求，除支付违约金外，仍应实际履行合同或重新提供符合要求的服务。</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4、其它未尽事宜，以《中华人民共和国民法典》规定为准。</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十二、争议解决</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合同双方应通过友好协商解决因解释﹑执行本合同所发生的和本合同有关的一切争议。如果经协商不能达成协议，双方约定采用下列第   种方式解决：</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1、向   仲裁委员会提起仲裁；</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2、向   法院提起诉讼。</w:t>
      </w:r>
    </w:p>
    <w:p>
      <w:pPr>
        <w:snapToGrid w:val="0"/>
        <w:spacing w:line="360" w:lineRule="auto"/>
        <w:ind w:firstLine="480"/>
        <w:rPr>
          <w:rFonts w:ascii="宋体" w:hAnsi="宋体" w:cs="Calibri"/>
          <w:b/>
          <w:bCs/>
          <w:snapToGrid w:val="0"/>
          <w:kern w:val="0"/>
          <w:sz w:val="24"/>
        </w:rPr>
      </w:pPr>
      <w:r>
        <w:rPr>
          <w:rFonts w:hint="eastAsia" w:ascii="宋体" w:hAnsi="宋体" w:cs="Calibri"/>
          <w:b/>
          <w:bCs/>
          <w:snapToGrid w:val="0"/>
          <w:kern w:val="0"/>
          <w:sz w:val="24"/>
        </w:rPr>
        <w:t>十三、合同签订</w:t>
      </w:r>
    </w:p>
    <w:p>
      <w:pPr>
        <w:snapToGrid w:val="0"/>
        <w:spacing w:line="360" w:lineRule="auto"/>
        <w:ind w:firstLine="480" w:firstLineChars="200"/>
        <w:rPr>
          <w:rFonts w:ascii="宋体" w:hAnsi="宋体" w:cs="Calibri"/>
          <w:snapToGrid w:val="0"/>
          <w:kern w:val="0"/>
          <w:sz w:val="24"/>
        </w:rPr>
      </w:pPr>
      <w:r>
        <w:rPr>
          <w:rFonts w:hint="eastAsia" w:ascii="宋体" w:hAnsi="宋体" w:cs="Calibri"/>
          <w:snapToGrid w:val="0"/>
          <w:kern w:val="0"/>
          <w:sz w:val="24"/>
        </w:rPr>
        <w:t>本合同于</w:t>
      </w:r>
      <w:r>
        <w:rPr>
          <w:rFonts w:hint="eastAsia" w:ascii="宋体" w:hAnsi="宋体" w:cs="Calibri"/>
          <w:snapToGrid w:val="0"/>
          <w:kern w:val="0"/>
          <w:sz w:val="24"/>
          <w:u w:val="single"/>
        </w:rPr>
        <w:t xml:space="preserve"> </w:t>
      </w:r>
      <w:bookmarkStart w:id="173" w:name="makeContractDate"/>
      <w:r>
        <w:rPr>
          <w:rFonts w:hint="eastAsia" w:ascii="宋体" w:hAnsi="宋体" w:cs="Calibri"/>
          <w:snapToGrid w:val="0"/>
          <w:kern w:val="0"/>
          <w:sz w:val="24"/>
          <w:u w:val="single"/>
        </w:rPr>
        <w:t xml:space="preserve">   </w:t>
      </w:r>
      <w:r>
        <w:rPr>
          <w:rFonts w:hint="eastAsia" w:ascii="宋体" w:hAnsi="宋体" w:cs="Calibri"/>
          <w:snapToGrid w:val="0"/>
          <w:kern w:val="0"/>
          <w:sz w:val="24"/>
        </w:rPr>
        <w:t>年</w:t>
      </w:r>
      <w:r>
        <w:rPr>
          <w:rFonts w:hint="eastAsia" w:ascii="宋体" w:hAnsi="宋体" w:cs="Calibri"/>
          <w:snapToGrid w:val="0"/>
          <w:kern w:val="0"/>
          <w:sz w:val="24"/>
          <w:u w:val="single"/>
        </w:rPr>
        <w:t xml:space="preserve">    </w:t>
      </w:r>
      <w:r>
        <w:rPr>
          <w:rFonts w:hint="eastAsia" w:ascii="宋体" w:hAnsi="宋体" w:cs="Calibri"/>
          <w:snapToGrid w:val="0"/>
          <w:kern w:val="0"/>
          <w:sz w:val="24"/>
        </w:rPr>
        <w:t>月</w:t>
      </w:r>
      <w:r>
        <w:rPr>
          <w:rFonts w:hint="eastAsia" w:ascii="宋体" w:hAnsi="宋体" w:cs="Calibri"/>
          <w:snapToGrid w:val="0"/>
          <w:kern w:val="0"/>
          <w:sz w:val="24"/>
          <w:u w:val="single"/>
        </w:rPr>
        <w:t xml:space="preserve">    </w:t>
      </w:r>
      <w:r>
        <w:rPr>
          <w:rFonts w:hint="eastAsia" w:ascii="宋体" w:hAnsi="宋体" w:cs="Calibri"/>
          <w:snapToGrid w:val="0"/>
          <w:kern w:val="0"/>
          <w:sz w:val="24"/>
        </w:rPr>
        <w:t>日</w:t>
      </w:r>
      <w:bookmarkEnd w:id="173"/>
      <w:r>
        <w:rPr>
          <w:rFonts w:hint="eastAsia" w:ascii="宋体" w:hAnsi="宋体" w:cs="Calibri"/>
          <w:snapToGrid w:val="0"/>
          <w:kern w:val="0"/>
          <w:sz w:val="24"/>
        </w:rPr>
        <w:t>在</w:t>
      </w:r>
      <w:r>
        <w:rPr>
          <w:rFonts w:hint="eastAsia" w:ascii="宋体" w:hAnsi="宋体" w:cs="Calibri"/>
          <w:snapToGrid w:val="0"/>
          <w:kern w:val="0"/>
          <w:sz w:val="24"/>
          <w:u w:val="single"/>
        </w:rPr>
        <w:t xml:space="preserve">                  </w:t>
      </w:r>
      <w:r>
        <w:rPr>
          <w:rFonts w:hint="eastAsia" w:ascii="宋体" w:hAnsi="宋体" w:cs="Calibri"/>
          <w:snapToGrid w:val="0"/>
          <w:kern w:val="0"/>
          <w:sz w:val="24"/>
        </w:rPr>
        <w:t xml:space="preserve"> 签订。</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十四、合同生效</w:t>
      </w:r>
    </w:p>
    <w:p>
      <w:pPr>
        <w:snapToGrid w:val="0"/>
        <w:spacing w:line="360" w:lineRule="auto"/>
        <w:ind w:firstLine="480" w:firstLineChars="200"/>
        <w:rPr>
          <w:rFonts w:ascii="宋体" w:hAnsi="宋体"/>
          <w:bCs/>
          <w:snapToGrid w:val="0"/>
          <w:kern w:val="0"/>
          <w:sz w:val="24"/>
        </w:rPr>
      </w:pPr>
      <w:r>
        <w:rPr>
          <w:rFonts w:hint="eastAsia" w:ascii="宋体" w:hAnsi="宋体"/>
          <w:snapToGrid w:val="0"/>
          <w:kern w:val="0"/>
          <w:sz w:val="24"/>
        </w:rPr>
        <w:t>本合同经双方签字盖章后生效。</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十五、其他</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依据《关于印发&lt;政府采购促进中小企业发展管理办法&gt;的通知》（财库〔2020〕46号）的规定享受扶持政策获得政府采购合同的，小微企业不得将合同分包给大中型企业，中型企业不得将合同分包给大型企业。</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十六、合同份数</w:t>
      </w:r>
    </w:p>
    <w:p>
      <w:pPr>
        <w:snapToGrid w:val="0"/>
        <w:spacing w:line="360" w:lineRule="auto"/>
        <w:ind w:firstLine="480" w:firstLineChars="200"/>
        <w:rPr>
          <w:rFonts w:ascii="宋体" w:hAnsi="宋体"/>
          <w:snapToGrid w:val="0"/>
          <w:kern w:val="0"/>
        </w:rPr>
      </w:pPr>
      <w:r>
        <w:rPr>
          <w:rFonts w:hint="eastAsia" w:ascii="宋体" w:hAnsi="宋体"/>
          <w:snapToGrid w:val="0"/>
          <w:kern w:val="0"/>
          <w:sz w:val="24"/>
        </w:rPr>
        <w:t>本合同一式</w:t>
      </w:r>
      <w:r>
        <w:rPr>
          <w:rFonts w:hint="eastAsia" w:ascii="宋体" w:hAnsi="宋体"/>
          <w:snapToGrid w:val="0"/>
          <w:kern w:val="0"/>
          <w:sz w:val="24"/>
          <w:u w:val="single"/>
        </w:rPr>
        <w:t xml:space="preserve">  </w:t>
      </w:r>
      <w:r>
        <w:rPr>
          <w:rFonts w:hint="eastAsia" w:ascii="宋体" w:hAnsi="宋体"/>
          <w:snapToGrid w:val="0"/>
          <w:kern w:val="0"/>
          <w:sz w:val="24"/>
        </w:rPr>
        <w:t>份，</w:t>
      </w:r>
      <w:r>
        <w:rPr>
          <w:rFonts w:hint="eastAsia" w:ascii="宋体" w:hAnsi="宋体" w:cs="仿宋_GB2312"/>
          <w:kern w:val="0"/>
          <w:sz w:val="24"/>
        </w:rPr>
        <w:t>均具有同等法律效力，</w:t>
      </w:r>
      <w:r>
        <w:rPr>
          <w:rFonts w:hint="eastAsia" w:ascii="宋体" w:hAnsi="宋体"/>
          <w:snapToGrid w:val="0"/>
          <w:kern w:val="0"/>
          <w:sz w:val="24"/>
        </w:rPr>
        <w:t>采购人</w:t>
      </w:r>
      <w:r>
        <w:rPr>
          <w:rFonts w:hint="eastAsia" w:ascii="宋体" w:hAnsi="宋体"/>
          <w:snapToGrid w:val="0"/>
          <w:kern w:val="0"/>
          <w:sz w:val="24"/>
          <w:u w:val="single"/>
        </w:rPr>
        <w:t xml:space="preserve">  </w:t>
      </w:r>
      <w:r>
        <w:rPr>
          <w:rFonts w:hint="eastAsia" w:ascii="宋体" w:hAnsi="宋体"/>
          <w:snapToGrid w:val="0"/>
          <w:kern w:val="0"/>
          <w:sz w:val="24"/>
        </w:rPr>
        <w:t>份，响应人</w:t>
      </w:r>
      <w:r>
        <w:rPr>
          <w:rFonts w:hint="eastAsia" w:ascii="宋体" w:hAnsi="宋体"/>
          <w:snapToGrid w:val="0"/>
          <w:kern w:val="0"/>
          <w:sz w:val="24"/>
          <w:u w:val="single"/>
        </w:rPr>
        <w:t xml:space="preserve">  </w:t>
      </w:r>
      <w:r>
        <w:rPr>
          <w:rFonts w:hint="eastAsia" w:ascii="宋体" w:hAnsi="宋体"/>
          <w:snapToGrid w:val="0"/>
          <w:kern w:val="0"/>
          <w:sz w:val="24"/>
        </w:rPr>
        <w:t xml:space="preserve">份， </w:t>
      </w:r>
      <w:r>
        <w:rPr>
          <w:rFonts w:hint="eastAsia" w:ascii="宋体" w:hAnsi="宋体" w:cs="仿宋_GB2312"/>
          <w:kern w:val="0"/>
          <w:sz w:val="24"/>
        </w:rPr>
        <w:t>代理机构一份</w:t>
      </w:r>
      <w:r>
        <w:rPr>
          <w:rFonts w:hint="eastAsia" w:ascii="宋体" w:hAnsi="宋体"/>
          <w:snapToGrid w:val="0"/>
          <w:kern w:val="0"/>
          <w:sz w:val="24"/>
        </w:rPr>
        <w:t>。</w:t>
      </w:r>
    </w:p>
    <w:tbl>
      <w:tblPr>
        <w:tblStyle w:val="76"/>
        <w:tblW w:w="10018"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75"/>
        <w:gridCol w:w="240"/>
        <w:gridCol w:w="5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2"/>
              <w:spacing w:line="276" w:lineRule="auto"/>
              <w:rPr>
                <w:rFonts w:ascii="宋体" w:hAnsi="宋体" w:cs="宋体"/>
                <w:color w:val="000000"/>
                <w:sz w:val="24"/>
              </w:rPr>
            </w:pPr>
          </w:p>
          <w:p>
            <w:pPr>
              <w:pStyle w:val="2"/>
              <w:spacing w:line="276" w:lineRule="auto"/>
              <w:rPr>
                <w:rFonts w:ascii="宋体" w:hAnsi="宋体" w:cs="宋体"/>
                <w:color w:val="000000"/>
                <w:sz w:val="24"/>
              </w:rPr>
            </w:pPr>
            <w:r>
              <w:rPr>
                <w:rFonts w:hint="eastAsia" w:ascii="宋体" w:hAnsi="宋体" w:cs="宋体"/>
                <w:color w:val="000000"/>
                <w:sz w:val="24"/>
              </w:rPr>
              <w:t>采购人： (公章)</w:t>
            </w:r>
          </w:p>
          <w:p>
            <w:pPr>
              <w:pStyle w:val="2"/>
              <w:spacing w:line="276" w:lineRule="auto"/>
              <w:rPr>
                <w:rFonts w:ascii="宋体" w:hAnsi="宋体" w:cs="宋体"/>
                <w:color w:val="000000"/>
                <w:sz w:val="24"/>
              </w:rPr>
            </w:pPr>
          </w:p>
        </w:tc>
        <w:tc>
          <w:tcPr>
            <w:tcW w:w="240" w:type="dxa"/>
            <w:vAlign w:val="center"/>
          </w:tcPr>
          <w:p>
            <w:pPr>
              <w:spacing w:after="200" w:line="360" w:lineRule="auto"/>
              <w:ind w:left="-2" w:leftChars="-1"/>
              <w:rPr>
                <w:rFonts w:ascii="宋体" w:hAnsi="宋体" w:cs="宋体"/>
                <w:color w:val="000000"/>
                <w:sz w:val="24"/>
              </w:rPr>
            </w:pPr>
          </w:p>
        </w:tc>
        <w:tc>
          <w:tcPr>
            <w:tcW w:w="5203" w:type="dxa"/>
            <w:vAlign w:val="center"/>
          </w:tcPr>
          <w:p>
            <w:pPr>
              <w:spacing w:after="200" w:line="360" w:lineRule="auto"/>
              <w:ind w:left="-2" w:leftChars="-1"/>
              <w:rPr>
                <w:rFonts w:ascii="宋体" w:hAnsi="宋体" w:cs="宋体"/>
                <w:color w:val="000000"/>
                <w:sz w:val="24"/>
              </w:rPr>
            </w:pPr>
            <w:r>
              <w:rPr>
                <w:rFonts w:hint="eastAsia" w:ascii="宋体" w:hAnsi="宋体" w:cs="宋体"/>
                <w:color w:val="000000"/>
                <w:sz w:val="24"/>
              </w:rPr>
              <w:t>响应人： (公章)</w:t>
            </w:r>
            <w:r>
              <w:rPr>
                <w:rFonts w:hint="eastAsia" w:ascii="宋体" w:hAnsi="宋体"/>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2"/>
              <w:spacing w:line="276" w:lineRule="auto"/>
              <w:rPr>
                <w:rFonts w:ascii="宋体" w:hAnsi="宋体" w:cs="宋体"/>
                <w:color w:val="000000"/>
                <w:sz w:val="24"/>
              </w:rPr>
            </w:pPr>
            <w:r>
              <w:rPr>
                <w:rFonts w:hint="eastAsia" w:ascii="宋体" w:hAnsi="宋体" w:cs="宋体"/>
                <w:color w:val="000000"/>
                <w:sz w:val="24"/>
              </w:rPr>
              <w:t>法定代表人或其委托代理人：</w:t>
            </w:r>
          </w:p>
          <w:p>
            <w:pPr>
              <w:pStyle w:val="2"/>
              <w:spacing w:line="276" w:lineRule="auto"/>
              <w:rPr>
                <w:rFonts w:ascii="宋体" w:hAnsi="宋体" w:cs="宋体"/>
                <w:color w:val="000000"/>
                <w:sz w:val="24"/>
              </w:rPr>
            </w:pPr>
            <w:r>
              <w:rPr>
                <w:rFonts w:hint="eastAsia" w:ascii="宋体" w:hAnsi="宋体" w:cs="宋体"/>
                <w:color w:val="000000"/>
                <w:sz w:val="24"/>
              </w:rPr>
              <w:t>（签字）</w:t>
            </w:r>
          </w:p>
        </w:tc>
        <w:tc>
          <w:tcPr>
            <w:tcW w:w="240" w:type="dxa"/>
            <w:vAlign w:val="center"/>
          </w:tcPr>
          <w:p>
            <w:pPr>
              <w:spacing w:after="200" w:line="360" w:lineRule="auto"/>
              <w:ind w:left="-2" w:leftChars="-1"/>
              <w:rPr>
                <w:rFonts w:ascii="宋体" w:hAnsi="宋体" w:cs="宋体"/>
                <w:color w:val="000000"/>
                <w:sz w:val="24"/>
              </w:rPr>
            </w:pPr>
          </w:p>
        </w:tc>
        <w:tc>
          <w:tcPr>
            <w:tcW w:w="5203" w:type="dxa"/>
            <w:vAlign w:val="center"/>
          </w:tcPr>
          <w:p>
            <w:pPr>
              <w:pStyle w:val="2"/>
              <w:spacing w:line="276" w:lineRule="auto"/>
              <w:rPr>
                <w:rFonts w:ascii="宋体" w:hAnsi="宋体" w:cs="宋体"/>
                <w:color w:val="000000"/>
                <w:sz w:val="24"/>
              </w:rPr>
            </w:pPr>
            <w:r>
              <w:rPr>
                <w:rFonts w:hint="eastAsia" w:ascii="宋体" w:hAnsi="宋体" w:cs="宋体"/>
                <w:color w:val="000000"/>
                <w:sz w:val="24"/>
              </w:rPr>
              <w:t>法定代表人或其委托代理人：</w:t>
            </w:r>
          </w:p>
          <w:p>
            <w:pPr>
              <w:spacing w:after="200" w:line="360" w:lineRule="auto"/>
              <w:ind w:left="-2" w:leftChars="-1"/>
              <w:rPr>
                <w:rFonts w:ascii="宋体" w:hAnsi="宋体" w:cs="宋体"/>
                <w:color w:val="000000"/>
                <w:sz w:val="24"/>
              </w:rPr>
            </w:pPr>
            <w:r>
              <w:rPr>
                <w:rFonts w:hint="eastAsia" w:ascii="宋体" w:hAnsi="宋体" w:cs="宋体"/>
                <w:color w:val="000000"/>
                <w:sz w:val="24"/>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2"/>
              <w:spacing w:line="276" w:lineRule="auto"/>
              <w:rPr>
                <w:rFonts w:ascii="宋体" w:hAnsi="宋体" w:cs="宋体"/>
                <w:color w:val="000000"/>
                <w:sz w:val="24"/>
              </w:rPr>
            </w:pPr>
            <w:r>
              <w:rPr>
                <w:rFonts w:hint="eastAsia" w:ascii="宋体" w:hAnsi="宋体" w:cs="宋体"/>
                <w:color w:val="000000"/>
                <w:sz w:val="24"/>
              </w:rPr>
              <w:t xml:space="preserve">住所：  </w:t>
            </w:r>
          </w:p>
        </w:tc>
        <w:tc>
          <w:tcPr>
            <w:tcW w:w="240" w:type="dxa"/>
            <w:vAlign w:val="center"/>
          </w:tcPr>
          <w:p>
            <w:pPr>
              <w:pStyle w:val="2"/>
              <w:spacing w:line="276" w:lineRule="auto"/>
              <w:rPr>
                <w:rFonts w:ascii="宋体" w:hAnsi="宋体" w:cs="宋体"/>
                <w:color w:val="000000"/>
                <w:sz w:val="24"/>
              </w:rPr>
            </w:pPr>
          </w:p>
        </w:tc>
        <w:tc>
          <w:tcPr>
            <w:tcW w:w="5203" w:type="dxa"/>
            <w:vAlign w:val="center"/>
          </w:tcPr>
          <w:p>
            <w:pPr>
              <w:pStyle w:val="2"/>
              <w:spacing w:line="276" w:lineRule="auto"/>
              <w:rPr>
                <w:rFonts w:ascii="宋体" w:hAnsi="宋体" w:cs="宋体"/>
                <w:color w:val="000000"/>
                <w:sz w:val="24"/>
              </w:rPr>
            </w:pPr>
            <w:r>
              <w:rPr>
                <w:rFonts w:hint="eastAsia" w:ascii="宋体" w:hAnsi="宋体" w:cs="宋体"/>
                <w:color w:val="000000"/>
                <w:sz w:val="24"/>
              </w:rPr>
              <w:t xml:space="preserve">住所：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4575" w:type="dxa"/>
            <w:vAlign w:val="center"/>
          </w:tcPr>
          <w:p>
            <w:pPr>
              <w:pStyle w:val="2"/>
              <w:spacing w:line="276" w:lineRule="auto"/>
              <w:rPr>
                <w:rFonts w:ascii="宋体" w:hAnsi="宋体" w:cs="宋体"/>
                <w:color w:val="000000"/>
                <w:sz w:val="24"/>
              </w:rPr>
            </w:pPr>
            <w:r>
              <w:rPr>
                <w:rFonts w:hint="eastAsia" w:ascii="宋体" w:hAnsi="宋体" w:cs="宋体"/>
                <w:color w:val="000000"/>
                <w:sz w:val="24"/>
              </w:rPr>
              <w:t>法定代表人：</w:t>
            </w:r>
          </w:p>
        </w:tc>
        <w:tc>
          <w:tcPr>
            <w:tcW w:w="240" w:type="dxa"/>
            <w:vAlign w:val="center"/>
          </w:tcPr>
          <w:p>
            <w:pPr>
              <w:pStyle w:val="2"/>
              <w:spacing w:line="276" w:lineRule="auto"/>
              <w:rPr>
                <w:rFonts w:ascii="宋体" w:hAnsi="宋体" w:cs="宋体"/>
                <w:color w:val="000000"/>
                <w:sz w:val="24"/>
              </w:rPr>
            </w:pPr>
          </w:p>
        </w:tc>
        <w:tc>
          <w:tcPr>
            <w:tcW w:w="5203" w:type="dxa"/>
            <w:vAlign w:val="center"/>
          </w:tcPr>
          <w:p>
            <w:pPr>
              <w:pStyle w:val="2"/>
              <w:spacing w:line="276" w:lineRule="auto"/>
              <w:rPr>
                <w:rFonts w:ascii="宋体" w:hAnsi="宋体" w:cs="宋体"/>
                <w:color w:val="000000"/>
                <w:sz w:val="24"/>
              </w:rPr>
            </w:pPr>
            <w:r>
              <w:rPr>
                <w:rFonts w:hint="eastAsia" w:ascii="宋体" w:hAnsi="宋体" w:cs="宋体"/>
                <w:color w:val="000000"/>
                <w:sz w:val="24"/>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4575" w:type="dxa"/>
            <w:vAlign w:val="center"/>
          </w:tcPr>
          <w:p>
            <w:pPr>
              <w:pStyle w:val="2"/>
              <w:spacing w:line="276" w:lineRule="auto"/>
              <w:rPr>
                <w:rFonts w:ascii="宋体" w:hAnsi="宋体" w:cs="宋体"/>
                <w:color w:val="000000"/>
                <w:sz w:val="24"/>
              </w:rPr>
            </w:pPr>
            <w:r>
              <w:rPr>
                <w:rFonts w:hint="eastAsia" w:ascii="宋体" w:hAnsi="宋体" w:cs="宋体"/>
                <w:color w:val="000000"/>
                <w:sz w:val="24"/>
              </w:rPr>
              <w:t>委托代理人：</w:t>
            </w:r>
          </w:p>
        </w:tc>
        <w:tc>
          <w:tcPr>
            <w:tcW w:w="240" w:type="dxa"/>
            <w:vAlign w:val="center"/>
          </w:tcPr>
          <w:p>
            <w:pPr>
              <w:pStyle w:val="2"/>
              <w:spacing w:line="276" w:lineRule="auto"/>
              <w:rPr>
                <w:rFonts w:ascii="宋体" w:hAnsi="宋体" w:cs="宋体"/>
                <w:color w:val="000000"/>
                <w:sz w:val="24"/>
              </w:rPr>
            </w:pPr>
          </w:p>
        </w:tc>
        <w:tc>
          <w:tcPr>
            <w:tcW w:w="5203" w:type="dxa"/>
            <w:vAlign w:val="center"/>
          </w:tcPr>
          <w:p>
            <w:pPr>
              <w:pStyle w:val="2"/>
              <w:spacing w:line="276" w:lineRule="auto"/>
              <w:rPr>
                <w:rFonts w:ascii="宋体" w:hAnsi="宋体" w:cs="宋体"/>
                <w:color w:val="000000"/>
                <w:sz w:val="24"/>
              </w:rPr>
            </w:pPr>
            <w:r>
              <w:rPr>
                <w:rFonts w:hint="eastAsia" w:ascii="宋体" w:hAnsi="宋体" w:cs="宋体"/>
                <w:color w:val="000000"/>
                <w:sz w:val="24"/>
              </w:rPr>
              <w:t>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2"/>
              <w:spacing w:line="276" w:lineRule="auto"/>
              <w:rPr>
                <w:rFonts w:ascii="宋体" w:hAnsi="宋体" w:cs="宋体"/>
                <w:color w:val="000000"/>
                <w:sz w:val="24"/>
              </w:rPr>
            </w:pPr>
            <w:r>
              <w:rPr>
                <w:rFonts w:hint="eastAsia" w:ascii="宋体" w:hAnsi="宋体" w:cs="宋体"/>
                <w:color w:val="000000"/>
                <w:sz w:val="24"/>
              </w:rPr>
              <w:t xml:space="preserve">电 话： </w:t>
            </w:r>
          </w:p>
        </w:tc>
        <w:tc>
          <w:tcPr>
            <w:tcW w:w="240" w:type="dxa"/>
            <w:vAlign w:val="center"/>
          </w:tcPr>
          <w:p>
            <w:pPr>
              <w:pStyle w:val="2"/>
              <w:spacing w:line="276" w:lineRule="auto"/>
              <w:rPr>
                <w:rFonts w:ascii="宋体" w:hAnsi="宋体" w:cs="宋体"/>
                <w:color w:val="000000"/>
                <w:sz w:val="24"/>
              </w:rPr>
            </w:pPr>
          </w:p>
        </w:tc>
        <w:tc>
          <w:tcPr>
            <w:tcW w:w="5203" w:type="dxa"/>
            <w:vAlign w:val="center"/>
          </w:tcPr>
          <w:p>
            <w:pPr>
              <w:pStyle w:val="2"/>
              <w:spacing w:line="276" w:lineRule="auto"/>
              <w:rPr>
                <w:rFonts w:ascii="宋体" w:hAnsi="宋体" w:cs="宋体"/>
                <w:color w:val="000000"/>
                <w:sz w:val="24"/>
              </w:rPr>
            </w:pPr>
            <w:r>
              <w:rPr>
                <w:rFonts w:hint="eastAsia" w:ascii="宋体" w:hAnsi="宋体" w:cs="宋体"/>
                <w:color w:val="000000"/>
                <w:sz w:val="24"/>
              </w:rPr>
              <w:t xml:space="preserve">电 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4575" w:type="dxa"/>
            <w:vAlign w:val="center"/>
          </w:tcPr>
          <w:p>
            <w:pPr>
              <w:pStyle w:val="2"/>
              <w:spacing w:line="276" w:lineRule="auto"/>
              <w:rPr>
                <w:rFonts w:ascii="宋体" w:hAnsi="宋体" w:cs="宋体"/>
                <w:color w:val="000000"/>
                <w:sz w:val="24"/>
              </w:rPr>
            </w:pPr>
            <w:r>
              <w:rPr>
                <w:rFonts w:hint="eastAsia" w:ascii="宋体" w:hAnsi="宋体" w:cs="宋体"/>
                <w:color w:val="000000"/>
                <w:sz w:val="24"/>
              </w:rPr>
              <w:t>传真：</w:t>
            </w:r>
          </w:p>
        </w:tc>
        <w:tc>
          <w:tcPr>
            <w:tcW w:w="240" w:type="dxa"/>
            <w:vAlign w:val="center"/>
          </w:tcPr>
          <w:p>
            <w:pPr>
              <w:pStyle w:val="2"/>
              <w:spacing w:line="276" w:lineRule="auto"/>
              <w:rPr>
                <w:rFonts w:ascii="宋体" w:hAnsi="宋体" w:cs="宋体"/>
                <w:color w:val="000000"/>
                <w:sz w:val="24"/>
              </w:rPr>
            </w:pPr>
          </w:p>
        </w:tc>
        <w:tc>
          <w:tcPr>
            <w:tcW w:w="5203" w:type="dxa"/>
            <w:vAlign w:val="center"/>
          </w:tcPr>
          <w:p>
            <w:pPr>
              <w:pStyle w:val="2"/>
              <w:spacing w:line="276" w:lineRule="auto"/>
              <w:rPr>
                <w:rFonts w:ascii="宋体" w:hAnsi="宋体" w:cs="宋体"/>
                <w:color w:val="000000"/>
                <w:sz w:val="24"/>
              </w:rPr>
            </w:pPr>
            <w:r>
              <w:rPr>
                <w:rFonts w:hint="eastAsia" w:ascii="宋体" w:hAnsi="宋体" w:cs="宋体"/>
                <w:color w:val="000000"/>
                <w:sz w:val="24"/>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2"/>
              <w:spacing w:line="276" w:lineRule="auto"/>
              <w:rPr>
                <w:rFonts w:ascii="宋体" w:hAnsi="宋体" w:cs="宋体"/>
                <w:color w:val="000000"/>
                <w:sz w:val="24"/>
              </w:rPr>
            </w:pPr>
            <w:r>
              <w:rPr>
                <w:rFonts w:hint="eastAsia" w:ascii="宋体" w:hAnsi="宋体" w:cs="宋体"/>
                <w:color w:val="000000"/>
                <w:sz w:val="24"/>
              </w:rPr>
              <w:t>开户银行：</w:t>
            </w:r>
          </w:p>
        </w:tc>
        <w:tc>
          <w:tcPr>
            <w:tcW w:w="240" w:type="dxa"/>
            <w:vAlign w:val="center"/>
          </w:tcPr>
          <w:p>
            <w:pPr>
              <w:pStyle w:val="2"/>
              <w:spacing w:line="276" w:lineRule="auto"/>
              <w:rPr>
                <w:rFonts w:ascii="宋体" w:hAnsi="宋体" w:cs="宋体"/>
                <w:color w:val="000000"/>
                <w:sz w:val="24"/>
              </w:rPr>
            </w:pPr>
          </w:p>
        </w:tc>
        <w:tc>
          <w:tcPr>
            <w:tcW w:w="5203" w:type="dxa"/>
            <w:vAlign w:val="center"/>
          </w:tcPr>
          <w:p>
            <w:pPr>
              <w:pStyle w:val="2"/>
              <w:spacing w:line="276" w:lineRule="auto"/>
              <w:rPr>
                <w:rFonts w:ascii="宋体" w:hAnsi="宋体" w:cs="宋体"/>
                <w:color w:val="000000"/>
                <w:sz w:val="24"/>
              </w:rPr>
            </w:pPr>
            <w:r>
              <w:rPr>
                <w:rFonts w:hint="eastAsia" w:ascii="宋体" w:hAnsi="宋体" w:cs="宋体"/>
                <w:color w:val="000000"/>
                <w:sz w:val="24"/>
              </w:rPr>
              <w:t xml:space="preserve">开户银行：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2"/>
              <w:spacing w:line="276" w:lineRule="auto"/>
              <w:rPr>
                <w:rFonts w:ascii="宋体" w:hAnsi="宋体" w:cs="宋体"/>
                <w:color w:val="000000"/>
                <w:sz w:val="24"/>
              </w:rPr>
            </w:pPr>
            <w:r>
              <w:rPr>
                <w:rFonts w:hint="eastAsia" w:ascii="宋体" w:hAnsi="宋体" w:cs="宋体"/>
                <w:color w:val="000000"/>
                <w:sz w:val="24"/>
              </w:rPr>
              <w:t>账号：</w:t>
            </w:r>
          </w:p>
        </w:tc>
        <w:tc>
          <w:tcPr>
            <w:tcW w:w="240" w:type="dxa"/>
            <w:vAlign w:val="center"/>
          </w:tcPr>
          <w:p>
            <w:pPr>
              <w:pStyle w:val="2"/>
              <w:spacing w:line="276" w:lineRule="auto"/>
              <w:rPr>
                <w:rFonts w:ascii="宋体" w:hAnsi="宋体" w:cs="宋体"/>
                <w:color w:val="000000"/>
                <w:sz w:val="24"/>
              </w:rPr>
            </w:pPr>
          </w:p>
        </w:tc>
        <w:tc>
          <w:tcPr>
            <w:tcW w:w="5203" w:type="dxa"/>
            <w:vAlign w:val="center"/>
          </w:tcPr>
          <w:p>
            <w:pPr>
              <w:pStyle w:val="2"/>
              <w:spacing w:line="276" w:lineRule="auto"/>
              <w:rPr>
                <w:rFonts w:ascii="宋体" w:hAnsi="宋体" w:cs="宋体"/>
                <w:color w:val="000000"/>
                <w:sz w:val="24"/>
              </w:rPr>
            </w:pPr>
            <w:r>
              <w:rPr>
                <w:rFonts w:hint="eastAsia" w:ascii="宋体" w:hAnsi="宋体" w:cs="宋体"/>
                <w:color w:val="000000"/>
                <w:sz w:val="24"/>
              </w:rPr>
              <w:t xml:space="preserve">账号： </w:t>
            </w:r>
          </w:p>
        </w:tc>
      </w:tr>
    </w:tbl>
    <w:p>
      <w:pPr>
        <w:pStyle w:val="4"/>
        <w:spacing w:before="120" w:after="120" w:line="360" w:lineRule="auto"/>
        <w:jc w:val="center"/>
        <w:rPr>
          <w:rFonts w:ascii="宋体" w:hAnsi="宋体"/>
          <w:kern w:val="2"/>
          <w:sz w:val="32"/>
        </w:rPr>
      </w:pPr>
      <w:r>
        <w:rPr>
          <w:rFonts w:hint="eastAsia" w:ascii="宋体" w:hAnsi="宋体"/>
          <w:b w:val="0"/>
          <w:sz w:val="72"/>
        </w:rPr>
        <w:br w:type="page"/>
      </w:r>
      <w:bookmarkStart w:id="174" w:name="_Toc6117"/>
      <w:bookmarkStart w:id="175" w:name="_Toc32113"/>
      <w:bookmarkStart w:id="176" w:name="_Toc60585222"/>
      <w:bookmarkStart w:id="177" w:name="_Toc25841"/>
      <w:r>
        <w:rPr>
          <w:rFonts w:hint="eastAsia" w:ascii="宋体" w:hAnsi="宋体"/>
          <w:kern w:val="2"/>
          <w:sz w:val="32"/>
        </w:rPr>
        <w:t>第六章响应文件格式</w:t>
      </w:r>
      <w:bookmarkEnd w:id="174"/>
      <w:bookmarkEnd w:id="175"/>
      <w:bookmarkEnd w:id="176"/>
      <w:bookmarkEnd w:id="177"/>
    </w:p>
    <w:p>
      <w:pPr>
        <w:spacing w:line="480" w:lineRule="auto"/>
        <w:jc w:val="center"/>
        <w:rPr>
          <w:rFonts w:ascii="宋体" w:hAnsi="宋体"/>
          <w:sz w:val="30"/>
          <w:szCs w:val="30"/>
        </w:rPr>
      </w:pPr>
      <w:r>
        <w:rPr>
          <w:rFonts w:hint="eastAsia" w:ascii="宋体" w:hAnsi="宋体"/>
          <w:b/>
          <w:sz w:val="30"/>
          <w:szCs w:val="30"/>
        </w:rPr>
        <w:t>响应文件封面格式</w:t>
      </w:r>
    </w:p>
    <w:p>
      <w:pPr>
        <w:pBdr>
          <w:top w:val="single" w:color="auto" w:sz="4" w:space="1"/>
          <w:left w:val="single" w:color="auto" w:sz="4" w:space="4"/>
          <w:bottom w:val="single" w:color="auto" w:sz="4" w:space="31"/>
          <w:right w:val="single" w:color="auto" w:sz="4" w:space="4"/>
        </w:pBdr>
        <w:spacing w:line="480" w:lineRule="auto"/>
        <w:jc w:val="right"/>
        <w:rPr>
          <w:rFonts w:ascii="宋体" w:hAnsi="宋体"/>
          <w:b/>
          <w:sz w:val="32"/>
          <w:szCs w:val="30"/>
        </w:rPr>
      </w:pPr>
    </w:p>
    <w:p>
      <w:pPr>
        <w:pBdr>
          <w:top w:val="single" w:color="auto" w:sz="4" w:space="1"/>
          <w:left w:val="single" w:color="auto" w:sz="4" w:space="4"/>
          <w:bottom w:val="single" w:color="auto" w:sz="4" w:space="31"/>
          <w:right w:val="single" w:color="auto" w:sz="4" w:space="4"/>
        </w:pBdr>
        <w:wordWrap w:val="0"/>
        <w:spacing w:line="480" w:lineRule="auto"/>
        <w:jc w:val="right"/>
        <w:rPr>
          <w:rFonts w:ascii="宋体" w:hAnsi="宋体"/>
          <w:b/>
          <w:sz w:val="32"/>
          <w:szCs w:val="30"/>
        </w:rPr>
      </w:pPr>
      <w:r>
        <w:rPr>
          <w:rFonts w:hint="eastAsia" w:ascii="宋体" w:hAnsi="宋体"/>
          <w:b/>
          <w:sz w:val="32"/>
          <w:szCs w:val="30"/>
        </w:rPr>
        <w:t xml:space="preserve">（正/副本）    </w:t>
      </w:r>
    </w:p>
    <w:p>
      <w:pPr>
        <w:pBdr>
          <w:top w:val="single" w:color="auto" w:sz="4" w:space="1"/>
          <w:left w:val="single" w:color="auto" w:sz="4" w:space="4"/>
          <w:bottom w:val="single" w:color="auto" w:sz="4" w:space="31"/>
          <w:right w:val="single" w:color="auto" w:sz="4" w:space="4"/>
        </w:pBdr>
        <w:jc w:val="center"/>
        <w:rPr>
          <w:rFonts w:ascii="宋体" w:hAnsi="宋体"/>
          <w:b/>
          <w:sz w:val="28"/>
          <w:szCs w:val="30"/>
        </w:rPr>
      </w:pPr>
    </w:p>
    <w:p>
      <w:pPr>
        <w:pBdr>
          <w:top w:val="single" w:color="auto" w:sz="4" w:space="1"/>
          <w:left w:val="single" w:color="auto" w:sz="4" w:space="4"/>
          <w:bottom w:val="single" w:color="auto" w:sz="4" w:space="31"/>
          <w:right w:val="single" w:color="auto" w:sz="4" w:space="4"/>
        </w:pBdr>
        <w:spacing w:line="480" w:lineRule="auto"/>
        <w:ind w:firstLine="1720" w:firstLineChars="612"/>
        <w:rPr>
          <w:rFonts w:ascii="宋体" w:hAnsi="宋体"/>
          <w:b/>
          <w:sz w:val="28"/>
          <w:szCs w:val="30"/>
          <w:u w:val="single"/>
        </w:rPr>
      </w:pPr>
      <w:r>
        <w:rPr>
          <w:rFonts w:hint="eastAsia" w:ascii="宋体" w:hAnsi="宋体"/>
          <w:b/>
          <w:sz w:val="28"/>
          <w:szCs w:val="30"/>
        </w:rPr>
        <w:t>项目编号：</w:t>
      </w:r>
      <w:r>
        <w:rPr>
          <w:rFonts w:hint="eastAsia" w:ascii="宋体" w:hAnsi="宋体"/>
          <w:b/>
          <w:sz w:val="28"/>
          <w:szCs w:val="30"/>
          <w:u w:val="single"/>
        </w:rPr>
        <w:t>_</w:t>
      </w:r>
      <w:r>
        <w:rPr>
          <w:rFonts w:hint="eastAsia" w:ascii="宋体" w:hAnsi="宋体"/>
          <w:b/>
          <w:sz w:val="28"/>
          <w:szCs w:val="30"/>
        </w:rPr>
        <w:t>__</w:t>
      </w:r>
      <w:r>
        <w:rPr>
          <w:rFonts w:hint="eastAsia" w:ascii="宋体" w:hAnsi="宋体"/>
          <w:b/>
          <w:sz w:val="28"/>
          <w:szCs w:val="30"/>
          <w:u w:val="single"/>
        </w:rPr>
        <w:t xml:space="preserve">__  _              </w:t>
      </w:r>
      <w:r>
        <w:rPr>
          <w:rFonts w:hint="eastAsia" w:ascii="宋体" w:hAnsi="宋体"/>
          <w:b/>
          <w:sz w:val="28"/>
          <w:szCs w:val="30"/>
        </w:rPr>
        <w:t>__</w:t>
      </w:r>
    </w:p>
    <w:p>
      <w:pPr>
        <w:pBdr>
          <w:top w:val="single" w:color="auto" w:sz="4" w:space="1"/>
          <w:left w:val="single" w:color="auto" w:sz="4" w:space="4"/>
          <w:bottom w:val="single" w:color="auto" w:sz="4" w:space="31"/>
          <w:right w:val="single" w:color="auto" w:sz="4" w:space="4"/>
        </w:pBdr>
        <w:ind w:firstLine="1720" w:firstLineChars="612"/>
        <w:jc w:val="left"/>
        <w:rPr>
          <w:rFonts w:ascii="宋体" w:hAnsi="宋体"/>
          <w:b/>
          <w:sz w:val="28"/>
          <w:szCs w:val="30"/>
        </w:rPr>
      </w:pPr>
      <w:r>
        <w:rPr>
          <w:rFonts w:hint="eastAsia" w:ascii="宋体" w:hAnsi="宋体"/>
          <w:b/>
          <w:sz w:val="28"/>
          <w:szCs w:val="30"/>
        </w:rPr>
        <w:t>项目名称：</w:t>
      </w:r>
      <w:r>
        <w:rPr>
          <w:rFonts w:hint="eastAsia" w:ascii="宋体" w:hAnsi="宋体"/>
          <w:b/>
          <w:sz w:val="28"/>
          <w:szCs w:val="30"/>
          <w:u w:val="single"/>
        </w:rPr>
        <w:t>_</w:t>
      </w:r>
      <w:r>
        <w:rPr>
          <w:rFonts w:hint="eastAsia" w:ascii="宋体" w:hAnsi="宋体"/>
          <w:b/>
          <w:sz w:val="28"/>
          <w:szCs w:val="30"/>
        </w:rPr>
        <w:t>__</w:t>
      </w:r>
      <w:r>
        <w:rPr>
          <w:rFonts w:hint="eastAsia" w:ascii="宋体" w:hAnsi="宋体"/>
          <w:b/>
          <w:sz w:val="28"/>
          <w:szCs w:val="30"/>
          <w:u w:val="single"/>
        </w:rPr>
        <w:t xml:space="preserve">__  _            </w:t>
      </w:r>
      <w:r>
        <w:rPr>
          <w:rFonts w:hint="eastAsia" w:ascii="宋体" w:hAnsi="宋体"/>
          <w:b/>
          <w:sz w:val="28"/>
          <w:szCs w:val="30"/>
        </w:rPr>
        <w:t>__</w:t>
      </w:r>
    </w:p>
    <w:p>
      <w:pPr>
        <w:pBdr>
          <w:top w:val="single" w:color="auto" w:sz="4" w:space="1"/>
          <w:left w:val="single" w:color="auto" w:sz="4" w:space="4"/>
          <w:bottom w:val="single" w:color="auto" w:sz="4" w:space="31"/>
          <w:right w:val="single" w:color="auto" w:sz="4" w:space="4"/>
        </w:pBdr>
        <w:ind w:firstLine="1713" w:firstLineChars="612"/>
        <w:jc w:val="left"/>
        <w:rPr>
          <w:rFonts w:ascii="宋体" w:hAnsi="宋体"/>
          <w:sz w:val="28"/>
          <w:szCs w:val="30"/>
          <w:u w:val="single"/>
        </w:rPr>
      </w:pPr>
    </w:p>
    <w:p>
      <w:pPr>
        <w:pBdr>
          <w:top w:val="single" w:color="auto" w:sz="4" w:space="1"/>
          <w:left w:val="single" w:color="auto" w:sz="4" w:space="4"/>
          <w:bottom w:val="single" w:color="auto" w:sz="4" w:space="31"/>
          <w:right w:val="single" w:color="auto" w:sz="4" w:space="4"/>
        </w:pBdr>
        <w:spacing w:line="440" w:lineRule="exact"/>
        <w:jc w:val="center"/>
        <w:rPr>
          <w:rFonts w:ascii="宋体" w:hAnsi="宋体"/>
          <w:sz w:val="36"/>
          <w:szCs w:val="28"/>
        </w:rPr>
      </w:pPr>
    </w:p>
    <w:p>
      <w:pPr>
        <w:pBdr>
          <w:top w:val="single" w:color="auto" w:sz="4" w:space="1"/>
          <w:left w:val="single" w:color="auto" w:sz="4" w:space="4"/>
          <w:bottom w:val="single" w:color="auto" w:sz="4" w:space="31"/>
          <w:right w:val="single" w:color="auto" w:sz="4" w:space="4"/>
        </w:pBdr>
        <w:spacing w:line="440" w:lineRule="exact"/>
        <w:jc w:val="center"/>
        <w:rPr>
          <w:rFonts w:ascii="宋体" w:hAnsi="宋体"/>
          <w:sz w:val="36"/>
          <w:szCs w:val="28"/>
        </w:rPr>
      </w:pPr>
    </w:p>
    <w:p>
      <w:pPr>
        <w:pBdr>
          <w:top w:val="single" w:color="auto" w:sz="4" w:space="1"/>
          <w:left w:val="single" w:color="auto" w:sz="4" w:space="4"/>
          <w:bottom w:val="single" w:color="auto" w:sz="4" w:space="31"/>
          <w:right w:val="single" w:color="auto" w:sz="4" w:space="4"/>
        </w:pBdr>
        <w:spacing w:line="360" w:lineRule="auto"/>
        <w:jc w:val="center"/>
        <w:rPr>
          <w:rFonts w:ascii="宋体" w:hAnsi="宋体"/>
          <w:b/>
          <w:bCs/>
          <w:sz w:val="72"/>
          <w:szCs w:val="52"/>
        </w:rPr>
      </w:pPr>
      <w:r>
        <w:rPr>
          <w:rFonts w:hint="eastAsia" w:ascii="宋体" w:hAnsi="宋体"/>
          <w:b/>
          <w:bCs/>
          <w:sz w:val="72"/>
          <w:szCs w:val="52"/>
        </w:rPr>
        <w:t>响 应</w:t>
      </w:r>
      <w:r>
        <w:rPr>
          <w:rFonts w:ascii="宋体" w:hAnsi="宋体"/>
          <w:b/>
          <w:bCs/>
          <w:sz w:val="72"/>
          <w:szCs w:val="52"/>
        </w:rPr>
        <w:t xml:space="preserve"> 文 件</w:t>
      </w: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rPr>
      </w:pP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rPr>
      </w:pP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rPr>
      </w:pP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rPr>
      </w:pP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rPr>
      </w:pPr>
    </w:p>
    <w:p>
      <w:pPr>
        <w:pBdr>
          <w:top w:val="single" w:color="auto" w:sz="4" w:space="1"/>
          <w:left w:val="single" w:color="auto" w:sz="4" w:space="4"/>
          <w:bottom w:val="single" w:color="auto" w:sz="4" w:space="31"/>
          <w:right w:val="single" w:color="auto" w:sz="4" w:space="4"/>
        </w:pBdr>
        <w:spacing w:line="360" w:lineRule="auto"/>
        <w:jc w:val="center"/>
        <w:rPr>
          <w:rFonts w:ascii="宋体" w:hAnsi="宋体"/>
          <w:sz w:val="28"/>
          <w:szCs w:val="28"/>
        </w:rPr>
      </w:pPr>
      <w:r>
        <w:rPr>
          <w:rFonts w:hint="eastAsia" w:ascii="宋体" w:hAnsi="宋体"/>
          <w:sz w:val="28"/>
          <w:szCs w:val="28"/>
        </w:rPr>
        <w:t xml:space="preserve">      响应人</w:t>
      </w:r>
      <w:r>
        <w:rPr>
          <w:rFonts w:ascii="宋体" w:hAnsi="宋体"/>
          <w:sz w:val="28"/>
          <w:szCs w:val="28"/>
        </w:rPr>
        <w:t>：(盖单位章)</w:t>
      </w:r>
    </w:p>
    <w:p>
      <w:pPr>
        <w:pBdr>
          <w:top w:val="single" w:color="auto" w:sz="4" w:space="1"/>
          <w:left w:val="single" w:color="auto" w:sz="4" w:space="4"/>
          <w:bottom w:val="single" w:color="auto" w:sz="4" w:space="31"/>
          <w:right w:val="single" w:color="auto" w:sz="4" w:space="4"/>
        </w:pBdr>
        <w:spacing w:line="360" w:lineRule="auto"/>
        <w:ind w:firstLine="1853" w:firstLineChars="662"/>
        <w:rPr>
          <w:rFonts w:ascii="宋体" w:hAnsi="宋体"/>
          <w:sz w:val="28"/>
          <w:szCs w:val="30"/>
        </w:rPr>
      </w:pPr>
      <w:r>
        <w:rPr>
          <w:rFonts w:hint="eastAsia" w:ascii="宋体" w:hAnsi="宋体"/>
          <w:sz w:val="28"/>
          <w:szCs w:val="30"/>
        </w:rPr>
        <w:t>地  址</w:t>
      </w:r>
      <w:r>
        <w:rPr>
          <w:rFonts w:ascii="宋体" w:hAnsi="宋体"/>
          <w:sz w:val="28"/>
          <w:szCs w:val="30"/>
        </w:rPr>
        <w:t>：</w:t>
      </w:r>
      <w:r>
        <w:rPr>
          <w:rFonts w:hint="eastAsia" w:ascii="宋体" w:hAnsi="宋体"/>
          <w:b/>
          <w:sz w:val="30"/>
          <w:szCs w:val="30"/>
          <w:u w:val="single"/>
        </w:rPr>
        <w:t>_</w:t>
      </w:r>
      <w:r>
        <w:rPr>
          <w:rFonts w:hint="eastAsia" w:ascii="宋体" w:hAnsi="宋体"/>
          <w:b/>
          <w:sz w:val="30"/>
          <w:szCs w:val="30"/>
        </w:rPr>
        <w:t>__</w:t>
      </w:r>
      <w:r>
        <w:rPr>
          <w:rFonts w:hint="eastAsia" w:ascii="宋体" w:hAnsi="宋体"/>
          <w:b/>
          <w:sz w:val="30"/>
          <w:szCs w:val="30"/>
          <w:u w:val="single"/>
        </w:rPr>
        <w:t xml:space="preserve">__  _            </w:t>
      </w:r>
      <w:r>
        <w:rPr>
          <w:rFonts w:hint="eastAsia" w:ascii="宋体" w:hAnsi="宋体"/>
          <w:b/>
          <w:sz w:val="30"/>
          <w:szCs w:val="30"/>
        </w:rPr>
        <w:t>__</w:t>
      </w:r>
    </w:p>
    <w:p>
      <w:pPr>
        <w:pBdr>
          <w:top w:val="single" w:color="auto" w:sz="4" w:space="1"/>
          <w:left w:val="single" w:color="auto" w:sz="4" w:space="4"/>
          <w:bottom w:val="single" w:color="auto" w:sz="4" w:space="31"/>
          <w:right w:val="single" w:color="auto" w:sz="4" w:space="4"/>
        </w:pBdr>
        <w:spacing w:line="360" w:lineRule="auto"/>
        <w:ind w:firstLine="1853" w:firstLineChars="662"/>
        <w:rPr>
          <w:rFonts w:ascii="宋体" w:hAnsi="宋体"/>
          <w:sz w:val="28"/>
          <w:szCs w:val="30"/>
        </w:rPr>
      </w:pPr>
      <w:r>
        <w:rPr>
          <w:rFonts w:hint="eastAsia" w:ascii="宋体" w:hAnsi="宋体"/>
          <w:sz w:val="28"/>
          <w:szCs w:val="30"/>
        </w:rPr>
        <w:t>电  话：</w:t>
      </w:r>
      <w:r>
        <w:rPr>
          <w:rFonts w:hint="eastAsia" w:ascii="宋体" w:hAnsi="宋体"/>
          <w:b/>
          <w:sz w:val="30"/>
          <w:szCs w:val="30"/>
          <w:u w:val="single"/>
        </w:rPr>
        <w:t>_</w:t>
      </w:r>
      <w:r>
        <w:rPr>
          <w:rFonts w:hint="eastAsia" w:ascii="宋体" w:hAnsi="宋体"/>
          <w:b/>
          <w:sz w:val="30"/>
          <w:szCs w:val="30"/>
        </w:rPr>
        <w:t>__</w:t>
      </w:r>
      <w:r>
        <w:rPr>
          <w:rFonts w:hint="eastAsia" w:ascii="宋体" w:hAnsi="宋体"/>
          <w:b/>
          <w:sz w:val="30"/>
          <w:szCs w:val="30"/>
          <w:u w:val="single"/>
        </w:rPr>
        <w:t xml:space="preserve">__  _            _  _  </w:t>
      </w:r>
    </w:p>
    <w:p>
      <w:pPr>
        <w:pBdr>
          <w:top w:val="single" w:color="auto" w:sz="4" w:space="1"/>
          <w:left w:val="single" w:color="auto" w:sz="4" w:space="4"/>
          <w:bottom w:val="single" w:color="auto" w:sz="4" w:space="31"/>
          <w:right w:val="single" w:color="auto" w:sz="4" w:space="4"/>
        </w:pBdr>
        <w:jc w:val="center"/>
        <w:rPr>
          <w:rFonts w:ascii="宋体" w:hAnsi="宋体"/>
          <w:sz w:val="28"/>
          <w:szCs w:val="28"/>
        </w:rPr>
      </w:pPr>
      <w:r>
        <w:rPr>
          <w:rFonts w:ascii="宋体" w:hAnsi="宋体"/>
          <w:sz w:val="28"/>
          <w:szCs w:val="28"/>
        </w:rPr>
        <w:t>年月日</w:t>
      </w:r>
    </w:p>
    <w:p>
      <w:pPr>
        <w:pBdr>
          <w:top w:val="single" w:color="auto" w:sz="4" w:space="1"/>
          <w:left w:val="single" w:color="auto" w:sz="4" w:space="4"/>
          <w:bottom w:val="single" w:color="auto" w:sz="4" w:space="31"/>
          <w:right w:val="single" w:color="auto" w:sz="4" w:space="4"/>
        </w:pBdr>
        <w:jc w:val="center"/>
        <w:rPr>
          <w:rFonts w:ascii="宋体" w:hAnsi="宋体"/>
          <w:sz w:val="28"/>
          <w:szCs w:val="28"/>
        </w:rPr>
      </w:pPr>
    </w:p>
    <w:p>
      <w:pPr>
        <w:pBdr>
          <w:top w:val="single" w:color="auto" w:sz="4" w:space="1"/>
          <w:left w:val="single" w:color="auto" w:sz="4" w:space="4"/>
          <w:bottom w:val="single" w:color="auto" w:sz="4" w:space="31"/>
          <w:right w:val="single" w:color="auto" w:sz="4" w:space="4"/>
        </w:pBdr>
        <w:jc w:val="center"/>
        <w:rPr>
          <w:rFonts w:ascii="宋体" w:hAnsi="宋体"/>
        </w:rPr>
      </w:pPr>
    </w:p>
    <w:p>
      <w:pPr>
        <w:pStyle w:val="5"/>
        <w:spacing w:before="120" w:after="120" w:line="360" w:lineRule="exact"/>
        <w:rPr>
          <w:rFonts w:ascii="宋体" w:hAnsi="宋体" w:eastAsia="宋体"/>
          <w:b w:val="0"/>
          <w:bCs w:val="0"/>
          <w:sz w:val="24"/>
          <w:szCs w:val="21"/>
        </w:rPr>
      </w:pPr>
      <w:r>
        <w:rPr>
          <w:rFonts w:ascii="宋体" w:hAnsi="宋体" w:eastAsia="宋体"/>
          <w:b w:val="0"/>
          <w:bCs w:val="0"/>
          <w:sz w:val="24"/>
          <w:szCs w:val="24"/>
        </w:rPr>
        <w:br w:type="page"/>
      </w:r>
      <w:bookmarkStart w:id="178" w:name="_Toc60585223"/>
      <w:bookmarkStart w:id="179" w:name="_Toc16546"/>
      <w:bookmarkStart w:id="180" w:name="_Toc8161"/>
      <w:bookmarkStart w:id="181" w:name="_Toc802"/>
      <w:r>
        <w:rPr>
          <w:rFonts w:hint="eastAsia" w:ascii="宋体" w:hAnsi="宋体" w:eastAsia="宋体"/>
          <w:b w:val="0"/>
          <w:bCs w:val="0"/>
          <w:sz w:val="24"/>
          <w:szCs w:val="21"/>
        </w:rPr>
        <w:t>格式一：报价函</w:t>
      </w:r>
      <w:bookmarkEnd w:id="178"/>
      <w:bookmarkEnd w:id="179"/>
      <w:bookmarkEnd w:id="180"/>
      <w:bookmarkEnd w:id="181"/>
    </w:p>
    <w:p>
      <w:pPr>
        <w:pStyle w:val="2"/>
        <w:spacing w:after="0" w:line="460" w:lineRule="exact"/>
        <w:jc w:val="center"/>
        <w:rPr>
          <w:rFonts w:ascii="宋体" w:hAnsi="宋体"/>
          <w:b/>
          <w:sz w:val="32"/>
        </w:rPr>
      </w:pPr>
      <w:r>
        <w:rPr>
          <w:rFonts w:hint="eastAsia" w:ascii="宋体" w:hAnsi="宋体"/>
          <w:b/>
          <w:sz w:val="32"/>
        </w:rPr>
        <w:t>报价函</w:t>
      </w:r>
    </w:p>
    <w:p>
      <w:pPr>
        <w:pStyle w:val="2"/>
        <w:spacing w:after="0" w:line="500" w:lineRule="exact"/>
        <w:rPr>
          <w:rFonts w:ascii="宋体" w:hAnsi="宋体"/>
          <w:sz w:val="24"/>
        </w:rPr>
      </w:pPr>
      <w:r>
        <w:rPr>
          <w:rFonts w:hint="eastAsia" w:ascii="宋体" w:hAnsi="宋体"/>
          <w:sz w:val="24"/>
        </w:rPr>
        <w:t>山东大学齐鲁医院（青岛）、海逸恒安项目管理有限公司：</w:t>
      </w:r>
    </w:p>
    <w:p>
      <w:pPr>
        <w:pStyle w:val="2"/>
        <w:spacing w:after="0" w:line="500" w:lineRule="exact"/>
        <w:ind w:left="-2" w:firstLine="480"/>
        <w:rPr>
          <w:rFonts w:ascii="宋体" w:hAnsi="宋体"/>
          <w:sz w:val="24"/>
        </w:rPr>
      </w:pPr>
      <w:r>
        <w:rPr>
          <w:rFonts w:hint="eastAsia" w:ascii="宋体" w:hAnsi="宋体"/>
          <w:sz w:val="24"/>
        </w:rPr>
        <w:t>经研究，我方决定参加项目编号为HYHAQD20___-_____的____________________（项目名称）项目并报价。为此，我方郑重声明以下几点，并负法律责任：</w:t>
      </w:r>
    </w:p>
    <w:p>
      <w:pPr>
        <w:pStyle w:val="2"/>
        <w:spacing w:after="0" w:line="500" w:lineRule="exact"/>
        <w:ind w:left="-2" w:firstLine="480"/>
        <w:rPr>
          <w:rFonts w:ascii="宋体" w:hAnsi="宋体"/>
          <w:sz w:val="24"/>
        </w:rPr>
      </w:pPr>
      <w:r>
        <w:rPr>
          <w:rFonts w:ascii="宋体" w:hAnsi="宋体"/>
          <w:sz w:val="24"/>
        </w:rPr>
        <w:t>1</w:t>
      </w:r>
      <w:r>
        <w:rPr>
          <w:rFonts w:hint="eastAsia" w:ascii="宋体" w:hAnsi="宋体"/>
          <w:sz w:val="24"/>
        </w:rPr>
        <w:t>、我方提交的响应文件，正本1份，副本份；电子版份。</w:t>
      </w:r>
    </w:p>
    <w:p>
      <w:pPr>
        <w:pStyle w:val="2"/>
        <w:spacing w:after="0" w:line="500" w:lineRule="exact"/>
        <w:ind w:left="-2" w:firstLine="480"/>
        <w:rPr>
          <w:rFonts w:ascii="宋体" w:hAnsi="宋体"/>
          <w:sz w:val="24"/>
        </w:rPr>
      </w:pPr>
      <w:r>
        <w:rPr>
          <w:rFonts w:ascii="宋体" w:hAnsi="宋体"/>
          <w:sz w:val="24"/>
        </w:rPr>
        <w:t>2</w:t>
      </w:r>
      <w:r>
        <w:rPr>
          <w:rFonts w:hint="eastAsia" w:ascii="宋体" w:hAnsi="宋体"/>
          <w:sz w:val="24"/>
        </w:rPr>
        <w:t>、如果我方的响应文件被接受，我方将履行采购文件中规定的每一项要求，并按我方响应文件中的承诺按期、保质、保量提供服务。</w:t>
      </w:r>
    </w:p>
    <w:p>
      <w:pPr>
        <w:pStyle w:val="2"/>
        <w:spacing w:after="0" w:line="500" w:lineRule="exact"/>
        <w:ind w:left="-2" w:firstLine="480"/>
        <w:rPr>
          <w:rFonts w:ascii="宋体" w:hAnsi="宋体"/>
          <w:sz w:val="24"/>
        </w:rPr>
      </w:pPr>
      <w:r>
        <w:rPr>
          <w:rFonts w:ascii="宋体" w:hAnsi="宋体"/>
          <w:sz w:val="24"/>
        </w:rPr>
        <w:t>3</w:t>
      </w:r>
      <w:r>
        <w:rPr>
          <w:rFonts w:hint="eastAsia" w:ascii="宋体" w:hAnsi="宋体"/>
          <w:sz w:val="24"/>
        </w:rPr>
        <w:t>、我方理解，最低报价不是成交的唯一条件，你们有选择成交人的权利。</w:t>
      </w:r>
    </w:p>
    <w:p>
      <w:pPr>
        <w:pStyle w:val="2"/>
        <w:spacing w:after="0" w:line="500" w:lineRule="exact"/>
        <w:ind w:left="-2" w:firstLine="480"/>
        <w:rPr>
          <w:rFonts w:ascii="宋体" w:hAnsi="宋体"/>
          <w:sz w:val="24"/>
        </w:rPr>
      </w:pPr>
      <w:r>
        <w:rPr>
          <w:rFonts w:ascii="宋体" w:hAnsi="宋体"/>
          <w:sz w:val="24"/>
        </w:rPr>
        <w:t>4</w:t>
      </w:r>
      <w:r>
        <w:rPr>
          <w:rFonts w:hint="eastAsia" w:ascii="宋体" w:hAnsi="宋体"/>
          <w:sz w:val="24"/>
        </w:rPr>
        <w:t>、我方愿按《中华人民共和国民法典》履行自己的全部责任。</w:t>
      </w:r>
    </w:p>
    <w:p>
      <w:pPr>
        <w:pStyle w:val="2"/>
        <w:spacing w:after="0" w:line="500" w:lineRule="exact"/>
        <w:ind w:left="-2" w:firstLine="480"/>
        <w:rPr>
          <w:rFonts w:ascii="宋体" w:hAnsi="宋体"/>
          <w:sz w:val="24"/>
        </w:rPr>
      </w:pPr>
      <w:r>
        <w:rPr>
          <w:rFonts w:ascii="宋体" w:hAnsi="宋体"/>
          <w:sz w:val="24"/>
        </w:rPr>
        <w:t>5</w:t>
      </w:r>
      <w:r>
        <w:rPr>
          <w:rFonts w:hint="eastAsia" w:ascii="宋体" w:hAnsi="宋体"/>
          <w:sz w:val="24"/>
        </w:rPr>
        <w:t>、我方同意按采购文件规定交纳磋商保证金，遵守贵机构有关磋商的各项规定。</w:t>
      </w:r>
    </w:p>
    <w:p>
      <w:pPr>
        <w:pStyle w:val="2"/>
        <w:spacing w:after="0" w:line="500" w:lineRule="exact"/>
        <w:ind w:left="-2" w:firstLine="480"/>
        <w:rPr>
          <w:rFonts w:ascii="宋体" w:hAnsi="宋体"/>
          <w:sz w:val="24"/>
        </w:rPr>
      </w:pPr>
      <w:r>
        <w:rPr>
          <w:rFonts w:ascii="宋体" w:hAnsi="宋体"/>
          <w:sz w:val="24"/>
        </w:rPr>
        <w:t>6</w:t>
      </w:r>
      <w:r>
        <w:rPr>
          <w:rFonts w:hint="eastAsia" w:ascii="宋体" w:hAnsi="宋体"/>
          <w:sz w:val="24"/>
        </w:rPr>
        <w:t>、我方同意本响应文件在采购文件规定的提交响应文件截止时间后，在采购文件规定的报价有效期期满前对我方具有约束力，且随时准备接受你方发出的成交通知书。</w:t>
      </w:r>
    </w:p>
    <w:p>
      <w:pPr>
        <w:pStyle w:val="2"/>
        <w:spacing w:after="0" w:line="500" w:lineRule="exact"/>
        <w:ind w:left="-2" w:firstLine="480"/>
        <w:rPr>
          <w:rFonts w:ascii="宋体" w:hAnsi="宋体"/>
          <w:sz w:val="24"/>
        </w:rPr>
      </w:pPr>
      <w:r>
        <w:rPr>
          <w:rFonts w:ascii="宋体" w:hAnsi="宋体"/>
          <w:sz w:val="24"/>
        </w:rPr>
        <w:t>7</w:t>
      </w:r>
      <w:r>
        <w:rPr>
          <w:rFonts w:hint="eastAsia" w:ascii="宋体" w:hAnsi="宋体"/>
          <w:sz w:val="24"/>
        </w:rPr>
        <w:t>、与本报价有关的一切正式往来通讯请寄：</w:t>
      </w:r>
    </w:p>
    <w:p>
      <w:pPr>
        <w:pStyle w:val="2"/>
        <w:spacing w:after="0" w:line="500" w:lineRule="exact"/>
        <w:ind w:left="571" w:leftChars="272" w:firstLine="382"/>
        <w:rPr>
          <w:rFonts w:ascii="宋体" w:hAnsi="宋体"/>
          <w:sz w:val="24"/>
        </w:rPr>
      </w:pPr>
    </w:p>
    <w:p>
      <w:pPr>
        <w:pStyle w:val="2"/>
        <w:spacing w:after="0" w:line="500" w:lineRule="exact"/>
        <w:ind w:left="571" w:leftChars="272" w:firstLine="382"/>
        <w:rPr>
          <w:rFonts w:ascii="宋体" w:hAnsi="宋体"/>
          <w:sz w:val="24"/>
        </w:rPr>
      </w:pPr>
      <w:r>
        <w:rPr>
          <w:rFonts w:hint="eastAsia" w:ascii="宋体" w:hAnsi="宋体"/>
          <w:sz w:val="24"/>
        </w:rPr>
        <w:t>响应人代表姓名、职务（印刷体）：</w:t>
      </w:r>
    </w:p>
    <w:p>
      <w:pPr>
        <w:pStyle w:val="2"/>
        <w:spacing w:after="0" w:line="500" w:lineRule="exact"/>
        <w:ind w:left="571" w:leftChars="272" w:firstLine="382"/>
        <w:rPr>
          <w:rFonts w:ascii="宋体" w:hAnsi="宋体"/>
          <w:sz w:val="24"/>
        </w:rPr>
      </w:pPr>
      <w:r>
        <w:rPr>
          <w:rFonts w:hint="eastAsia" w:ascii="宋体" w:hAnsi="宋体"/>
          <w:sz w:val="24"/>
        </w:rPr>
        <w:t>响应人单位全称（公章）</w:t>
      </w:r>
    </w:p>
    <w:p>
      <w:pPr>
        <w:pStyle w:val="2"/>
        <w:spacing w:after="0" w:line="500" w:lineRule="exact"/>
        <w:ind w:left="571" w:leftChars="272" w:firstLine="382"/>
        <w:rPr>
          <w:rFonts w:ascii="宋体" w:hAnsi="宋体"/>
          <w:sz w:val="24"/>
        </w:rPr>
      </w:pPr>
      <w:r>
        <w:rPr>
          <w:rFonts w:hint="eastAsia" w:ascii="宋体" w:hAnsi="宋体"/>
          <w:sz w:val="24"/>
        </w:rPr>
        <w:t>开户银行名称：</w:t>
      </w:r>
    </w:p>
    <w:p>
      <w:pPr>
        <w:pStyle w:val="2"/>
        <w:spacing w:after="0" w:line="500" w:lineRule="exact"/>
        <w:ind w:left="571" w:leftChars="272" w:firstLine="382"/>
        <w:rPr>
          <w:rFonts w:ascii="宋体" w:hAnsi="宋体"/>
          <w:sz w:val="24"/>
        </w:rPr>
      </w:pPr>
      <w:r>
        <w:rPr>
          <w:rFonts w:hint="eastAsia" w:ascii="宋体" w:hAnsi="宋体"/>
          <w:sz w:val="24"/>
        </w:rPr>
        <w:t>开户银行账号：</w:t>
      </w:r>
    </w:p>
    <w:p>
      <w:pPr>
        <w:pStyle w:val="2"/>
        <w:spacing w:after="0" w:line="500" w:lineRule="exact"/>
        <w:ind w:left="571" w:leftChars="272" w:firstLine="382"/>
        <w:rPr>
          <w:rFonts w:ascii="宋体" w:hAnsi="宋体"/>
          <w:sz w:val="24"/>
        </w:rPr>
      </w:pPr>
      <w:r>
        <w:rPr>
          <w:rFonts w:hint="eastAsia" w:ascii="宋体" w:hAnsi="宋体"/>
          <w:sz w:val="24"/>
        </w:rPr>
        <w:t>开户银行地址：</w:t>
      </w:r>
    </w:p>
    <w:p>
      <w:pPr>
        <w:pStyle w:val="2"/>
        <w:spacing w:after="0" w:line="500" w:lineRule="exact"/>
        <w:ind w:left="571" w:leftChars="272" w:firstLine="382"/>
        <w:rPr>
          <w:rFonts w:ascii="宋体" w:hAnsi="宋体"/>
          <w:sz w:val="24"/>
        </w:rPr>
      </w:pPr>
      <w:r>
        <w:rPr>
          <w:rFonts w:hint="eastAsia" w:ascii="宋体" w:hAnsi="宋体"/>
          <w:sz w:val="24"/>
        </w:rPr>
        <w:t>法定代表人或授权代理人签字或盖章：</w:t>
      </w:r>
    </w:p>
    <w:p>
      <w:pPr>
        <w:pStyle w:val="2"/>
        <w:spacing w:after="0" w:line="500" w:lineRule="exact"/>
        <w:ind w:left="571" w:leftChars="272" w:firstLine="382"/>
        <w:rPr>
          <w:rFonts w:ascii="宋体" w:hAnsi="宋体"/>
          <w:sz w:val="24"/>
        </w:rPr>
      </w:pPr>
      <w:r>
        <w:rPr>
          <w:rFonts w:hint="eastAsia" w:ascii="宋体" w:hAnsi="宋体"/>
          <w:sz w:val="24"/>
        </w:rPr>
        <w:t>地址：</w:t>
      </w:r>
    </w:p>
    <w:p>
      <w:pPr>
        <w:pStyle w:val="2"/>
        <w:spacing w:after="0" w:line="500" w:lineRule="exact"/>
        <w:ind w:left="571" w:leftChars="272" w:firstLine="382"/>
        <w:rPr>
          <w:rFonts w:ascii="宋体" w:hAnsi="宋体"/>
          <w:sz w:val="24"/>
        </w:rPr>
      </w:pPr>
      <w:r>
        <w:rPr>
          <w:rFonts w:hint="eastAsia" w:ascii="宋体" w:hAnsi="宋体"/>
          <w:sz w:val="24"/>
        </w:rPr>
        <w:t>邮政编码：</w:t>
      </w:r>
    </w:p>
    <w:p>
      <w:pPr>
        <w:pStyle w:val="2"/>
        <w:spacing w:after="0" w:line="500" w:lineRule="exact"/>
        <w:ind w:left="571" w:leftChars="272" w:firstLine="382"/>
        <w:rPr>
          <w:rFonts w:ascii="宋体" w:hAnsi="宋体"/>
          <w:sz w:val="24"/>
        </w:rPr>
      </w:pPr>
      <w:r>
        <w:rPr>
          <w:rFonts w:hint="eastAsia" w:ascii="宋体" w:hAnsi="宋体"/>
          <w:sz w:val="24"/>
        </w:rPr>
        <w:t>电话：</w:t>
      </w:r>
    </w:p>
    <w:p>
      <w:pPr>
        <w:pStyle w:val="2"/>
        <w:spacing w:after="0" w:line="500" w:lineRule="exact"/>
        <w:ind w:left="571" w:leftChars="272" w:firstLine="382"/>
        <w:rPr>
          <w:rFonts w:ascii="宋体" w:hAnsi="宋体"/>
          <w:sz w:val="24"/>
        </w:rPr>
      </w:pPr>
      <w:r>
        <w:rPr>
          <w:rFonts w:hint="eastAsia" w:ascii="宋体" w:hAnsi="宋体"/>
          <w:sz w:val="24"/>
        </w:rPr>
        <w:t>传真：</w:t>
      </w:r>
    </w:p>
    <w:p>
      <w:pPr>
        <w:pStyle w:val="2"/>
        <w:spacing w:after="0" w:line="500" w:lineRule="exact"/>
        <w:ind w:left="6660" w:firstLine="480"/>
        <w:rPr>
          <w:rFonts w:ascii="宋体" w:hAnsi="宋体"/>
          <w:sz w:val="24"/>
        </w:rPr>
      </w:pPr>
      <w:r>
        <w:rPr>
          <w:rFonts w:hint="eastAsia" w:ascii="宋体" w:hAnsi="宋体"/>
          <w:sz w:val="24"/>
        </w:rPr>
        <w:t>年月日</w:t>
      </w:r>
    </w:p>
    <w:p>
      <w:pPr>
        <w:pStyle w:val="5"/>
        <w:spacing w:before="120" w:after="120" w:line="560" w:lineRule="exact"/>
        <w:rPr>
          <w:rFonts w:ascii="宋体" w:hAnsi="宋体" w:eastAsia="宋体"/>
          <w:b w:val="0"/>
          <w:bCs w:val="0"/>
          <w:sz w:val="24"/>
          <w:szCs w:val="21"/>
        </w:rPr>
      </w:pPr>
      <w:r>
        <w:rPr>
          <w:rFonts w:ascii="宋体" w:hAnsi="宋体" w:eastAsia="宋体"/>
          <w:sz w:val="24"/>
        </w:rPr>
        <w:br w:type="page"/>
      </w:r>
      <w:bookmarkStart w:id="182" w:name="_Toc60585224"/>
      <w:bookmarkStart w:id="183" w:name="_Toc22724"/>
      <w:bookmarkStart w:id="184" w:name="_Toc7661"/>
      <w:bookmarkStart w:id="185" w:name="_Toc28400"/>
      <w:r>
        <w:rPr>
          <w:rFonts w:hint="eastAsia" w:ascii="宋体" w:hAnsi="宋体" w:eastAsia="宋体"/>
          <w:b w:val="0"/>
          <w:bCs w:val="0"/>
          <w:sz w:val="24"/>
          <w:szCs w:val="21"/>
        </w:rPr>
        <w:t>格式二：授权委托书</w:t>
      </w:r>
      <w:bookmarkEnd w:id="182"/>
      <w:bookmarkEnd w:id="183"/>
      <w:bookmarkEnd w:id="184"/>
      <w:bookmarkEnd w:id="185"/>
    </w:p>
    <w:p>
      <w:pPr>
        <w:pStyle w:val="2"/>
        <w:spacing w:after="0"/>
        <w:rPr>
          <w:rFonts w:ascii="宋体" w:hAnsi="宋体"/>
        </w:rPr>
      </w:pPr>
    </w:p>
    <w:p>
      <w:pPr>
        <w:pStyle w:val="2"/>
        <w:spacing w:after="0" w:line="460" w:lineRule="exact"/>
        <w:jc w:val="center"/>
        <w:rPr>
          <w:rFonts w:ascii="宋体" w:hAnsi="宋体"/>
          <w:b/>
          <w:sz w:val="32"/>
        </w:rPr>
      </w:pPr>
      <w:r>
        <w:rPr>
          <w:rFonts w:hint="eastAsia" w:ascii="宋体" w:hAnsi="宋体"/>
          <w:b/>
          <w:sz w:val="32"/>
        </w:rPr>
        <w:t>法定代表人授权委托书</w:t>
      </w:r>
    </w:p>
    <w:p>
      <w:pPr>
        <w:pStyle w:val="2"/>
        <w:spacing w:after="0" w:line="460" w:lineRule="exact"/>
        <w:jc w:val="center"/>
        <w:rPr>
          <w:rFonts w:ascii="宋体" w:hAnsi="宋体"/>
          <w:b/>
          <w:sz w:val="32"/>
        </w:rPr>
      </w:pPr>
    </w:p>
    <w:p>
      <w:pPr>
        <w:pStyle w:val="2"/>
        <w:spacing w:after="0" w:line="560" w:lineRule="exact"/>
        <w:rPr>
          <w:rFonts w:ascii="宋体" w:hAnsi="宋体"/>
          <w:sz w:val="24"/>
        </w:rPr>
      </w:pPr>
      <w:r>
        <w:rPr>
          <w:rFonts w:hint="eastAsia" w:ascii="宋体" w:hAnsi="宋体"/>
          <w:sz w:val="24"/>
        </w:rPr>
        <w:t>山东大学齐鲁医院（青岛）、海逸恒安项目管理有限公司：</w:t>
      </w:r>
    </w:p>
    <w:p>
      <w:pPr>
        <w:pStyle w:val="2"/>
        <w:spacing w:after="0" w:line="560" w:lineRule="exact"/>
        <w:rPr>
          <w:rFonts w:ascii="宋体" w:hAnsi="宋体"/>
          <w:sz w:val="24"/>
        </w:rPr>
      </w:pPr>
    </w:p>
    <w:p>
      <w:pPr>
        <w:pStyle w:val="2"/>
        <w:spacing w:after="0" w:line="560" w:lineRule="exact"/>
        <w:ind w:firstLine="480"/>
        <w:rPr>
          <w:rFonts w:ascii="宋体" w:hAnsi="宋体"/>
          <w:sz w:val="24"/>
        </w:rPr>
      </w:pPr>
      <w:r>
        <w:rPr>
          <w:rFonts w:hint="eastAsia" w:ascii="宋体" w:hAnsi="宋体"/>
          <w:sz w:val="24"/>
        </w:rPr>
        <w:t>（响应人名称）法定代表人授权（职务或职称）（姓名）为我单位本次报价授权代理人，全权处理此次政府采购项目（项目编号：HYHAQD20___-_____）磋商活动的一切事宜。</w:t>
      </w:r>
    </w:p>
    <w:p>
      <w:pPr>
        <w:pStyle w:val="2"/>
        <w:spacing w:after="0" w:line="560" w:lineRule="exact"/>
        <w:rPr>
          <w:rFonts w:ascii="宋体" w:hAnsi="宋体"/>
          <w:sz w:val="24"/>
        </w:rPr>
      </w:pPr>
    </w:p>
    <w:p>
      <w:pPr>
        <w:pStyle w:val="2"/>
        <w:spacing w:after="0" w:line="560" w:lineRule="exact"/>
        <w:ind w:firstLine="480"/>
        <w:rPr>
          <w:rFonts w:ascii="宋体" w:hAnsi="宋体"/>
          <w:sz w:val="24"/>
        </w:rPr>
      </w:pPr>
      <w:r>
        <w:rPr>
          <w:rFonts w:hint="eastAsia" w:ascii="宋体" w:hAnsi="宋体"/>
          <w:sz w:val="24"/>
        </w:rPr>
        <w:t>特此授权。</w:t>
      </w:r>
    </w:p>
    <w:p>
      <w:pPr>
        <w:pStyle w:val="2"/>
        <w:spacing w:after="0" w:line="560" w:lineRule="exact"/>
        <w:rPr>
          <w:rFonts w:ascii="宋体" w:hAnsi="宋体"/>
          <w:sz w:val="24"/>
        </w:rPr>
      </w:pPr>
    </w:p>
    <w:p>
      <w:pPr>
        <w:pStyle w:val="2"/>
        <w:spacing w:after="0" w:line="560" w:lineRule="exact"/>
        <w:ind w:left="1260" w:hanging="420"/>
        <w:rPr>
          <w:rFonts w:ascii="宋体" w:hAnsi="宋体"/>
        </w:rPr>
      </w:pPr>
      <w:r>
        <w:rPr>
          <w:rFonts w:hint="eastAsia" w:ascii="宋体" w:hAnsi="宋体"/>
        </w:rPr>
        <w:t>（附法定代表人身份证明复印件）           （附授权代理人身份证明复印件）</w:t>
      </w:r>
    </w:p>
    <w:p>
      <w:pPr>
        <w:pStyle w:val="2"/>
        <w:spacing w:after="0" w:line="560" w:lineRule="exact"/>
        <w:ind w:firstLine="4320"/>
        <w:rPr>
          <w:rFonts w:ascii="宋体" w:hAnsi="宋体"/>
          <w:sz w:val="24"/>
        </w:rPr>
      </w:pPr>
    </w:p>
    <w:p>
      <w:pPr>
        <w:pStyle w:val="2"/>
        <w:spacing w:after="0" w:line="560" w:lineRule="exact"/>
        <w:rPr>
          <w:rFonts w:ascii="宋体" w:hAnsi="宋体"/>
          <w:sz w:val="24"/>
        </w:rPr>
      </w:pPr>
    </w:p>
    <w:p>
      <w:pPr>
        <w:pStyle w:val="2"/>
        <w:spacing w:after="0" w:line="560" w:lineRule="exact"/>
        <w:rPr>
          <w:rFonts w:ascii="宋体" w:hAnsi="宋体"/>
          <w:sz w:val="24"/>
        </w:rPr>
      </w:pPr>
    </w:p>
    <w:p>
      <w:pPr>
        <w:pStyle w:val="2"/>
        <w:spacing w:after="0" w:line="560" w:lineRule="exact"/>
        <w:rPr>
          <w:rFonts w:ascii="宋体" w:hAnsi="宋体"/>
          <w:sz w:val="24"/>
        </w:rPr>
      </w:pPr>
      <w:r>
        <w:rPr>
          <w:rFonts w:hint="eastAsia" w:ascii="宋体" w:hAnsi="宋体"/>
          <w:sz w:val="24"/>
        </w:rPr>
        <w:t>响应人单位全称（公章）：</w:t>
      </w:r>
    </w:p>
    <w:p>
      <w:pPr>
        <w:pStyle w:val="2"/>
        <w:spacing w:after="0" w:line="560" w:lineRule="exact"/>
        <w:rPr>
          <w:rFonts w:ascii="宋体" w:hAnsi="宋体"/>
          <w:sz w:val="24"/>
        </w:rPr>
      </w:pPr>
      <w:r>
        <w:rPr>
          <w:rFonts w:hint="eastAsia" w:ascii="宋体" w:hAnsi="宋体"/>
          <w:sz w:val="24"/>
        </w:rPr>
        <w:t>法定代表人签字或盖章：</w:t>
      </w:r>
    </w:p>
    <w:p>
      <w:pPr>
        <w:pStyle w:val="2"/>
        <w:spacing w:after="0" w:line="560" w:lineRule="exact"/>
        <w:rPr>
          <w:rFonts w:ascii="宋体" w:hAnsi="宋体"/>
          <w:sz w:val="24"/>
        </w:rPr>
      </w:pPr>
      <w:r>
        <w:rPr>
          <w:rFonts w:hint="eastAsia" w:ascii="宋体" w:hAnsi="宋体"/>
          <w:sz w:val="24"/>
        </w:rPr>
        <w:t>授权代理人签字：</w:t>
      </w:r>
    </w:p>
    <w:p>
      <w:pPr>
        <w:pStyle w:val="2"/>
        <w:spacing w:after="0" w:line="560" w:lineRule="exact"/>
        <w:rPr>
          <w:rFonts w:ascii="宋体" w:hAnsi="宋体"/>
          <w:sz w:val="24"/>
        </w:rPr>
      </w:pPr>
    </w:p>
    <w:p>
      <w:pPr>
        <w:pStyle w:val="2"/>
        <w:spacing w:after="0" w:line="560" w:lineRule="exact"/>
        <w:rPr>
          <w:rFonts w:ascii="宋体" w:hAnsi="宋体"/>
          <w:sz w:val="24"/>
        </w:rPr>
      </w:pPr>
    </w:p>
    <w:p>
      <w:pPr>
        <w:pStyle w:val="2"/>
        <w:spacing w:after="0" w:line="560" w:lineRule="exact"/>
        <w:rPr>
          <w:rFonts w:ascii="宋体" w:hAnsi="宋体"/>
          <w:sz w:val="24"/>
        </w:rPr>
      </w:pPr>
    </w:p>
    <w:p>
      <w:pPr>
        <w:pStyle w:val="2"/>
        <w:spacing w:after="0" w:line="560" w:lineRule="exact"/>
        <w:ind w:left="5880" w:right="283" w:rightChars="135" w:firstLine="420"/>
        <w:jc w:val="right"/>
        <w:rPr>
          <w:rFonts w:ascii="宋体" w:hAnsi="宋体"/>
          <w:sz w:val="24"/>
        </w:rPr>
      </w:pPr>
      <w:r>
        <w:rPr>
          <w:rFonts w:hint="eastAsia" w:ascii="宋体" w:hAnsi="宋体"/>
          <w:sz w:val="24"/>
        </w:rPr>
        <w:t>年月日</w:t>
      </w:r>
    </w:p>
    <w:p>
      <w:pPr>
        <w:pStyle w:val="2"/>
        <w:spacing w:after="0" w:line="560" w:lineRule="exact"/>
        <w:rPr>
          <w:rFonts w:ascii="宋体" w:hAnsi="宋体"/>
        </w:rPr>
        <w:sectPr>
          <w:pgSz w:w="11907" w:h="16840"/>
          <w:pgMar w:top="1418" w:right="1418" w:bottom="1418" w:left="1418" w:header="851" w:footer="822" w:gutter="0"/>
          <w:cols w:space="720" w:num="1"/>
          <w:docGrid w:linePitch="290" w:charSpace="-3931"/>
        </w:sectPr>
      </w:pPr>
    </w:p>
    <w:p>
      <w:pPr>
        <w:pStyle w:val="5"/>
        <w:spacing w:before="120" w:after="120" w:line="360" w:lineRule="exact"/>
        <w:rPr>
          <w:rFonts w:ascii="宋体" w:hAnsi="宋体" w:eastAsia="宋体"/>
          <w:b w:val="0"/>
          <w:bCs w:val="0"/>
          <w:sz w:val="24"/>
          <w:szCs w:val="21"/>
        </w:rPr>
      </w:pPr>
      <w:bookmarkStart w:id="186" w:name="_Toc12211"/>
      <w:bookmarkStart w:id="187" w:name="_Toc7909"/>
      <w:bookmarkStart w:id="188" w:name="_Toc60585225"/>
      <w:bookmarkStart w:id="189" w:name="_Toc10661"/>
      <w:r>
        <w:rPr>
          <w:rFonts w:hint="eastAsia" w:ascii="宋体" w:hAnsi="宋体" w:eastAsia="宋体"/>
          <w:b w:val="0"/>
          <w:bCs w:val="0"/>
          <w:sz w:val="24"/>
          <w:szCs w:val="21"/>
        </w:rPr>
        <w:t>格式三：首轮报价一览表</w:t>
      </w:r>
      <w:bookmarkEnd w:id="186"/>
      <w:bookmarkEnd w:id="187"/>
      <w:bookmarkEnd w:id="188"/>
      <w:bookmarkEnd w:id="189"/>
    </w:p>
    <w:p>
      <w:pPr>
        <w:widowControl/>
        <w:jc w:val="center"/>
        <w:rPr>
          <w:rFonts w:ascii="宋体" w:hAnsi="宋体"/>
          <w:b/>
          <w:sz w:val="32"/>
        </w:rPr>
      </w:pPr>
      <w:r>
        <w:rPr>
          <w:rFonts w:hint="eastAsia" w:ascii="宋体" w:hAnsi="宋体"/>
          <w:b/>
          <w:sz w:val="32"/>
        </w:rPr>
        <w:t>首轮报价一览表</w:t>
      </w:r>
    </w:p>
    <w:p>
      <w:pPr>
        <w:pStyle w:val="32"/>
        <w:spacing w:line="360" w:lineRule="exact"/>
        <w:ind w:left="0" w:leftChars="0" w:firstLine="0" w:firstLineChars="0"/>
        <w:rPr>
          <w:rFonts w:ascii="宋体" w:hAnsi="宋体"/>
          <w:bCs/>
          <w:sz w:val="24"/>
        </w:rPr>
      </w:pPr>
    </w:p>
    <w:p>
      <w:pPr>
        <w:pStyle w:val="32"/>
        <w:spacing w:line="360" w:lineRule="exact"/>
        <w:ind w:left="0" w:leftChars="0" w:firstLine="0" w:firstLineChars="0"/>
        <w:rPr>
          <w:rFonts w:ascii="宋体" w:hAnsi="宋体"/>
          <w:bCs/>
          <w:sz w:val="24"/>
        </w:rPr>
      </w:pPr>
      <w:r>
        <w:rPr>
          <w:rFonts w:hint="eastAsia" w:ascii="宋体" w:hAnsi="宋体"/>
          <w:bCs/>
          <w:sz w:val="24"/>
        </w:rPr>
        <w:t>项目编号</w:t>
      </w:r>
      <w:r>
        <w:rPr>
          <w:rFonts w:hint="eastAsia" w:ascii="宋体" w:hAnsi="宋体"/>
          <w:b/>
          <w:bCs/>
          <w:sz w:val="24"/>
        </w:rPr>
        <w:t>：</w:t>
      </w:r>
      <w:r>
        <w:rPr>
          <w:rFonts w:hint="eastAsia" w:ascii="宋体" w:hAnsi="宋体"/>
          <w:sz w:val="24"/>
        </w:rPr>
        <w:t>HYHAQD20___-_____</w:t>
      </w:r>
    </w:p>
    <w:p>
      <w:pPr>
        <w:pStyle w:val="32"/>
        <w:spacing w:line="360" w:lineRule="exact"/>
        <w:ind w:left="0" w:leftChars="0" w:firstLine="0" w:firstLineChars="0"/>
        <w:rPr>
          <w:rFonts w:ascii="宋体" w:hAnsi="宋体"/>
          <w:bCs/>
          <w:sz w:val="24"/>
        </w:rPr>
      </w:pPr>
      <w:r>
        <w:rPr>
          <w:rFonts w:hint="eastAsia" w:ascii="宋体" w:hAnsi="宋体"/>
          <w:bCs/>
          <w:sz w:val="24"/>
        </w:rPr>
        <w:t>项目名称</w:t>
      </w:r>
      <w:r>
        <w:rPr>
          <w:rFonts w:hint="eastAsia" w:ascii="宋体" w:hAnsi="宋体"/>
          <w:b/>
          <w:bCs/>
          <w:sz w:val="24"/>
        </w:rPr>
        <w:t>：</w:t>
      </w:r>
      <w:r>
        <w:rPr>
          <w:rFonts w:hint="eastAsia" w:ascii="宋体" w:hAnsi="宋体"/>
          <w:bCs/>
          <w:sz w:val="24"/>
        </w:rPr>
        <w:t>____________________</w:t>
      </w:r>
    </w:p>
    <w:tbl>
      <w:tblPr>
        <w:tblStyle w:val="75"/>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6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jc w:val="center"/>
        </w:trPr>
        <w:tc>
          <w:tcPr>
            <w:tcW w:w="2830" w:type="dxa"/>
            <w:vAlign w:val="center"/>
          </w:tcPr>
          <w:p>
            <w:pPr>
              <w:spacing w:line="360" w:lineRule="auto"/>
              <w:jc w:val="center"/>
              <w:rPr>
                <w:rFonts w:ascii="宋体" w:hAnsi="宋体"/>
                <w:b/>
                <w:sz w:val="24"/>
              </w:rPr>
            </w:pPr>
            <w:r>
              <w:rPr>
                <w:rFonts w:hint="eastAsia" w:ascii="宋体" w:hAnsi="宋体"/>
                <w:b/>
                <w:sz w:val="24"/>
              </w:rPr>
              <w:t>响应人名称</w:t>
            </w:r>
          </w:p>
        </w:tc>
        <w:tc>
          <w:tcPr>
            <w:tcW w:w="6529"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jc w:val="center"/>
        </w:trPr>
        <w:tc>
          <w:tcPr>
            <w:tcW w:w="2830" w:type="dxa"/>
            <w:vAlign w:val="center"/>
          </w:tcPr>
          <w:p>
            <w:pPr>
              <w:tabs>
                <w:tab w:val="left" w:pos="1337"/>
              </w:tabs>
              <w:ind w:left="27" w:leftChars="13"/>
              <w:jc w:val="center"/>
              <w:rPr>
                <w:rFonts w:ascii="宋体" w:hAnsi="宋体"/>
                <w:sz w:val="24"/>
              </w:rPr>
            </w:pPr>
            <w:r>
              <w:rPr>
                <w:rFonts w:hint="eastAsia" w:ascii="宋体" w:hAnsi="宋体"/>
                <w:sz w:val="24"/>
              </w:rPr>
              <w:t>取费费率</w:t>
            </w:r>
          </w:p>
        </w:tc>
        <w:tc>
          <w:tcPr>
            <w:tcW w:w="6529" w:type="dxa"/>
            <w:vAlign w:val="center"/>
          </w:tcPr>
          <w:p>
            <w:pPr>
              <w:tabs>
                <w:tab w:val="left" w:pos="1337"/>
              </w:tabs>
              <w:ind w:left="191"/>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2830" w:type="dxa"/>
            <w:vAlign w:val="center"/>
          </w:tcPr>
          <w:p>
            <w:pPr>
              <w:tabs>
                <w:tab w:val="left" w:pos="1337"/>
              </w:tabs>
              <w:spacing w:line="360" w:lineRule="auto"/>
              <w:ind w:left="240" w:hanging="240" w:hangingChars="100"/>
              <w:jc w:val="center"/>
              <w:rPr>
                <w:rFonts w:ascii="宋体" w:hAnsi="宋体" w:cs="宋体"/>
                <w:sz w:val="24"/>
              </w:rPr>
            </w:pPr>
            <w:r>
              <w:rPr>
                <w:rFonts w:hint="eastAsia" w:ascii="宋体" w:hAnsi="宋体" w:cs="宋体"/>
                <w:sz w:val="24"/>
              </w:rPr>
              <w:t>项目负责人</w:t>
            </w:r>
          </w:p>
        </w:tc>
        <w:tc>
          <w:tcPr>
            <w:tcW w:w="6529" w:type="dxa"/>
            <w:vAlign w:val="center"/>
          </w:tcPr>
          <w:p>
            <w:pPr>
              <w:tabs>
                <w:tab w:val="left" w:pos="1337"/>
              </w:tabs>
              <w:spacing w:line="360" w:lineRule="auto"/>
              <w:rPr>
                <w:rFonts w:ascii="宋体" w:hAnsi="宋体" w:cs="宋体"/>
                <w:b/>
                <w:sz w:val="24"/>
              </w:rPr>
            </w:pPr>
            <w:r>
              <w:rPr>
                <w:rFonts w:hint="eastAsia" w:ascii="宋体" w:hAnsi="宋体" w:cs="宋体"/>
                <w:sz w:val="24"/>
              </w:rPr>
              <w:t xml:space="preserve">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2830" w:type="dxa"/>
            <w:vAlign w:val="center"/>
          </w:tcPr>
          <w:p>
            <w:pPr>
              <w:tabs>
                <w:tab w:val="left" w:pos="1337"/>
              </w:tabs>
              <w:spacing w:line="360" w:lineRule="auto"/>
              <w:ind w:left="240" w:hanging="240" w:hangingChars="100"/>
              <w:jc w:val="center"/>
              <w:rPr>
                <w:rFonts w:ascii="宋体" w:hAnsi="宋体" w:cs="宋体"/>
                <w:sz w:val="24"/>
              </w:rPr>
            </w:pPr>
            <w:r>
              <w:rPr>
                <w:rFonts w:hint="eastAsia" w:ascii="宋体" w:hAnsi="宋体" w:cs="宋体"/>
                <w:sz w:val="24"/>
              </w:rPr>
              <w:t>技术负责人</w:t>
            </w:r>
          </w:p>
        </w:tc>
        <w:tc>
          <w:tcPr>
            <w:tcW w:w="6529" w:type="dxa"/>
            <w:vAlign w:val="center"/>
          </w:tcPr>
          <w:p>
            <w:pPr>
              <w:tabs>
                <w:tab w:val="left" w:pos="1337"/>
              </w:tabs>
              <w:spacing w:line="360" w:lineRule="auto"/>
              <w:rPr>
                <w:rFonts w:ascii="宋体" w:hAnsi="宋体" w:cs="宋体"/>
                <w:sz w:val="24"/>
              </w:rPr>
            </w:pPr>
            <w:r>
              <w:rPr>
                <w:rFonts w:hint="eastAsia" w:ascii="宋体" w:hAnsi="宋体" w:cs="宋体"/>
                <w:sz w:val="24"/>
              </w:rPr>
              <w:t xml:space="preserve">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2830" w:type="dxa"/>
            <w:vAlign w:val="center"/>
          </w:tcPr>
          <w:p>
            <w:pPr>
              <w:tabs>
                <w:tab w:val="left" w:pos="1337"/>
              </w:tabs>
              <w:ind w:left="27" w:leftChars="13"/>
              <w:jc w:val="center"/>
              <w:rPr>
                <w:rFonts w:ascii="宋体" w:hAnsi="宋体"/>
                <w:sz w:val="24"/>
              </w:rPr>
            </w:pPr>
            <w:r>
              <w:rPr>
                <w:rFonts w:hint="eastAsia" w:ascii="宋体" w:hAnsi="宋体"/>
                <w:sz w:val="24"/>
              </w:rPr>
              <w:t>对采购文件的认同程度声明（是否完全认同）</w:t>
            </w:r>
          </w:p>
        </w:tc>
        <w:tc>
          <w:tcPr>
            <w:tcW w:w="6529" w:type="dxa"/>
            <w:vAlign w:val="center"/>
          </w:tcPr>
          <w:p>
            <w:pPr>
              <w:tabs>
                <w:tab w:val="left" w:pos="1337"/>
              </w:tabs>
              <w:ind w:left="191"/>
              <w:jc w:val="center"/>
              <w:rPr>
                <w:rFonts w:ascii="宋体" w:hAnsi="宋体"/>
                <w:sz w:val="24"/>
              </w:rPr>
            </w:pPr>
          </w:p>
        </w:tc>
      </w:tr>
    </w:tbl>
    <w:p>
      <w:pPr>
        <w:spacing w:line="360" w:lineRule="exact"/>
        <w:ind w:right="187"/>
        <w:rPr>
          <w:rFonts w:ascii="宋体" w:hAnsi="宋体"/>
          <w:bCs/>
          <w:sz w:val="24"/>
          <w:u w:val="single"/>
        </w:rPr>
      </w:pPr>
      <w:r>
        <w:rPr>
          <w:rFonts w:hint="eastAsia" w:ascii="宋体" w:hAnsi="宋体"/>
          <w:sz w:val="24"/>
        </w:rPr>
        <w:t>响应人单位全称</w:t>
      </w:r>
      <w:r>
        <w:rPr>
          <w:rFonts w:hint="eastAsia" w:ascii="宋体" w:hAnsi="宋体"/>
          <w:bCs/>
          <w:sz w:val="24"/>
        </w:rPr>
        <w:t>（公章）：</w:t>
      </w:r>
    </w:p>
    <w:p>
      <w:pPr>
        <w:spacing w:line="360" w:lineRule="exact"/>
        <w:ind w:right="187"/>
        <w:rPr>
          <w:rFonts w:ascii="宋体" w:hAnsi="宋体"/>
          <w:bCs/>
          <w:sz w:val="24"/>
          <w:u w:val="single"/>
        </w:rPr>
      </w:pPr>
    </w:p>
    <w:p>
      <w:pPr>
        <w:spacing w:line="360" w:lineRule="exact"/>
        <w:ind w:right="187"/>
        <w:rPr>
          <w:rFonts w:ascii="宋体" w:hAnsi="宋体"/>
          <w:bCs/>
          <w:sz w:val="24"/>
        </w:rPr>
      </w:pPr>
      <w:r>
        <w:rPr>
          <w:rFonts w:hint="eastAsia" w:ascii="宋体" w:hAnsi="宋体"/>
          <w:bCs/>
          <w:sz w:val="24"/>
        </w:rPr>
        <w:t>法定代表人或授权代理人</w:t>
      </w:r>
      <w:r>
        <w:rPr>
          <w:rFonts w:hint="eastAsia" w:ascii="宋体" w:hAnsi="宋体"/>
          <w:sz w:val="24"/>
        </w:rPr>
        <w:t>签字或盖章</w:t>
      </w:r>
      <w:r>
        <w:rPr>
          <w:rFonts w:hint="eastAsia" w:ascii="宋体" w:hAnsi="宋体"/>
          <w:bCs/>
          <w:sz w:val="24"/>
        </w:rPr>
        <w:t>：</w:t>
      </w:r>
    </w:p>
    <w:p>
      <w:pPr>
        <w:spacing w:line="400" w:lineRule="exact"/>
        <w:ind w:firstLine="630" w:firstLineChars="300"/>
        <w:rPr>
          <w:rFonts w:ascii="宋体" w:hAnsi="宋体"/>
        </w:rPr>
      </w:pPr>
    </w:p>
    <w:p>
      <w:pPr>
        <w:spacing w:line="400" w:lineRule="exact"/>
        <w:ind w:firstLine="720" w:firstLineChars="300"/>
        <w:jc w:val="right"/>
        <w:rPr>
          <w:rFonts w:ascii="宋体" w:hAnsi="宋体"/>
          <w:bCs/>
          <w:sz w:val="24"/>
        </w:rPr>
      </w:pPr>
      <w:r>
        <w:rPr>
          <w:rFonts w:hint="eastAsia" w:ascii="宋体" w:hAnsi="宋体"/>
          <w:bCs/>
          <w:sz w:val="24"/>
        </w:rPr>
        <w:t>年月日</w:t>
      </w:r>
    </w:p>
    <w:p>
      <w:pPr>
        <w:pStyle w:val="5"/>
        <w:spacing w:before="120" w:after="120" w:line="360" w:lineRule="exact"/>
        <w:rPr>
          <w:rFonts w:ascii="宋体" w:hAnsi="宋体" w:eastAsia="宋体"/>
          <w:b w:val="0"/>
          <w:bCs w:val="0"/>
          <w:sz w:val="24"/>
          <w:szCs w:val="21"/>
        </w:rPr>
      </w:pPr>
      <w:r>
        <w:rPr>
          <w:rFonts w:ascii="宋体" w:hAnsi="宋体"/>
          <w:bCs w:val="0"/>
          <w:sz w:val="24"/>
        </w:rPr>
        <w:br w:type="page"/>
      </w:r>
      <w:bookmarkStart w:id="190" w:name="_Toc60585226"/>
      <w:bookmarkStart w:id="191" w:name="_Toc36192111"/>
      <w:bookmarkStart w:id="192" w:name="_Toc16272"/>
      <w:bookmarkStart w:id="193" w:name="_Toc11037"/>
      <w:bookmarkStart w:id="194" w:name="_Toc21414"/>
      <w:r>
        <w:rPr>
          <w:rFonts w:hint="eastAsia" w:ascii="宋体" w:hAnsi="宋体" w:eastAsia="宋体"/>
          <w:kern w:val="2"/>
          <w:sz w:val="24"/>
          <w:szCs w:val="21"/>
        </w:rPr>
        <w:t>格式四：</w:t>
      </w:r>
      <w:bookmarkEnd w:id="190"/>
      <w:bookmarkEnd w:id="191"/>
      <w:bookmarkStart w:id="195" w:name="_Toc60585228"/>
      <w:r>
        <w:rPr>
          <w:rFonts w:hint="eastAsia" w:ascii="宋体" w:hAnsi="宋体" w:eastAsia="宋体"/>
          <w:kern w:val="2"/>
          <w:sz w:val="24"/>
          <w:szCs w:val="21"/>
        </w:rPr>
        <w:t>商务响应一览表</w:t>
      </w:r>
      <w:bookmarkEnd w:id="192"/>
      <w:bookmarkEnd w:id="193"/>
      <w:bookmarkEnd w:id="194"/>
      <w:bookmarkEnd w:id="195"/>
    </w:p>
    <w:p>
      <w:pPr>
        <w:pStyle w:val="22"/>
        <w:spacing w:before="0" w:after="0"/>
        <w:rPr>
          <w:rFonts w:ascii="宋体" w:hAnsi="宋体" w:eastAsia="宋体"/>
        </w:rPr>
      </w:pPr>
    </w:p>
    <w:p>
      <w:pPr>
        <w:widowControl/>
        <w:jc w:val="center"/>
        <w:rPr>
          <w:rFonts w:ascii="宋体" w:hAnsi="宋体"/>
          <w:b/>
          <w:sz w:val="32"/>
        </w:rPr>
      </w:pPr>
      <w:r>
        <w:rPr>
          <w:rFonts w:hint="eastAsia" w:ascii="宋体" w:hAnsi="宋体"/>
          <w:b/>
          <w:sz w:val="32"/>
        </w:rPr>
        <w:t>商务响应一览表</w:t>
      </w:r>
    </w:p>
    <w:p>
      <w:pPr>
        <w:pStyle w:val="32"/>
        <w:spacing w:line="360" w:lineRule="exact"/>
        <w:ind w:left="0" w:leftChars="0" w:firstLine="0" w:firstLineChars="0"/>
        <w:rPr>
          <w:rFonts w:ascii="宋体" w:hAnsi="宋体"/>
          <w:bCs/>
          <w:sz w:val="24"/>
        </w:rPr>
      </w:pPr>
      <w:r>
        <w:rPr>
          <w:rFonts w:hint="eastAsia" w:ascii="宋体" w:hAnsi="宋体"/>
          <w:bCs/>
          <w:sz w:val="24"/>
        </w:rPr>
        <w:t>项目编号</w:t>
      </w:r>
      <w:r>
        <w:rPr>
          <w:rFonts w:hint="eastAsia" w:ascii="宋体" w:hAnsi="宋体"/>
          <w:b/>
          <w:bCs/>
          <w:sz w:val="24"/>
        </w:rPr>
        <w:t>：</w:t>
      </w:r>
      <w:r>
        <w:rPr>
          <w:rFonts w:hint="eastAsia" w:ascii="宋体" w:hAnsi="宋体"/>
          <w:sz w:val="24"/>
        </w:rPr>
        <w:t>HYHAQD20___-_____</w:t>
      </w:r>
    </w:p>
    <w:p>
      <w:pPr>
        <w:pStyle w:val="32"/>
        <w:spacing w:beforeLines="50" w:line="240" w:lineRule="auto"/>
        <w:ind w:left="0" w:leftChars="0" w:firstLine="0" w:firstLineChars="0"/>
        <w:rPr>
          <w:rFonts w:ascii="宋体" w:hAnsi="宋体"/>
          <w:bCs/>
          <w:sz w:val="24"/>
        </w:rPr>
      </w:pPr>
      <w:r>
        <w:rPr>
          <w:rFonts w:hint="eastAsia" w:ascii="宋体" w:hAnsi="宋体"/>
          <w:bCs/>
          <w:sz w:val="24"/>
        </w:rPr>
        <w:t>项目名称</w:t>
      </w:r>
      <w:r>
        <w:rPr>
          <w:rFonts w:hint="eastAsia" w:ascii="宋体" w:hAnsi="宋体"/>
          <w:b/>
          <w:bCs/>
          <w:sz w:val="24"/>
        </w:rPr>
        <w:t>：</w:t>
      </w:r>
      <w:r>
        <w:rPr>
          <w:rFonts w:hint="eastAsia" w:ascii="宋体" w:hAnsi="宋体"/>
          <w:bCs/>
          <w:sz w:val="24"/>
        </w:rPr>
        <w:t xml:space="preserve">____________________  </w:t>
      </w:r>
    </w:p>
    <w:tbl>
      <w:tblPr>
        <w:tblStyle w:val="75"/>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469"/>
        <w:gridCol w:w="1594"/>
        <w:gridCol w:w="1592"/>
        <w:gridCol w:w="1460"/>
        <w:gridCol w:w="1462"/>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39" w:type="dxa"/>
            <w:vAlign w:val="center"/>
          </w:tcPr>
          <w:p>
            <w:pPr>
              <w:tabs>
                <w:tab w:val="left" w:pos="1337"/>
              </w:tabs>
              <w:jc w:val="center"/>
              <w:rPr>
                <w:rFonts w:ascii="宋体" w:hAnsi="宋体"/>
                <w:bCs/>
                <w:sz w:val="24"/>
              </w:rPr>
            </w:pPr>
            <w:r>
              <w:rPr>
                <w:rFonts w:hint="eastAsia" w:ascii="宋体" w:hAnsi="宋体"/>
                <w:bCs/>
                <w:sz w:val="24"/>
              </w:rPr>
              <w:t>序号</w:t>
            </w:r>
          </w:p>
        </w:tc>
        <w:tc>
          <w:tcPr>
            <w:tcW w:w="1469" w:type="dxa"/>
            <w:vAlign w:val="center"/>
          </w:tcPr>
          <w:p>
            <w:pPr>
              <w:tabs>
                <w:tab w:val="left" w:pos="1337"/>
              </w:tabs>
              <w:jc w:val="center"/>
              <w:rPr>
                <w:rFonts w:ascii="宋体" w:hAnsi="宋体"/>
                <w:bCs/>
                <w:sz w:val="24"/>
              </w:rPr>
            </w:pPr>
            <w:r>
              <w:rPr>
                <w:rFonts w:hint="eastAsia" w:ascii="宋体" w:hAnsi="宋体"/>
                <w:bCs/>
                <w:sz w:val="24"/>
              </w:rPr>
              <w:t>采购文件</w:t>
            </w:r>
          </w:p>
          <w:p>
            <w:pPr>
              <w:tabs>
                <w:tab w:val="left" w:pos="1337"/>
              </w:tabs>
              <w:jc w:val="center"/>
              <w:rPr>
                <w:rFonts w:ascii="宋体" w:hAnsi="宋体"/>
                <w:bCs/>
                <w:sz w:val="24"/>
              </w:rPr>
            </w:pPr>
            <w:r>
              <w:rPr>
                <w:rFonts w:hint="eastAsia" w:ascii="宋体" w:hAnsi="宋体"/>
                <w:bCs/>
                <w:sz w:val="24"/>
              </w:rPr>
              <w:t>条目号</w:t>
            </w:r>
          </w:p>
        </w:tc>
        <w:tc>
          <w:tcPr>
            <w:tcW w:w="1594" w:type="dxa"/>
            <w:vAlign w:val="center"/>
          </w:tcPr>
          <w:p>
            <w:pPr>
              <w:tabs>
                <w:tab w:val="left" w:pos="1337"/>
              </w:tabs>
              <w:jc w:val="center"/>
              <w:rPr>
                <w:rFonts w:ascii="宋体" w:hAnsi="宋体"/>
                <w:bCs/>
                <w:sz w:val="24"/>
              </w:rPr>
            </w:pPr>
            <w:r>
              <w:rPr>
                <w:rFonts w:hint="eastAsia" w:ascii="宋体" w:hAnsi="宋体"/>
                <w:bCs/>
                <w:sz w:val="24"/>
              </w:rPr>
              <w:t>采购文件</w:t>
            </w:r>
          </w:p>
          <w:p>
            <w:pPr>
              <w:tabs>
                <w:tab w:val="left" w:pos="1337"/>
              </w:tabs>
              <w:jc w:val="center"/>
              <w:rPr>
                <w:rFonts w:ascii="宋体" w:hAnsi="宋体"/>
                <w:bCs/>
                <w:sz w:val="24"/>
              </w:rPr>
            </w:pPr>
            <w:r>
              <w:rPr>
                <w:rFonts w:hint="eastAsia" w:ascii="宋体" w:hAnsi="宋体"/>
                <w:bCs/>
                <w:sz w:val="24"/>
              </w:rPr>
              <w:t>要求</w:t>
            </w:r>
          </w:p>
        </w:tc>
        <w:tc>
          <w:tcPr>
            <w:tcW w:w="1592" w:type="dxa"/>
            <w:vAlign w:val="center"/>
          </w:tcPr>
          <w:p>
            <w:pPr>
              <w:tabs>
                <w:tab w:val="left" w:pos="1337"/>
              </w:tabs>
              <w:jc w:val="center"/>
              <w:rPr>
                <w:rFonts w:ascii="宋体" w:hAnsi="宋体"/>
                <w:bCs/>
                <w:sz w:val="24"/>
              </w:rPr>
            </w:pPr>
            <w:r>
              <w:rPr>
                <w:rFonts w:hint="eastAsia" w:ascii="宋体" w:hAnsi="宋体"/>
                <w:bCs/>
                <w:sz w:val="24"/>
              </w:rPr>
              <w:t>响应文件</w:t>
            </w:r>
          </w:p>
          <w:p>
            <w:pPr>
              <w:tabs>
                <w:tab w:val="left" w:pos="1337"/>
              </w:tabs>
              <w:jc w:val="center"/>
              <w:rPr>
                <w:rFonts w:ascii="宋体" w:hAnsi="宋体"/>
                <w:bCs/>
                <w:sz w:val="24"/>
              </w:rPr>
            </w:pPr>
            <w:r>
              <w:rPr>
                <w:rFonts w:hint="eastAsia" w:ascii="宋体" w:hAnsi="宋体"/>
                <w:bCs/>
                <w:sz w:val="24"/>
              </w:rPr>
              <w:t>实际情况</w:t>
            </w:r>
          </w:p>
        </w:tc>
        <w:tc>
          <w:tcPr>
            <w:tcW w:w="1460" w:type="dxa"/>
            <w:vAlign w:val="center"/>
          </w:tcPr>
          <w:p>
            <w:pPr>
              <w:tabs>
                <w:tab w:val="left" w:pos="1337"/>
              </w:tabs>
              <w:jc w:val="center"/>
              <w:rPr>
                <w:rFonts w:ascii="宋体" w:hAnsi="宋体"/>
                <w:bCs/>
                <w:sz w:val="24"/>
              </w:rPr>
            </w:pPr>
            <w:r>
              <w:rPr>
                <w:rFonts w:hint="eastAsia" w:ascii="宋体" w:hAnsi="宋体"/>
                <w:bCs/>
                <w:sz w:val="24"/>
              </w:rPr>
              <w:t>响应文件对应的页码</w:t>
            </w:r>
          </w:p>
        </w:tc>
        <w:tc>
          <w:tcPr>
            <w:tcW w:w="1462" w:type="dxa"/>
            <w:vAlign w:val="center"/>
          </w:tcPr>
          <w:p>
            <w:pPr>
              <w:tabs>
                <w:tab w:val="left" w:pos="1337"/>
              </w:tabs>
              <w:jc w:val="center"/>
              <w:rPr>
                <w:rFonts w:ascii="宋体" w:hAnsi="宋体"/>
                <w:bCs/>
                <w:sz w:val="24"/>
              </w:rPr>
            </w:pPr>
            <w:r>
              <w:rPr>
                <w:rFonts w:hint="eastAsia" w:ascii="宋体" w:hAnsi="宋体"/>
                <w:bCs/>
                <w:sz w:val="24"/>
              </w:rPr>
              <w:t>偏差内容</w:t>
            </w:r>
          </w:p>
        </w:tc>
        <w:tc>
          <w:tcPr>
            <w:tcW w:w="1341" w:type="dxa"/>
            <w:vAlign w:val="center"/>
          </w:tcPr>
          <w:p>
            <w:pPr>
              <w:tabs>
                <w:tab w:val="left" w:pos="1337"/>
              </w:tabs>
              <w:jc w:val="center"/>
              <w:rPr>
                <w:rFonts w:ascii="宋体" w:hAnsi="宋体"/>
                <w:bCs/>
                <w:sz w:val="24"/>
              </w:rPr>
            </w:pPr>
            <w:r>
              <w:rPr>
                <w:rFonts w:hint="eastAsia" w:ascii="宋体" w:hAnsi="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9" w:type="dxa"/>
            <w:vAlign w:val="center"/>
          </w:tcPr>
          <w:p>
            <w:pPr>
              <w:tabs>
                <w:tab w:val="left" w:pos="1337"/>
              </w:tabs>
              <w:jc w:val="center"/>
              <w:rPr>
                <w:rFonts w:ascii="宋体" w:hAnsi="宋体"/>
                <w:sz w:val="24"/>
              </w:rPr>
            </w:pPr>
          </w:p>
        </w:tc>
        <w:tc>
          <w:tcPr>
            <w:tcW w:w="1469" w:type="dxa"/>
            <w:vAlign w:val="center"/>
          </w:tcPr>
          <w:p>
            <w:pPr>
              <w:tabs>
                <w:tab w:val="left" w:pos="1337"/>
              </w:tabs>
              <w:jc w:val="center"/>
              <w:rPr>
                <w:rFonts w:ascii="宋体" w:hAnsi="宋体"/>
                <w:sz w:val="24"/>
              </w:rPr>
            </w:pPr>
          </w:p>
        </w:tc>
        <w:tc>
          <w:tcPr>
            <w:tcW w:w="1594" w:type="dxa"/>
            <w:vAlign w:val="center"/>
          </w:tcPr>
          <w:p>
            <w:pPr>
              <w:tabs>
                <w:tab w:val="left" w:pos="1337"/>
              </w:tabs>
              <w:jc w:val="center"/>
              <w:rPr>
                <w:rFonts w:ascii="宋体" w:hAnsi="宋体"/>
                <w:sz w:val="24"/>
              </w:rPr>
            </w:pPr>
          </w:p>
        </w:tc>
        <w:tc>
          <w:tcPr>
            <w:tcW w:w="1592" w:type="dxa"/>
            <w:vAlign w:val="center"/>
          </w:tcPr>
          <w:p>
            <w:pPr>
              <w:tabs>
                <w:tab w:val="left" w:pos="1337"/>
              </w:tabs>
              <w:jc w:val="center"/>
              <w:rPr>
                <w:rFonts w:ascii="宋体" w:hAnsi="宋体"/>
                <w:sz w:val="24"/>
              </w:rPr>
            </w:pPr>
          </w:p>
        </w:tc>
        <w:tc>
          <w:tcPr>
            <w:tcW w:w="1460" w:type="dxa"/>
            <w:vAlign w:val="center"/>
          </w:tcPr>
          <w:p>
            <w:pPr>
              <w:tabs>
                <w:tab w:val="left" w:pos="1337"/>
              </w:tabs>
              <w:jc w:val="center"/>
              <w:rPr>
                <w:rFonts w:ascii="宋体" w:hAnsi="宋体"/>
                <w:sz w:val="24"/>
              </w:rPr>
            </w:pPr>
          </w:p>
        </w:tc>
        <w:tc>
          <w:tcPr>
            <w:tcW w:w="1462" w:type="dxa"/>
            <w:vAlign w:val="center"/>
          </w:tcPr>
          <w:p>
            <w:pPr>
              <w:tabs>
                <w:tab w:val="left" w:pos="1337"/>
              </w:tabs>
              <w:jc w:val="center"/>
              <w:rPr>
                <w:rFonts w:ascii="宋体" w:hAnsi="宋体"/>
                <w:sz w:val="24"/>
              </w:rPr>
            </w:pPr>
          </w:p>
        </w:tc>
        <w:tc>
          <w:tcPr>
            <w:tcW w:w="1341" w:type="dxa"/>
            <w:vAlign w:val="center"/>
          </w:tcPr>
          <w:p>
            <w:pPr>
              <w:tabs>
                <w:tab w:val="left" w:pos="1337"/>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9" w:type="dxa"/>
            <w:vAlign w:val="center"/>
          </w:tcPr>
          <w:p>
            <w:pPr>
              <w:tabs>
                <w:tab w:val="left" w:pos="1337"/>
              </w:tabs>
              <w:jc w:val="center"/>
              <w:rPr>
                <w:rFonts w:ascii="宋体" w:hAnsi="宋体"/>
                <w:sz w:val="24"/>
              </w:rPr>
            </w:pPr>
          </w:p>
        </w:tc>
        <w:tc>
          <w:tcPr>
            <w:tcW w:w="1469" w:type="dxa"/>
            <w:vAlign w:val="center"/>
          </w:tcPr>
          <w:p>
            <w:pPr>
              <w:tabs>
                <w:tab w:val="left" w:pos="1337"/>
              </w:tabs>
              <w:jc w:val="center"/>
              <w:rPr>
                <w:rFonts w:ascii="宋体" w:hAnsi="宋体"/>
                <w:sz w:val="24"/>
              </w:rPr>
            </w:pPr>
          </w:p>
        </w:tc>
        <w:tc>
          <w:tcPr>
            <w:tcW w:w="1594" w:type="dxa"/>
            <w:vAlign w:val="center"/>
          </w:tcPr>
          <w:p>
            <w:pPr>
              <w:tabs>
                <w:tab w:val="left" w:pos="1337"/>
              </w:tabs>
              <w:jc w:val="center"/>
              <w:rPr>
                <w:rFonts w:ascii="宋体" w:hAnsi="宋体"/>
                <w:sz w:val="24"/>
              </w:rPr>
            </w:pPr>
          </w:p>
        </w:tc>
        <w:tc>
          <w:tcPr>
            <w:tcW w:w="1592" w:type="dxa"/>
            <w:vAlign w:val="center"/>
          </w:tcPr>
          <w:p>
            <w:pPr>
              <w:tabs>
                <w:tab w:val="left" w:pos="1337"/>
              </w:tabs>
              <w:jc w:val="center"/>
              <w:rPr>
                <w:rFonts w:ascii="宋体" w:hAnsi="宋体"/>
                <w:sz w:val="24"/>
              </w:rPr>
            </w:pPr>
          </w:p>
        </w:tc>
        <w:tc>
          <w:tcPr>
            <w:tcW w:w="1460" w:type="dxa"/>
            <w:vAlign w:val="center"/>
          </w:tcPr>
          <w:p>
            <w:pPr>
              <w:tabs>
                <w:tab w:val="left" w:pos="1337"/>
              </w:tabs>
              <w:jc w:val="center"/>
              <w:rPr>
                <w:rFonts w:ascii="宋体" w:hAnsi="宋体"/>
                <w:sz w:val="24"/>
              </w:rPr>
            </w:pPr>
          </w:p>
        </w:tc>
        <w:tc>
          <w:tcPr>
            <w:tcW w:w="1462" w:type="dxa"/>
            <w:vAlign w:val="center"/>
          </w:tcPr>
          <w:p>
            <w:pPr>
              <w:tabs>
                <w:tab w:val="left" w:pos="1337"/>
              </w:tabs>
              <w:jc w:val="center"/>
              <w:rPr>
                <w:rFonts w:ascii="宋体" w:hAnsi="宋体"/>
                <w:sz w:val="24"/>
              </w:rPr>
            </w:pPr>
          </w:p>
        </w:tc>
        <w:tc>
          <w:tcPr>
            <w:tcW w:w="1341" w:type="dxa"/>
            <w:vAlign w:val="center"/>
          </w:tcPr>
          <w:p>
            <w:pPr>
              <w:tabs>
                <w:tab w:val="left" w:pos="1337"/>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rPr>
            </w:pPr>
          </w:p>
        </w:tc>
        <w:tc>
          <w:tcPr>
            <w:tcW w:w="1469" w:type="dxa"/>
            <w:vAlign w:val="center"/>
          </w:tcPr>
          <w:p>
            <w:pPr>
              <w:tabs>
                <w:tab w:val="left" w:pos="1337"/>
              </w:tabs>
              <w:jc w:val="center"/>
              <w:rPr>
                <w:rFonts w:ascii="宋体" w:hAnsi="宋体"/>
                <w:sz w:val="24"/>
              </w:rPr>
            </w:pPr>
          </w:p>
        </w:tc>
        <w:tc>
          <w:tcPr>
            <w:tcW w:w="1594" w:type="dxa"/>
            <w:vAlign w:val="center"/>
          </w:tcPr>
          <w:p>
            <w:pPr>
              <w:tabs>
                <w:tab w:val="left" w:pos="1337"/>
              </w:tabs>
              <w:jc w:val="center"/>
              <w:rPr>
                <w:rFonts w:ascii="宋体" w:hAnsi="宋体"/>
                <w:sz w:val="24"/>
              </w:rPr>
            </w:pPr>
          </w:p>
        </w:tc>
        <w:tc>
          <w:tcPr>
            <w:tcW w:w="1592" w:type="dxa"/>
            <w:vAlign w:val="center"/>
          </w:tcPr>
          <w:p>
            <w:pPr>
              <w:tabs>
                <w:tab w:val="left" w:pos="1337"/>
              </w:tabs>
              <w:jc w:val="center"/>
              <w:rPr>
                <w:rFonts w:ascii="宋体" w:hAnsi="宋体"/>
                <w:sz w:val="24"/>
              </w:rPr>
            </w:pPr>
          </w:p>
        </w:tc>
        <w:tc>
          <w:tcPr>
            <w:tcW w:w="1460" w:type="dxa"/>
            <w:vAlign w:val="center"/>
          </w:tcPr>
          <w:p>
            <w:pPr>
              <w:tabs>
                <w:tab w:val="left" w:pos="1337"/>
              </w:tabs>
              <w:jc w:val="center"/>
              <w:rPr>
                <w:rFonts w:ascii="宋体" w:hAnsi="宋体"/>
                <w:sz w:val="24"/>
              </w:rPr>
            </w:pPr>
          </w:p>
        </w:tc>
        <w:tc>
          <w:tcPr>
            <w:tcW w:w="1462" w:type="dxa"/>
            <w:vAlign w:val="center"/>
          </w:tcPr>
          <w:p>
            <w:pPr>
              <w:tabs>
                <w:tab w:val="left" w:pos="1337"/>
              </w:tabs>
              <w:jc w:val="center"/>
              <w:rPr>
                <w:rFonts w:ascii="宋体" w:hAnsi="宋体"/>
                <w:sz w:val="24"/>
              </w:rPr>
            </w:pPr>
          </w:p>
        </w:tc>
        <w:tc>
          <w:tcPr>
            <w:tcW w:w="1341" w:type="dxa"/>
            <w:vAlign w:val="center"/>
          </w:tcPr>
          <w:p>
            <w:pPr>
              <w:tabs>
                <w:tab w:val="left" w:pos="1337"/>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rPr>
            </w:pPr>
          </w:p>
        </w:tc>
        <w:tc>
          <w:tcPr>
            <w:tcW w:w="1469" w:type="dxa"/>
            <w:vAlign w:val="center"/>
          </w:tcPr>
          <w:p>
            <w:pPr>
              <w:tabs>
                <w:tab w:val="left" w:pos="1337"/>
              </w:tabs>
              <w:jc w:val="center"/>
              <w:rPr>
                <w:rFonts w:ascii="宋体" w:hAnsi="宋体"/>
                <w:sz w:val="24"/>
              </w:rPr>
            </w:pPr>
          </w:p>
        </w:tc>
        <w:tc>
          <w:tcPr>
            <w:tcW w:w="1594" w:type="dxa"/>
            <w:vAlign w:val="center"/>
          </w:tcPr>
          <w:p>
            <w:pPr>
              <w:tabs>
                <w:tab w:val="left" w:pos="1337"/>
              </w:tabs>
              <w:jc w:val="center"/>
              <w:rPr>
                <w:rFonts w:ascii="宋体" w:hAnsi="宋体"/>
                <w:sz w:val="24"/>
              </w:rPr>
            </w:pPr>
          </w:p>
        </w:tc>
        <w:tc>
          <w:tcPr>
            <w:tcW w:w="1592" w:type="dxa"/>
            <w:vAlign w:val="center"/>
          </w:tcPr>
          <w:p>
            <w:pPr>
              <w:tabs>
                <w:tab w:val="left" w:pos="1337"/>
              </w:tabs>
              <w:jc w:val="center"/>
              <w:rPr>
                <w:rFonts w:ascii="宋体" w:hAnsi="宋体"/>
                <w:sz w:val="24"/>
              </w:rPr>
            </w:pPr>
          </w:p>
        </w:tc>
        <w:tc>
          <w:tcPr>
            <w:tcW w:w="1460" w:type="dxa"/>
            <w:vAlign w:val="center"/>
          </w:tcPr>
          <w:p>
            <w:pPr>
              <w:tabs>
                <w:tab w:val="left" w:pos="1337"/>
              </w:tabs>
              <w:jc w:val="center"/>
              <w:rPr>
                <w:rFonts w:ascii="宋体" w:hAnsi="宋体"/>
                <w:sz w:val="24"/>
              </w:rPr>
            </w:pPr>
          </w:p>
        </w:tc>
        <w:tc>
          <w:tcPr>
            <w:tcW w:w="1462" w:type="dxa"/>
            <w:vAlign w:val="center"/>
          </w:tcPr>
          <w:p>
            <w:pPr>
              <w:tabs>
                <w:tab w:val="left" w:pos="1337"/>
              </w:tabs>
              <w:jc w:val="center"/>
              <w:rPr>
                <w:rFonts w:ascii="宋体" w:hAnsi="宋体"/>
                <w:sz w:val="24"/>
              </w:rPr>
            </w:pPr>
          </w:p>
        </w:tc>
        <w:tc>
          <w:tcPr>
            <w:tcW w:w="1341" w:type="dxa"/>
            <w:vAlign w:val="center"/>
          </w:tcPr>
          <w:p>
            <w:pPr>
              <w:tabs>
                <w:tab w:val="left" w:pos="1337"/>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rPr>
            </w:pPr>
          </w:p>
        </w:tc>
        <w:tc>
          <w:tcPr>
            <w:tcW w:w="1469" w:type="dxa"/>
            <w:vAlign w:val="center"/>
          </w:tcPr>
          <w:p>
            <w:pPr>
              <w:tabs>
                <w:tab w:val="left" w:pos="1337"/>
              </w:tabs>
              <w:jc w:val="center"/>
              <w:rPr>
                <w:rFonts w:ascii="宋体" w:hAnsi="宋体"/>
                <w:sz w:val="24"/>
              </w:rPr>
            </w:pPr>
          </w:p>
        </w:tc>
        <w:tc>
          <w:tcPr>
            <w:tcW w:w="1594" w:type="dxa"/>
            <w:vAlign w:val="center"/>
          </w:tcPr>
          <w:p>
            <w:pPr>
              <w:tabs>
                <w:tab w:val="left" w:pos="1337"/>
              </w:tabs>
              <w:jc w:val="center"/>
              <w:rPr>
                <w:rFonts w:ascii="宋体" w:hAnsi="宋体"/>
                <w:sz w:val="24"/>
              </w:rPr>
            </w:pPr>
          </w:p>
        </w:tc>
        <w:tc>
          <w:tcPr>
            <w:tcW w:w="1592" w:type="dxa"/>
            <w:vAlign w:val="center"/>
          </w:tcPr>
          <w:p>
            <w:pPr>
              <w:tabs>
                <w:tab w:val="left" w:pos="1337"/>
              </w:tabs>
              <w:jc w:val="center"/>
              <w:rPr>
                <w:rFonts w:ascii="宋体" w:hAnsi="宋体"/>
                <w:sz w:val="24"/>
              </w:rPr>
            </w:pPr>
          </w:p>
        </w:tc>
        <w:tc>
          <w:tcPr>
            <w:tcW w:w="1460" w:type="dxa"/>
            <w:vAlign w:val="center"/>
          </w:tcPr>
          <w:p>
            <w:pPr>
              <w:tabs>
                <w:tab w:val="left" w:pos="1337"/>
              </w:tabs>
              <w:jc w:val="center"/>
              <w:rPr>
                <w:rFonts w:ascii="宋体" w:hAnsi="宋体"/>
                <w:sz w:val="24"/>
              </w:rPr>
            </w:pPr>
          </w:p>
        </w:tc>
        <w:tc>
          <w:tcPr>
            <w:tcW w:w="1462" w:type="dxa"/>
            <w:vAlign w:val="center"/>
          </w:tcPr>
          <w:p>
            <w:pPr>
              <w:tabs>
                <w:tab w:val="left" w:pos="1337"/>
              </w:tabs>
              <w:jc w:val="center"/>
              <w:rPr>
                <w:rFonts w:ascii="宋体" w:hAnsi="宋体"/>
                <w:sz w:val="24"/>
              </w:rPr>
            </w:pPr>
          </w:p>
        </w:tc>
        <w:tc>
          <w:tcPr>
            <w:tcW w:w="1341" w:type="dxa"/>
            <w:vAlign w:val="center"/>
          </w:tcPr>
          <w:p>
            <w:pPr>
              <w:tabs>
                <w:tab w:val="left" w:pos="1337"/>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rPr>
            </w:pPr>
          </w:p>
        </w:tc>
        <w:tc>
          <w:tcPr>
            <w:tcW w:w="1469" w:type="dxa"/>
            <w:vAlign w:val="center"/>
          </w:tcPr>
          <w:p>
            <w:pPr>
              <w:tabs>
                <w:tab w:val="left" w:pos="1337"/>
              </w:tabs>
              <w:jc w:val="center"/>
              <w:rPr>
                <w:rFonts w:ascii="宋体" w:hAnsi="宋体"/>
                <w:sz w:val="24"/>
              </w:rPr>
            </w:pPr>
          </w:p>
        </w:tc>
        <w:tc>
          <w:tcPr>
            <w:tcW w:w="1594" w:type="dxa"/>
            <w:vAlign w:val="center"/>
          </w:tcPr>
          <w:p>
            <w:pPr>
              <w:tabs>
                <w:tab w:val="left" w:pos="1337"/>
              </w:tabs>
              <w:jc w:val="center"/>
              <w:rPr>
                <w:rFonts w:ascii="宋体" w:hAnsi="宋体"/>
                <w:sz w:val="24"/>
              </w:rPr>
            </w:pPr>
          </w:p>
        </w:tc>
        <w:tc>
          <w:tcPr>
            <w:tcW w:w="1592" w:type="dxa"/>
            <w:vAlign w:val="center"/>
          </w:tcPr>
          <w:p>
            <w:pPr>
              <w:tabs>
                <w:tab w:val="left" w:pos="1337"/>
              </w:tabs>
              <w:jc w:val="center"/>
              <w:rPr>
                <w:rFonts w:ascii="宋体" w:hAnsi="宋体"/>
                <w:sz w:val="24"/>
              </w:rPr>
            </w:pPr>
          </w:p>
        </w:tc>
        <w:tc>
          <w:tcPr>
            <w:tcW w:w="1460" w:type="dxa"/>
            <w:vAlign w:val="center"/>
          </w:tcPr>
          <w:p>
            <w:pPr>
              <w:tabs>
                <w:tab w:val="left" w:pos="1337"/>
              </w:tabs>
              <w:jc w:val="center"/>
              <w:rPr>
                <w:rFonts w:ascii="宋体" w:hAnsi="宋体"/>
                <w:sz w:val="24"/>
              </w:rPr>
            </w:pPr>
          </w:p>
        </w:tc>
        <w:tc>
          <w:tcPr>
            <w:tcW w:w="1462" w:type="dxa"/>
            <w:vAlign w:val="center"/>
          </w:tcPr>
          <w:p>
            <w:pPr>
              <w:tabs>
                <w:tab w:val="left" w:pos="1337"/>
              </w:tabs>
              <w:jc w:val="center"/>
              <w:rPr>
                <w:rFonts w:ascii="宋体" w:hAnsi="宋体"/>
                <w:sz w:val="24"/>
              </w:rPr>
            </w:pPr>
          </w:p>
        </w:tc>
        <w:tc>
          <w:tcPr>
            <w:tcW w:w="1341" w:type="dxa"/>
            <w:vAlign w:val="center"/>
          </w:tcPr>
          <w:p>
            <w:pPr>
              <w:tabs>
                <w:tab w:val="left" w:pos="1337"/>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rPr>
            </w:pPr>
          </w:p>
        </w:tc>
        <w:tc>
          <w:tcPr>
            <w:tcW w:w="1469" w:type="dxa"/>
            <w:vAlign w:val="center"/>
          </w:tcPr>
          <w:p>
            <w:pPr>
              <w:tabs>
                <w:tab w:val="left" w:pos="1337"/>
              </w:tabs>
              <w:jc w:val="center"/>
              <w:rPr>
                <w:rFonts w:ascii="宋体" w:hAnsi="宋体"/>
                <w:sz w:val="24"/>
              </w:rPr>
            </w:pPr>
          </w:p>
        </w:tc>
        <w:tc>
          <w:tcPr>
            <w:tcW w:w="1594" w:type="dxa"/>
            <w:vAlign w:val="center"/>
          </w:tcPr>
          <w:p>
            <w:pPr>
              <w:tabs>
                <w:tab w:val="left" w:pos="1337"/>
              </w:tabs>
              <w:jc w:val="center"/>
              <w:rPr>
                <w:rFonts w:ascii="宋体" w:hAnsi="宋体"/>
                <w:sz w:val="24"/>
              </w:rPr>
            </w:pPr>
          </w:p>
        </w:tc>
        <w:tc>
          <w:tcPr>
            <w:tcW w:w="1592" w:type="dxa"/>
            <w:vAlign w:val="center"/>
          </w:tcPr>
          <w:p>
            <w:pPr>
              <w:tabs>
                <w:tab w:val="left" w:pos="1337"/>
              </w:tabs>
              <w:jc w:val="center"/>
              <w:rPr>
                <w:rFonts w:ascii="宋体" w:hAnsi="宋体"/>
                <w:sz w:val="24"/>
              </w:rPr>
            </w:pPr>
          </w:p>
        </w:tc>
        <w:tc>
          <w:tcPr>
            <w:tcW w:w="1460" w:type="dxa"/>
            <w:vAlign w:val="center"/>
          </w:tcPr>
          <w:p>
            <w:pPr>
              <w:tabs>
                <w:tab w:val="left" w:pos="1337"/>
              </w:tabs>
              <w:jc w:val="center"/>
              <w:rPr>
                <w:rFonts w:ascii="宋体" w:hAnsi="宋体"/>
                <w:sz w:val="24"/>
              </w:rPr>
            </w:pPr>
          </w:p>
        </w:tc>
        <w:tc>
          <w:tcPr>
            <w:tcW w:w="1462" w:type="dxa"/>
            <w:vAlign w:val="center"/>
          </w:tcPr>
          <w:p>
            <w:pPr>
              <w:tabs>
                <w:tab w:val="left" w:pos="1337"/>
              </w:tabs>
              <w:jc w:val="center"/>
              <w:rPr>
                <w:rFonts w:ascii="宋体" w:hAnsi="宋体"/>
                <w:sz w:val="24"/>
              </w:rPr>
            </w:pPr>
          </w:p>
        </w:tc>
        <w:tc>
          <w:tcPr>
            <w:tcW w:w="1341" w:type="dxa"/>
            <w:vAlign w:val="center"/>
          </w:tcPr>
          <w:p>
            <w:pPr>
              <w:tabs>
                <w:tab w:val="left" w:pos="1337"/>
              </w:tabs>
              <w:jc w:val="center"/>
              <w:rPr>
                <w:rFonts w:ascii="宋体" w:hAnsi="宋体"/>
                <w:sz w:val="24"/>
              </w:rPr>
            </w:pPr>
          </w:p>
        </w:tc>
      </w:tr>
    </w:tbl>
    <w:p>
      <w:pPr>
        <w:spacing w:line="360" w:lineRule="exact"/>
        <w:ind w:firstLine="480" w:firstLineChars="200"/>
        <w:rPr>
          <w:rFonts w:ascii="宋体"/>
          <w:sz w:val="24"/>
        </w:rPr>
      </w:pPr>
      <w:r>
        <w:rPr>
          <w:rFonts w:hint="eastAsia" w:ascii="宋体" w:hAnsi="宋体"/>
          <w:sz w:val="24"/>
        </w:rPr>
        <w:t>说明：①请填写采购文件已列明并要求响应人响应的如付款方式、报价有效期、服务期、培训方式、后续服务等商务条款，并逐一作出承诺。</w:t>
      </w:r>
    </w:p>
    <w:p>
      <w:pPr>
        <w:spacing w:line="360" w:lineRule="exact"/>
        <w:ind w:firstLine="480" w:firstLineChars="200"/>
        <w:rPr>
          <w:rFonts w:ascii="宋体" w:hAnsi="宋体"/>
          <w:sz w:val="24"/>
          <w:u w:val="single"/>
        </w:rPr>
      </w:pPr>
      <w:r>
        <w:rPr>
          <w:rFonts w:hint="eastAsia" w:ascii="宋体" w:hAnsi="宋体"/>
          <w:sz w:val="24"/>
        </w:rPr>
        <w:t>②请响应人在填写本表时，对应采购文件要求如实填写</w:t>
      </w:r>
      <w:r>
        <w:rPr>
          <w:rFonts w:ascii="宋体"/>
          <w:sz w:val="24"/>
        </w:rPr>
        <w:t>,</w:t>
      </w:r>
      <w:r>
        <w:rPr>
          <w:rFonts w:hint="eastAsia" w:ascii="宋体"/>
          <w:sz w:val="24"/>
        </w:rPr>
        <w:t>并必须用具体数字或文字来表述，不能复制采购文件要求或仅填写“（不）偏离”或虚假应标。</w:t>
      </w:r>
      <w:r>
        <w:rPr>
          <w:rFonts w:hint="eastAsia" w:ascii="宋体" w:hAnsi="宋体"/>
          <w:sz w:val="24"/>
        </w:rPr>
        <w:t>若响应人自行承诺的售后服务承诺与此表不一致的，则磋商小组有权作出不利于响应人的认定。</w:t>
      </w:r>
    </w:p>
    <w:p>
      <w:pPr>
        <w:spacing w:line="360" w:lineRule="exact"/>
        <w:ind w:right="187"/>
        <w:rPr>
          <w:rFonts w:ascii="宋体" w:hAnsi="宋体"/>
          <w:bCs/>
          <w:sz w:val="24"/>
        </w:rPr>
      </w:pPr>
    </w:p>
    <w:p>
      <w:pPr>
        <w:spacing w:line="360" w:lineRule="exact"/>
        <w:ind w:right="187"/>
        <w:rPr>
          <w:rFonts w:ascii="宋体" w:hAnsi="宋体"/>
          <w:bCs/>
          <w:sz w:val="24"/>
        </w:rPr>
      </w:pPr>
    </w:p>
    <w:p>
      <w:pPr>
        <w:spacing w:line="360" w:lineRule="exact"/>
        <w:ind w:right="187"/>
        <w:rPr>
          <w:rFonts w:ascii="宋体" w:hAnsi="宋体"/>
          <w:bCs/>
          <w:sz w:val="24"/>
          <w:u w:val="single"/>
        </w:rPr>
      </w:pPr>
      <w:r>
        <w:rPr>
          <w:rFonts w:hint="eastAsia" w:ascii="宋体" w:hAnsi="宋体"/>
          <w:sz w:val="24"/>
        </w:rPr>
        <w:t>响应人单位全称</w:t>
      </w:r>
      <w:r>
        <w:rPr>
          <w:rFonts w:hint="eastAsia" w:ascii="宋体" w:hAnsi="宋体"/>
          <w:bCs/>
          <w:sz w:val="24"/>
        </w:rPr>
        <w:t>（公章）：</w:t>
      </w:r>
    </w:p>
    <w:p>
      <w:pPr>
        <w:spacing w:line="360" w:lineRule="exact"/>
        <w:ind w:right="187"/>
        <w:rPr>
          <w:rFonts w:ascii="宋体" w:hAnsi="宋体"/>
          <w:bCs/>
          <w:sz w:val="24"/>
          <w:u w:val="single"/>
        </w:rPr>
      </w:pPr>
    </w:p>
    <w:p>
      <w:pPr>
        <w:spacing w:line="300" w:lineRule="exact"/>
        <w:ind w:right="187"/>
        <w:rPr>
          <w:rFonts w:ascii="宋体" w:hAnsi="宋体"/>
          <w:b/>
          <w:bCs/>
          <w:sz w:val="24"/>
        </w:rPr>
      </w:pPr>
      <w:r>
        <w:rPr>
          <w:rFonts w:hint="eastAsia" w:ascii="宋体" w:hAnsi="宋体"/>
          <w:bCs/>
          <w:sz w:val="24"/>
        </w:rPr>
        <w:t>法定代表人或授权代理人</w:t>
      </w:r>
      <w:r>
        <w:rPr>
          <w:rFonts w:hint="eastAsia" w:ascii="宋体" w:hAnsi="宋体"/>
          <w:sz w:val="24"/>
        </w:rPr>
        <w:t>签字或盖章</w:t>
      </w:r>
      <w:r>
        <w:rPr>
          <w:rFonts w:hint="eastAsia" w:ascii="宋体" w:hAnsi="宋体"/>
          <w:bCs/>
          <w:sz w:val="24"/>
        </w:rPr>
        <w:t>：</w:t>
      </w:r>
    </w:p>
    <w:p>
      <w:pPr>
        <w:pStyle w:val="32"/>
        <w:spacing w:line="240" w:lineRule="auto"/>
        <w:ind w:left="0" w:leftChars="0" w:firstLine="0" w:firstLineChars="0"/>
        <w:jc w:val="right"/>
        <w:rPr>
          <w:rFonts w:ascii="宋体" w:hAnsi="宋体"/>
          <w:b/>
        </w:rPr>
      </w:pPr>
      <w:r>
        <w:rPr>
          <w:rFonts w:hint="eastAsia" w:ascii="宋体" w:hAnsi="宋体"/>
        </w:rPr>
        <w:t>年月日</w:t>
      </w:r>
    </w:p>
    <w:p>
      <w:pPr>
        <w:pStyle w:val="32"/>
        <w:spacing w:line="240" w:lineRule="auto"/>
        <w:ind w:left="0" w:leftChars="0" w:firstLine="0" w:firstLineChars="0"/>
        <w:rPr>
          <w:rFonts w:ascii="宋体" w:hAnsi="宋体"/>
          <w:b/>
          <w:bCs/>
          <w:sz w:val="24"/>
          <w:szCs w:val="21"/>
        </w:rPr>
      </w:pPr>
      <w:r>
        <w:rPr>
          <w:rFonts w:ascii="宋体" w:hAnsi="宋体"/>
          <w:sz w:val="24"/>
        </w:rPr>
        <w:br w:type="page"/>
      </w:r>
      <w:bookmarkStart w:id="196" w:name="_Toc36192114"/>
      <w:bookmarkStart w:id="197" w:name="_Toc60585230"/>
      <w:r>
        <w:rPr>
          <w:rFonts w:hint="eastAsia" w:ascii="宋体" w:hAnsi="宋体"/>
          <w:b/>
          <w:bCs/>
          <w:sz w:val="24"/>
          <w:szCs w:val="21"/>
        </w:rPr>
        <w:t>格式五：项目拟投入人员情况一览表</w:t>
      </w:r>
      <w:bookmarkEnd w:id="196"/>
      <w:bookmarkEnd w:id="197"/>
    </w:p>
    <w:p>
      <w:pPr>
        <w:spacing w:line="360" w:lineRule="auto"/>
        <w:jc w:val="center"/>
        <w:rPr>
          <w:rFonts w:ascii="宋体" w:hAnsi="宋体"/>
          <w:b/>
          <w:sz w:val="24"/>
        </w:rPr>
      </w:pPr>
    </w:p>
    <w:p>
      <w:pPr>
        <w:spacing w:line="360" w:lineRule="auto"/>
        <w:jc w:val="center"/>
        <w:rPr>
          <w:rFonts w:ascii="宋体" w:hAnsi="宋体"/>
          <w:b/>
          <w:kern w:val="0"/>
          <w:sz w:val="32"/>
          <w:szCs w:val="20"/>
        </w:rPr>
      </w:pPr>
      <w:r>
        <w:rPr>
          <w:rFonts w:hint="eastAsia" w:ascii="宋体" w:hAnsi="宋体"/>
          <w:b/>
          <w:kern w:val="0"/>
          <w:sz w:val="32"/>
          <w:szCs w:val="20"/>
        </w:rPr>
        <w:t>项目拟投入人员情况一览表</w:t>
      </w:r>
    </w:p>
    <w:p>
      <w:pPr>
        <w:spacing w:line="360" w:lineRule="auto"/>
        <w:jc w:val="center"/>
        <w:rPr>
          <w:rFonts w:ascii="宋体" w:hAnsi="宋体" w:cs="宋体"/>
          <w:sz w:val="24"/>
        </w:rPr>
      </w:pPr>
    </w:p>
    <w:tbl>
      <w:tblPr>
        <w:tblStyle w:val="75"/>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448"/>
        <w:gridCol w:w="1030"/>
        <w:gridCol w:w="786"/>
        <w:gridCol w:w="816"/>
        <w:gridCol w:w="1086"/>
        <w:gridCol w:w="1113"/>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序号</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本项目中的分工或专业</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姓名</w:t>
            </w:r>
          </w:p>
        </w:tc>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年龄</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学历</w:t>
            </w:r>
          </w:p>
        </w:tc>
        <w:tc>
          <w:tcPr>
            <w:tcW w:w="10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所学专业</w:t>
            </w:r>
          </w:p>
        </w:tc>
        <w:tc>
          <w:tcPr>
            <w:tcW w:w="11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职称</w:t>
            </w:r>
          </w:p>
        </w:tc>
        <w:tc>
          <w:tcPr>
            <w:tcW w:w="25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执业资格证书情况</w:t>
            </w:r>
          </w:p>
          <w:p>
            <w:pPr>
              <w:spacing w:line="360" w:lineRule="auto"/>
              <w:jc w:val="center"/>
              <w:rPr>
                <w:rFonts w:ascii="宋体" w:hAnsi="宋体" w:cs="宋体"/>
                <w:sz w:val="24"/>
              </w:rPr>
            </w:pPr>
            <w:r>
              <w:rPr>
                <w:rFonts w:hint="eastAsia" w:ascii="宋体" w:hAnsi="宋体" w:cs="宋体"/>
                <w:sz w:val="24"/>
              </w:rPr>
              <w:t>（多个证书的，同时列出）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r>
              <w:rPr>
                <w:rFonts w:hint="eastAsia" w:ascii="宋体" w:hAnsi="宋体" w:cs="宋体"/>
                <w:sz w:val="24"/>
              </w:rPr>
              <w:t>项目负责人</w:t>
            </w: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r>
              <w:rPr>
                <w:rFonts w:hint="eastAsia" w:ascii="宋体" w:hAnsi="宋体" w:cs="宋体"/>
                <w:sz w:val="24"/>
              </w:rPr>
              <w:t>技术负责人</w:t>
            </w: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r>
    </w:tbl>
    <w:p>
      <w:pPr>
        <w:spacing w:line="360" w:lineRule="auto"/>
        <w:jc w:val="left"/>
        <w:rPr>
          <w:rFonts w:ascii="宋体" w:hAnsi="宋体" w:cs="宋体"/>
          <w:b/>
          <w:sz w:val="24"/>
        </w:rPr>
      </w:pPr>
      <w:r>
        <w:rPr>
          <w:rFonts w:hint="eastAsia" w:ascii="宋体" w:hAnsi="宋体" w:cs="宋体"/>
          <w:b/>
          <w:sz w:val="24"/>
        </w:rPr>
        <w:t>说明：本表后附每个项目成员的身份证、职称证（如有）、执业资格证（如有）等。</w:t>
      </w:r>
    </w:p>
    <w:p>
      <w:pPr>
        <w:spacing w:line="360" w:lineRule="auto"/>
        <w:ind w:right="187"/>
        <w:rPr>
          <w:rFonts w:ascii="宋体" w:hAnsi="宋体"/>
          <w:sz w:val="24"/>
        </w:rPr>
      </w:pPr>
    </w:p>
    <w:p>
      <w:pPr>
        <w:spacing w:line="360" w:lineRule="auto"/>
        <w:ind w:right="187"/>
        <w:rPr>
          <w:rFonts w:ascii="宋体" w:hAnsi="宋体"/>
          <w:bCs/>
          <w:sz w:val="24"/>
          <w:u w:val="single"/>
        </w:rPr>
      </w:pPr>
      <w:r>
        <w:rPr>
          <w:rFonts w:hint="eastAsia" w:ascii="宋体" w:hAnsi="宋体"/>
          <w:sz w:val="24"/>
        </w:rPr>
        <w:t>响应人名称</w:t>
      </w:r>
      <w:r>
        <w:rPr>
          <w:rFonts w:hint="eastAsia" w:ascii="宋体" w:hAnsi="宋体"/>
          <w:bCs/>
          <w:sz w:val="24"/>
        </w:rPr>
        <w:t>（公章）：</w:t>
      </w:r>
    </w:p>
    <w:p>
      <w:pPr>
        <w:spacing w:line="360" w:lineRule="auto"/>
        <w:ind w:right="187"/>
        <w:rPr>
          <w:rFonts w:ascii="宋体" w:hAnsi="宋体"/>
          <w:bCs/>
          <w:sz w:val="24"/>
          <w:u w:val="single"/>
        </w:rPr>
      </w:pPr>
    </w:p>
    <w:p>
      <w:pPr>
        <w:spacing w:line="360" w:lineRule="auto"/>
        <w:ind w:right="187"/>
        <w:rPr>
          <w:rFonts w:ascii="宋体" w:hAnsi="宋体"/>
          <w:b/>
          <w:bCs/>
          <w:sz w:val="24"/>
        </w:rPr>
      </w:pPr>
      <w:r>
        <w:rPr>
          <w:rFonts w:hint="eastAsia" w:ascii="宋体" w:hAnsi="宋体"/>
          <w:bCs/>
          <w:sz w:val="24"/>
        </w:rPr>
        <w:t>法定代表人或授权代理人签字</w:t>
      </w:r>
      <w:r>
        <w:rPr>
          <w:rFonts w:hint="eastAsia" w:ascii="宋体" w:hAnsi="宋体" w:cs="宋体"/>
          <w:sz w:val="24"/>
        </w:rPr>
        <w:t>或盖章</w:t>
      </w:r>
      <w:r>
        <w:rPr>
          <w:rFonts w:hint="eastAsia" w:ascii="宋体" w:hAnsi="宋体"/>
          <w:bCs/>
          <w:sz w:val="24"/>
        </w:rPr>
        <w:t>：</w:t>
      </w:r>
    </w:p>
    <w:p>
      <w:pPr>
        <w:pStyle w:val="32"/>
        <w:spacing w:line="240" w:lineRule="auto"/>
        <w:ind w:left="0" w:leftChars="0" w:firstLine="0" w:firstLineChars="0"/>
        <w:jc w:val="right"/>
        <w:rPr>
          <w:rFonts w:ascii="宋体" w:hAnsi="宋体"/>
          <w:b/>
        </w:rPr>
      </w:pPr>
      <w:r>
        <w:rPr>
          <w:rFonts w:hint="eastAsia" w:ascii="宋体" w:hAnsi="宋体"/>
          <w:bCs/>
        </w:rPr>
        <w:t>年月日</w:t>
      </w:r>
    </w:p>
    <w:p>
      <w:pPr>
        <w:spacing w:line="300" w:lineRule="exact"/>
        <w:ind w:right="187"/>
        <w:rPr>
          <w:rFonts w:ascii="宋体" w:hAnsi="宋体"/>
          <w:b/>
          <w:bCs/>
          <w:sz w:val="24"/>
          <w:szCs w:val="21"/>
        </w:rPr>
        <w:sectPr>
          <w:pgSz w:w="11907" w:h="16840"/>
          <w:pgMar w:top="1418" w:right="1418" w:bottom="1418" w:left="1418" w:header="851" w:footer="851" w:gutter="0"/>
          <w:cols w:space="720" w:num="1"/>
          <w:docGrid w:linePitch="290" w:charSpace="-3931"/>
        </w:sectPr>
      </w:pPr>
    </w:p>
    <w:p>
      <w:pPr>
        <w:pStyle w:val="5"/>
        <w:spacing w:before="120" w:after="120" w:line="360" w:lineRule="exact"/>
        <w:rPr>
          <w:rFonts w:ascii="宋体" w:hAnsi="宋体" w:eastAsia="宋体"/>
          <w:sz w:val="24"/>
          <w:szCs w:val="21"/>
        </w:rPr>
      </w:pPr>
      <w:bookmarkStart w:id="198" w:name="_Toc19105"/>
      <w:bookmarkStart w:id="199" w:name="_Toc19284"/>
      <w:bookmarkStart w:id="200" w:name="_Toc17838"/>
      <w:bookmarkStart w:id="201" w:name="_Toc60585231"/>
      <w:r>
        <w:rPr>
          <w:rFonts w:hint="eastAsia" w:ascii="宋体" w:hAnsi="宋体" w:eastAsia="宋体"/>
          <w:sz w:val="24"/>
          <w:szCs w:val="21"/>
        </w:rPr>
        <w:t>格式六： 近年类似业绩一览表</w:t>
      </w:r>
      <w:bookmarkEnd w:id="198"/>
      <w:bookmarkEnd w:id="199"/>
      <w:bookmarkEnd w:id="200"/>
      <w:bookmarkEnd w:id="201"/>
    </w:p>
    <w:p>
      <w:pPr>
        <w:spacing w:line="460" w:lineRule="exact"/>
        <w:jc w:val="center"/>
        <w:rPr>
          <w:rFonts w:ascii="宋体" w:hAnsi="宋体"/>
          <w:b/>
          <w:sz w:val="32"/>
          <w:szCs w:val="32"/>
        </w:rPr>
      </w:pPr>
      <w:r>
        <w:rPr>
          <w:rFonts w:hint="eastAsia" w:ascii="宋体" w:hAnsi="宋体"/>
          <w:b/>
          <w:sz w:val="32"/>
          <w:szCs w:val="32"/>
        </w:rPr>
        <w:t>近年类似业绩一览表</w:t>
      </w:r>
    </w:p>
    <w:p>
      <w:pPr>
        <w:pStyle w:val="32"/>
        <w:spacing w:line="360" w:lineRule="exact"/>
        <w:ind w:left="0" w:leftChars="0" w:firstLine="0" w:firstLineChars="0"/>
        <w:rPr>
          <w:rFonts w:ascii="宋体" w:hAnsi="宋体"/>
          <w:bCs/>
          <w:sz w:val="24"/>
        </w:rPr>
      </w:pPr>
      <w:r>
        <w:rPr>
          <w:rFonts w:hint="eastAsia" w:ascii="宋体" w:hAnsi="宋体"/>
          <w:bCs/>
          <w:sz w:val="24"/>
        </w:rPr>
        <w:t>项目编号</w:t>
      </w:r>
      <w:r>
        <w:rPr>
          <w:rFonts w:hint="eastAsia" w:ascii="宋体" w:hAnsi="宋体"/>
          <w:b/>
          <w:bCs/>
          <w:sz w:val="24"/>
        </w:rPr>
        <w:t>：</w:t>
      </w:r>
      <w:r>
        <w:rPr>
          <w:rFonts w:hint="eastAsia" w:ascii="宋体" w:hAnsi="宋体"/>
          <w:sz w:val="24"/>
        </w:rPr>
        <w:t>HYHAQD20___-_____</w:t>
      </w:r>
    </w:p>
    <w:p>
      <w:pPr>
        <w:pStyle w:val="32"/>
        <w:spacing w:line="240" w:lineRule="auto"/>
        <w:ind w:left="0" w:leftChars="0" w:firstLine="0" w:firstLineChars="0"/>
        <w:rPr>
          <w:rFonts w:ascii="宋体" w:hAnsi="宋体"/>
          <w:bCs/>
          <w:sz w:val="24"/>
        </w:rPr>
      </w:pPr>
      <w:r>
        <w:rPr>
          <w:rFonts w:hint="eastAsia" w:ascii="宋体" w:hAnsi="宋体"/>
          <w:bCs/>
          <w:sz w:val="24"/>
        </w:rPr>
        <w:t>项目名称</w:t>
      </w:r>
      <w:r>
        <w:rPr>
          <w:rFonts w:hint="eastAsia" w:ascii="宋体" w:hAnsi="宋体"/>
          <w:b/>
          <w:bCs/>
          <w:sz w:val="24"/>
        </w:rPr>
        <w:t>：</w:t>
      </w:r>
      <w:r>
        <w:rPr>
          <w:rFonts w:hint="eastAsia" w:ascii="宋体" w:hAnsi="宋体"/>
          <w:bCs/>
          <w:sz w:val="24"/>
        </w:rPr>
        <w:t xml:space="preserve">____________________ </w:t>
      </w:r>
    </w:p>
    <w:tbl>
      <w:tblPr>
        <w:tblStyle w:val="75"/>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587"/>
        <w:gridCol w:w="1495"/>
        <w:gridCol w:w="1101"/>
        <w:gridCol w:w="1046"/>
        <w:gridCol w:w="1137"/>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80" w:type="dxa"/>
            <w:vAlign w:val="center"/>
          </w:tcPr>
          <w:p>
            <w:pPr>
              <w:tabs>
                <w:tab w:val="left" w:pos="720"/>
                <w:tab w:val="left" w:pos="1440"/>
                <w:tab w:val="left" w:pos="1620"/>
              </w:tabs>
              <w:ind w:left="-97" w:leftChars="-46" w:right="-68"/>
              <w:jc w:val="center"/>
              <w:rPr>
                <w:rFonts w:ascii="宋体" w:hAnsi="宋体"/>
                <w:bCs/>
                <w:sz w:val="24"/>
              </w:rPr>
            </w:pPr>
            <w:r>
              <w:rPr>
                <w:rFonts w:hint="eastAsia" w:ascii="宋体" w:hAnsi="宋体"/>
                <w:bCs/>
                <w:sz w:val="24"/>
              </w:rPr>
              <w:t>项目名称</w:t>
            </w:r>
          </w:p>
        </w:tc>
        <w:tc>
          <w:tcPr>
            <w:tcW w:w="1587" w:type="dxa"/>
            <w:vAlign w:val="center"/>
          </w:tcPr>
          <w:p>
            <w:pPr>
              <w:tabs>
                <w:tab w:val="left" w:pos="720"/>
                <w:tab w:val="left" w:pos="1440"/>
                <w:tab w:val="left" w:pos="1620"/>
              </w:tabs>
              <w:ind w:left="-97" w:leftChars="-46" w:right="-68"/>
              <w:jc w:val="center"/>
              <w:rPr>
                <w:rFonts w:ascii="宋体" w:hAnsi="宋体"/>
                <w:bCs/>
                <w:sz w:val="24"/>
              </w:rPr>
            </w:pPr>
            <w:r>
              <w:rPr>
                <w:rFonts w:hint="eastAsia" w:ascii="宋体" w:hAnsi="宋体"/>
                <w:bCs/>
                <w:sz w:val="24"/>
              </w:rPr>
              <w:t>项目单位</w:t>
            </w:r>
          </w:p>
        </w:tc>
        <w:tc>
          <w:tcPr>
            <w:tcW w:w="1495" w:type="dxa"/>
            <w:vAlign w:val="center"/>
          </w:tcPr>
          <w:p>
            <w:pPr>
              <w:tabs>
                <w:tab w:val="left" w:pos="720"/>
                <w:tab w:val="left" w:pos="1440"/>
                <w:tab w:val="left" w:pos="1620"/>
              </w:tabs>
              <w:ind w:right="-68"/>
              <w:jc w:val="center"/>
              <w:rPr>
                <w:rFonts w:ascii="宋体" w:hAnsi="宋体"/>
                <w:bCs/>
                <w:sz w:val="24"/>
              </w:rPr>
            </w:pPr>
            <w:r>
              <w:rPr>
                <w:rFonts w:hint="eastAsia" w:ascii="宋体" w:hAnsi="宋体"/>
                <w:bCs/>
                <w:sz w:val="24"/>
              </w:rPr>
              <w:t>合同内容</w:t>
            </w:r>
          </w:p>
        </w:tc>
        <w:tc>
          <w:tcPr>
            <w:tcW w:w="1101" w:type="dxa"/>
            <w:vAlign w:val="center"/>
          </w:tcPr>
          <w:p>
            <w:pPr>
              <w:tabs>
                <w:tab w:val="left" w:pos="720"/>
                <w:tab w:val="left" w:pos="1440"/>
                <w:tab w:val="left" w:pos="1620"/>
              </w:tabs>
              <w:ind w:left="-97" w:leftChars="-46" w:right="-68"/>
              <w:jc w:val="center"/>
              <w:rPr>
                <w:rFonts w:ascii="宋体" w:hAnsi="宋体"/>
                <w:bCs/>
                <w:sz w:val="24"/>
              </w:rPr>
            </w:pPr>
            <w:r>
              <w:rPr>
                <w:rFonts w:hint="eastAsia" w:ascii="宋体" w:hAnsi="宋体"/>
                <w:bCs/>
                <w:sz w:val="24"/>
              </w:rPr>
              <w:t>合同额</w:t>
            </w:r>
          </w:p>
        </w:tc>
        <w:tc>
          <w:tcPr>
            <w:tcW w:w="1046" w:type="dxa"/>
            <w:vAlign w:val="center"/>
          </w:tcPr>
          <w:p>
            <w:pPr>
              <w:tabs>
                <w:tab w:val="left" w:pos="720"/>
                <w:tab w:val="left" w:pos="1440"/>
                <w:tab w:val="left" w:pos="1620"/>
              </w:tabs>
              <w:ind w:left="-97" w:leftChars="-46" w:right="-68"/>
              <w:jc w:val="center"/>
              <w:rPr>
                <w:rFonts w:ascii="宋体" w:hAnsi="宋体"/>
                <w:bCs/>
                <w:sz w:val="24"/>
              </w:rPr>
            </w:pPr>
            <w:r>
              <w:rPr>
                <w:rFonts w:hint="eastAsia" w:ascii="宋体" w:hAnsi="宋体"/>
                <w:bCs/>
                <w:sz w:val="24"/>
              </w:rPr>
              <w:t>完工时间</w:t>
            </w:r>
          </w:p>
        </w:tc>
        <w:tc>
          <w:tcPr>
            <w:tcW w:w="1137" w:type="dxa"/>
            <w:vAlign w:val="center"/>
          </w:tcPr>
          <w:p>
            <w:pPr>
              <w:tabs>
                <w:tab w:val="left" w:pos="720"/>
                <w:tab w:val="left" w:pos="1440"/>
                <w:tab w:val="left" w:pos="1620"/>
              </w:tabs>
              <w:ind w:left="-97" w:leftChars="-46" w:right="-68"/>
              <w:jc w:val="center"/>
              <w:rPr>
                <w:rFonts w:ascii="宋体" w:hAnsi="宋体"/>
                <w:bCs/>
                <w:sz w:val="24"/>
              </w:rPr>
            </w:pPr>
            <w:r>
              <w:rPr>
                <w:rFonts w:hint="eastAsia" w:ascii="宋体" w:hAnsi="宋体"/>
                <w:bCs/>
                <w:sz w:val="24"/>
              </w:rPr>
              <w:t>项目单位联系人</w:t>
            </w:r>
          </w:p>
        </w:tc>
        <w:tc>
          <w:tcPr>
            <w:tcW w:w="1241" w:type="dxa"/>
            <w:vAlign w:val="center"/>
          </w:tcPr>
          <w:p>
            <w:pPr>
              <w:tabs>
                <w:tab w:val="left" w:pos="720"/>
                <w:tab w:val="left" w:pos="1440"/>
                <w:tab w:val="left" w:pos="1620"/>
              </w:tabs>
              <w:ind w:left="-97" w:leftChars="-46" w:right="-68"/>
              <w:jc w:val="center"/>
              <w:rPr>
                <w:rFonts w:ascii="宋体" w:hAnsi="宋体"/>
                <w:bCs/>
                <w:sz w:val="24"/>
              </w:rPr>
            </w:pPr>
            <w:r>
              <w:rPr>
                <w:rFonts w:hint="eastAsia" w:ascii="宋体" w:hAnsi="宋体"/>
                <w:bCs/>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bl>
    <w:p>
      <w:pPr>
        <w:pStyle w:val="32"/>
        <w:spacing w:line="400" w:lineRule="exact"/>
        <w:ind w:left="0" w:leftChars="0" w:firstLine="0" w:firstLineChars="0"/>
        <w:rPr>
          <w:rFonts w:ascii="宋体" w:hAnsi="宋体"/>
          <w:b/>
          <w:bCs/>
          <w:sz w:val="21"/>
        </w:rPr>
      </w:pPr>
      <w:r>
        <w:rPr>
          <w:rFonts w:hint="eastAsia" w:ascii="宋体" w:hAnsi="宋体"/>
          <w:b/>
          <w:bCs/>
          <w:sz w:val="21"/>
        </w:rPr>
        <w:t>请在此表后附合同或其他相关证明材料。具体要求详见评分办法。具体年份详见响应人须知前附表。</w:t>
      </w:r>
    </w:p>
    <w:p>
      <w:pPr>
        <w:spacing w:line="360" w:lineRule="exact"/>
        <w:ind w:right="187"/>
        <w:rPr>
          <w:rFonts w:ascii="宋体" w:hAnsi="宋体"/>
          <w:bCs/>
          <w:sz w:val="24"/>
        </w:rPr>
      </w:pPr>
    </w:p>
    <w:p>
      <w:pPr>
        <w:spacing w:line="360" w:lineRule="exact"/>
        <w:ind w:right="187"/>
        <w:rPr>
          <w:rFonts w:ascii="宋体" w:hAnsi="宋体"/>
          <w:bCs/>
          <w:sz w:val="24"/>
          <w:u w:val="single"/>
        </w:rPr>
      </w:pPr>
      <w:r>
        <w:rPr>
          <w:rFonts w:hint="eastAsia" w:ascii="宋体" w:hAnsi="宋体"/>
          <w:sz w:val="24"/>
        </w:rPr>
        <w:t>响应人单位全称</w:t>
      </w:r>
      <w:r>
        <w:rPr>
          <w:rFonts w:hint="eastAsia" w:ascii="宋体" w:hAnsi="宋体"/>
          <w:bCs/>
          <w:sz w:val="24"/>
        </w:rPr>
        <w:t>（公章）：</w:t>
      </w:r>
    </w:p>
    <w:p>
      <w:pPr>
        <w:spacing w:line="360" w:lineRule="exact"/>
        <w:ind w:right="187"/>
        <w:rPr>
          <w:rFonts w:ascii="宋体" w:hAnsi="宋体"/>
          <w:bCs/>
          <w:sz w:val="24"/>
          <w:u w:val="single"/>
        </w:rPr>
      </w:pPr>
    </w:p>
    <w:p>
      <w:pPr>
        <w:spacing w:line="300" w:lineRule="exact"/>
        <w:ind w:right="187"/>
        <w:rPr>
          <w:rFonts w:ascii="宋体" w:hAnsi="宋体"/>
          <w:b/>
          <w:bCs/>
          <w:sz w:val="24"/>
        </w:rPr>
      </w:pPr>
      <w:r>
        <w:rPr>
          <w:rFonts w:hint="eastAsia" w:ascii="宋体" w:hAnsi="宋体"/>
          <w:bCs/>
          <w:sz w:val="24"/>
        </w:rPr>
        <w:t>法定代表人或授权代理人</w:t>
      </w:r>
      <w:r>
        <w:rPr>
          <w:rFonts w:hint="eastAsia" w:ascii="宋体" w:hAnsi="宋体"/>
          <w:sz w:val="24"/>
        </w:rPr>
        <w:t>签字或盖章</w:t>
      </w:r>
      <w:r>
        <w:rPr>
          <w:rFonts w:hint="eastAsia" w:ascii="宋体" w:hAnsi="宋体"/>
          <w:bCs/>
          <w:sz w:val="24"/>
        </w:rPr>
        <w:t>：</w:t>
      </w:r>
    </w:p>
    <w:p>
      <w:pPr>
        <w:pStyle w:val="32"/>
        <w:spacing w:line="240" w:lineRule="auto"/>
        <w:ind w:left="0" w:leftChars="0" w:firstLine="0" w:firstLineChars="0"/>
        <w:jc w:val="right"/>
        <w:rPr>
          <w:rFonts w:ascii="宋体" w:hAnsi="宋体"/>
          <w:bCs/>
        </w:rPr>
        <w:sectPr>
          <w:pgSz w:w="11907" w:h="16840"/>
          <w:pgMar w:top="1418" w:right="1418" w:bottom="1418" w:left="1418" w:header="851" w:footer="851" w:gutter="0"/>
          <w:cols w:space="720" w:num="1"/>
          <w:docGrid w:linePitch="290" w:charSpace="-3931"/>
        </w:sectPr>
      </w:pPr>
      <w:r>
        <w:rPr>
          <w:rFonts w:hint="eastAsia" w:ascii="宋体" w:hAnsi="宋体"/>
          <w:bCs/>
        </w:rPr>
        <w:t>年月日</w:t>
      </w:r>
    </w:p>
    <w:p>
      <w:pPr>
        <w:pStyle w:val="5"/>
        <w:spacing w:before="120" w:after="120" w:line="360" w:lineRule="exact"/>
        <w:rPr>
          <w:rFonts w:ascii="宋体" w:hAnsi="宋体" w:eastAsia="宋体"/>
          <w:sz w:val="24"/>
          <w:szCs w:val="21"/>
        </w:rPr>
      </w:pPr>
      <w:bookmarkStart w:id="202" w:name="_Toc11176"/>
      <w:bookmarkStart w:id="203" w:name="_Toc60585232"/>
      <w:bookmarkStart w:id="204" w:name="_Toc5695"/>
      <w:bookmarkStart w:id="205" w:name="_Toc30500"/>
      <w:r>
        <w:rPr>
          <w:rFonts w:hint="eastAsia" w:ascii="宋体" w:hAnsi="宋体" w:eastAsia="宋体"/>
          <w:sz w:val="24"/>
          <w:szCs w:val="21"/>
        </w:rPr>
        <w:t>格式七：商务情况表</w:t>
      </w:r>
      <w:bookmarkEnd w:id="202"/>
      <w:bookmarkEnd w:id="203"/>
      <w:bookmarkEnd w:id="204"/>
      <w:bookmarkEnd w:id="205"/>
    </w:p>
    <w:p>
      <w:pPr>
        <w:jc w:val="center"/>
        <w:rPr>
          <w:sz w:val="32"/>
          <w:szCs w:val="40"/>
        </w:rPr>
      </w:pPr>
      <w:bookmarkStart w:id="206" w:name="_Toc6678"/>
      <w:r>
        <w:rPr>
          <w:rFonts w:hint="eastAsia"/>
          <w:sz w:val="32"/>
          <w:szCs w:val="40"/>
        </w:rPr>
        <w:t>响应人商务情况</w:t>
      </w:r>
      <w:bookmarkEnd w:id="206"/>
      <w:r>
        <w:rPr>
          <w:rFonts w:hint="eastAsia"/>
          <w:sz w:val="32"/>
          <w:szCs w:val="40"/>
        </w:rPr>
        <w:t>表</w:t>
      </w:r>
    </w:p>
    <w:tbl>
      <w:tblPr>
        <w:tblStyle w:val="7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243"/>
        <w:gridCol w:w="1055"/>
        <w:gridCol w:w="1521"/>
        <w:gridCol w:w="1423"/>
        <w:gridCol w:w="133"/>
        <w:gridCol w:w="878"/>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rPr>
            </w:pPr>
            <w:r>
              <w:rPr>
                <w:rFonts w:hint="eastAsia" w:ascii="宋体" w:hAnsi="宋体" w:cs="宋体"/>
                <w:sz w:val="24"/>
              </w:rPr>
              <w:t>响应人名称</w:t>
            </w:r>
          </w:p>
        </w:tc>
        <w:tc>
          <w:tcPr>
            <w:tcW w:w="7572" w:type="dxa"/>
            <w:gridSpan w:val="7"/>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rPr>
            </w:pPr>
            <w:r>
              <w:rPr>
                <w:rFonts w:hint="eastAsia" w:ascii="宋体" w:hAnsi="宋体" w:cs="宋体"/>
                <w:sz w:val="24"/>
              </w:rPr>
              <w:t>注册地址</w:t>
            </w:r>
          </w:p>
        </w:tc>
        <w:tc>
          <w:tcPr>
            <w:tcW w:w="3819" w:type="dxa"/>
            <w:gridSpan w:val="3"/>
            <w:vAlign w:val="center"/>
          </w:tcPr>
          <w:p>
            <w:pPr>
              <w:jc w:val="center"/>
              <w:rPr>
                <w:rFonts w:ascii="宋体" w:hAnsi="宋体" w:cs="宋体"/>
                <w:sz w:val="24"/>
              </w:rPr>
            </w:pPr>
          </w:p>
        </w:tc>
        <w:tc>
          <w:tcPr>
            <w:tcW w:w="1423" w:type="dxa"/>
            <w:vAlign w:val="center"/>
          </w:tcPr>
          <w:p>
            <w:pPr>
              <w:jc w:val="center"/>
              <w:rPr>
                <w:rFonts w:ascii="宋体" w:hAnsi="宋体" w:cs="宋体"/>
                <w:sz w:val="24"/>
              </w:rPr>
            </w:pPr>
            <w:r>
              <w:rPr>
                <w:rFonts w:hint="eastAsia" w:ascii="宋体" w:hAnsi="宋体" w:cs="宋体"/>
                <w:sz w:val="24"/>
              </w:rPr>
              <w:t>邮政编码</w:t>
            </w:r>
          </w:p>
        </w:tc>
        <w:tc>
          <w:tcPr>
            <w:tcW w:w="233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Merge w:val="restart"/>
            <w:vAlign w:val="center"/>
          </w:tcPr>
          <w:p>
            <w:pPr>
              <w:jc w:val="center"/>
              <w:rPr>
                <w:rFonts w:ascii="宋体" w:hAnsi="宋体" w:cs="宋体"/>
                <w:sz w:val="24"/>
              </w:rPr>
            </w:pPr>
            <w:r>
              <w:rPr>
                <w:rFonts w:hint="eastAsia" w:ascii="宋体" w:hAnsi="宋体" w:cs="宋体"/>
                <w:sz w:val="24"/>
              </w:rPr>
              <w:t>联系方式</w:t>
            </w:r>
          </w:p>
        </w:tc>
        <w:tc>
          <w:tcPr>
            <w:tcW w:w="1243" w:type="dxa"/>
            <w:vAlign w:val="center"/>
          </w:tcPr>
          <w:p>
            <w:pPr>
              <w:jc w:val="center"/>
              <w:rPr>
                <w:rFonts w:ascii="宋体" w:hAnsi="宋体" w:cs="宋体"/>
                <w:sz w:val="24"/>
              </w:rPr>
            </w:pPr>
            <w:r>
              <w:rPr>
                <w:rFonts w:hint="eastAsia" w:ascii="宋体" w:hAnsi="宋体" w:cs="宋体"/>
                <w:sz w:val="24"/>
              </w:rPr>
              <w:t>联系人</w:t>
            </w:r>
          </w:p>
        </w:tc>
        <w:tc>
          <w:tcPr>
            <w:tcW w:w="2576" w:type="dxa"/>
            <w:gridSpan w:val="2"/>
            <w:vAlign w:val="center"/>
          </w:tcPr>
          <w:p>
            <w:pPr>
              <w:jc w:val="center"/>
              <w:rPr>
                <w:rFonts w:ascii="宋体" w:hAnsi="宋体" w:cs="宋体"/>
                <w:sz w:val="24"/>
              </w:rPr>
            </w:pPr>
          </w:p>
        </w:tc>
        <w:tc>
          <w:tcPr>
            <w:tcW w:w="1423" w:type="dxa"/>
            <w:vAlign w:val="center"/>
          </w:tcPr>
          <w:p>
            <w:pPr>
              <w:jc w:val="center"/>
              <w:rPr>
                <w:rFonts w:ascii="宋体" w:hAnsi="宋体" w:cs="宋体"/>
                <w:sz w:val="24"/>
              </w:rPr>
            </w:pPr>
            <w:r>
              <w:rPr>
                <w:rFonts w:hint="eastAsia" w:ascii="宋体" w:hAnsi="宋体" w:cs="宋体"/>
                <w:sz w:val="24"/>
              </w:rPr>
              <w:t>电  话</w:t>
            </w:r>
          </w:p>
        </w:tc>
        <w:tc>
          <w:tcPr>
            <w:tcW w:w="233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Merge w:val="continue"/>
            <w:vAlign w:val="center"/>
          </w:tcPr>
          <w:p>
            <w:pPr>
              <w:jc w:val="center"/>
              <w:rPr>
                <w:rFonts w:ascii="宋体" w:hAnsi="宋体" w:cs="宋体"/>
                <w:sz w:val="24"/>
              </w:rPr>
            </w:pPr>
          </w:p>
        </w:tc>
        <w:tc>
          <w:tcPr>
            <w:tcW w:w="1243" w:type="dxa"/>
            <w:vAlign w:val="center"/>
          </w:tcPr>
          <w:p>
            <w:pPr>
              <w:jc w:val="center"/>
              <w:rPr>
                <w:rFonts w:ascii="宋体" w:hAnsi="宋体" w:cs="宋体"/>
                <w:sz w:val="24"/>
              </w:rPr>
            </w:pPr>
            <w:r>
              <w:rPr>
                <w:rFonts w:hint="eastAsia" w:ascii="宋体" w:hAnsi="宋体" w:cs="宋体"/>
                <w:sz w:val="24"/>
              </w:rPr>
              <w:t>传  真</w:t>
            </w:r>
          </w:p>
        </w:tc>
        <w:tc>
          <w:tcPr>
            <w:tcW w:w="2576" w:type="dxa"/>
            <w:gridSpan w:val="2"/>
            <w:vAlign w:val="center"/>
          </w:tcPr>
          <w:p>
            <w:pPr>
              <w:jc w:val="center"/>
              <w:rPr>
                <w:rFonts w:ascii="宋体" w:hAnsi="宋体" w:cs="宋体"/>
                <w:sz w:val="24"/>
              </w:rPr>
            </w:pPr>
          </w:p>
        </w:tc>
        <w:tc>
          <w:tcPr>
            <w:tcW w:w="1423" w:type="dxa"/>
            <w:vAlign w:val="center"/>
          </w:tcPr>
          <w:p>
            <w:pPr>
              <w:jc w:val="center"/>
              <w:rPr>
                <w:rFonts w:ascii="宋体" w:hAnsi="宋体" w:cs="宋体"/>
                <w:sz w:val="24"/>
              </w:rPr>
            </w:pPr>
            <w:r>
              <w:rPr>
                <w:rFonts w:hint="eastAsia" w:ascii="宋体" w:hAnsi="宋体" w:cs="宋体"/>
                <w:sz w:val="24"/>
              </w:rPr>
              <w:t>网  址</w:t>
            </w:r>
          </w:p>
        </w:tc>
        <w:tc>
          <w:tcPr>
            <w:tcW w:w="233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rPr>
            </w:pPr>
            <w:r>
              <w:rPr>
                <w:rFonts w:hint="eastAsia" w:ascii="宋体" w:hAnsi="宋体" w:cs="宋体"/>
                <w:sz w:val="24"/>
              </w:rPr>
              <w:t>企业性质</w:t>
            </w:r>
          </w:p>
        </w:tc>
        <w:tc>
          <w:tcPr>
            <w:tcW w:w="7572" w:type="dxa"/>
            <w:gridSpan w:val="7"/>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rPr>
            </w:pPr>
            <w:r>
              <w:rPr>
                <w:rFonts w:hint="eastAsia" w:ascii="宋体" w:hAnsi="宋体" w:cs="宋体"/>
                <w:sz w:val="24"/>
              </w:rPr>
              <w:t>法定代表人</w:t>
            </w:r>
          </w:p>
        </w:tc>
        <w:tc>
          <w:tcPr>
            <w:tcW w:w="1243" w:type="dxa"/>
            <w:vAlign w:val="center"/>
          </w:tcPr>
          <w:p>
            <w:pPr>
              <w:jc w:val="center"/>
              <w:rPr>
                <w:rFonts w:ascii="宋体" w:hAnsi="宋体" w:cs="宋体"/>
                <w:sz w:val="24"/>
              </w:rPr>
            </w:pPr>
            <w:r>
              <w:rPr>
                <w:rFonts w:hint="eastAsia" w:ascii="宋体" w:hAnsi="宋体" w:cs="宋体"/>
                <w:sz w:val="24"/>
              </w:rPr>
              <w:t>姓名</w:t>
            </w:r>
          </w:p>
        </w:tc>
        <w:tc>
          <w:tcPr>
            <w:tcW w:w="4132" w:type="dxa"/>
            <w:gridSpan w:val="4"/>
            <w:vAlign w:val="center"/>
          </w:tcPr>
          <w:p>
            <w:pPr>
              <w:jc w:val="center"/>
              <w:rPr>
                <w:rFonts w:ascii="宋体" w:hAnsi="宋体" w:cs="宋体"/>
                <w:sz w:val="24"/>
              </w:rPr>
            </w:pPr>
          </w:p>
        </w:tc>
        <w:tc>
          <w:tcPr>
            <w:tcW w:w="878" w:type="dxa"/>
            <w:vAlign w:val="center"/>
          </w:tcPr>
          <w:p>
            <w:pPr>
              <w:jc w:val="center"/>
              <w:rPr>
                <w:rFonts w:ascii="宋体" w:hAnsi="宋体" w:cs="宋体"/>
                <w:sz w:val="24"/>
              </w:rPr>
            </w:pPr>
            <w:r>
              <w:rPr>
                <w:rFonts w:hint="eastAsia" w:ascii="宋体" w:hAnsi="宋体" w:cs="宋体"/>
                <w:sz w:val="24"/>
              </w:rPr>
              <w:t>电话</w:t>
            </w:r>
          </w:p>
        </w:tc>
        <w:tc>
          <w:tcPr>
            <w:tcW w:w="1319"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rPr>
            </w:pPr>
            <w:r>
              <w:rPr>
                <w:rFonts w:hint="eastAsia" w:ascii="宋体" w:hAnsi="宋体" w:cs="宋体"/>
                <w:sz w:val="24"/>
              </w:rPr>
              <w:t>成立时间</w:t>
            </w:r>
          </w:p>
        </w:tc>
        <w:tc>
          <w:tcPr>
            <w:tcW w:w="2298" w:type="dxa"/>
            <w:gridSpan w:val="2"/>
            <w:vAlign w:val="center"/>
          </w:tcPr>
          <w:p>
            <w:pPr>
              <w:jc w:val="center"/>
              <w:rPr>
                <w:rFonts w:ascii="宋体" w:hAnsi="宋体" w:cs="宋体"/>
                <w:sz w:val="24"/>
              </w:rPr>
            </w:pPr>
          </w:p>
        </w:tc>
        <w:tc>
          <w:tcPr>
            <w:tcW w:w="5274" w:type="dxa"/>
            <w:gridSpan w:val="5"/>
            <w:vAlign w:val="center"/>
          </w:tcPr>
          <w:p>
            <w:pPr>
              <w:jc w:val="center"/>
              <w:rPr>
                <w:rFonts w:ascii="宋体" w:hAnsi="宋体" w:cs="宋体"/>
                <w:sz w:val="24"/>
              </w:rPr>
            </w:pPr>
            <w:r>
              <w:rPr>
                <w:rFonts w:hint="eastAsia" w:ascii="宋体"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1716" w:type="dxa"/>
            <w:vAlign w:val="center"/>
          </w:tcPr>
          <w:p>
            <w:pPr>
              <w:jc w:val="center"/>
              <w:rPr>
                <w:rFonts w:ascii="宋体" w:hAnsi="宋体" w:cs="宋体"/>
                <w:sz w:val="24"/>
              </w:rPr>
            </w:pPr>
            <w:r>
              <w:rPr>
                <w:rFonts w:hint="eastAsia" w:ascii="宋体" w:hAnsi="宋体" w:cs="宋体"/>
                <w:sz w:val="24"/>
              </w:rPr>
              <w:t>经营范围</w:t>
            </w:r>
          </w:p>
        </w:tc>
        <w:tc>
          <w:tcPr>
            <w:tcW w:w="7572" w:type="dxa"/>
            <w:gridSpan w:val="7"/>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716" w:type="dxa"/>
            <w:vAlign w:val="center"/>
          </w:tcPr>
          <w:p>
            <w:pPr>
              <w:jc w:val="center"/>
              <w:rPr>
                <w:rFonts w:ascii="宋体" w:hAnsi="宋体" w:cs="宋体"/>
                <w:sz w:val="24"/>
              </w:rPr>
            </w:pPr>
            <w:r>
              <w:rPr>
                <w:rFonts w:hint="eastAsia" w:ascii="宋体" w:hAnsi="宋体" w:cs="宋体"/>
                <w:sz w:val="24"/>
              </w:rPr>
              <w:t>企业简介</w:t>
            </w:r>
          </w:p>
        </w:tc>
        <w:tc>
          <w:tcPr>
            <w:tcW w:w="7572" w:type="dxa"/>
            <w:gridSpan w:val="7"/>
            <w:vAlign w:val="center"/>
          </w:tcPr>
          <w:p>
            <w:pPr>
              <w:jc w:val="center"/>
              <w:rPr>
                <w:rFonts w:ascii="宋体" w:hAnsi="宋体" w:cs="宋体"/>
                <w:sz w:val="20"/>
                <w:szCs w:val="22"/>
              </w:rPr>
            </w:pPr>
          </w:p>
          <w:p>
            <w:pPr>
              <w:pStyle w:val="6"/>
              <w:ind w:firstLine="480"/>
              <w:rPr>
                <w:rFonts w:ascii="宋体" w:hAnsi="宋体" w:cs="宋体"/>
                <w:sz w:val="24"/>
                <w:szCs w:val="24"/>
              </w:rPr>
            </w:pPr>
          </w:p>
          <w:p>
            <w:pPr>
              <w:pStyle w:val="6"/>
              <w:ind w:firstLine="480"/>
              <w:rPr>
                <w:rFonts w:ascii="宋体" w:hAnsi="宋体" w:cs="宋体"/>
                <w:sz w:val="24"/>
                <w:szCs w:val="24"/>
              </w:rPr>
            </w:pPr>
          </w:p>
          <w:p>
            <w:pPr>
              <w:pStyle w:val="6"/>
              <w:ind w:firstLine="480"/>
              <w:rPr>
                <w:rFonts w:ascii="宋体" w:hAnsi="宋体" w:cs="宋体"/>
                <w:sz w:val="24"/>
                <w:szCs w:val="24"/>
              </w:rPr>
            </w:pPr>
          </w:p>
          <w:p>
            <w:pPr>
              <w:pStyle w:val="6"/>
              <w:ind w:firstLine="480"/>
              <w:rPr>
                <w:rFonts w:ascii="宋体" w:hAnsi="宋体" w:cs="宋体"/>
                <w:sz w:val="24"/>
                <w:szCs w:val="24"/>
              </w:rPr>
            </w:pPr>
          </w:p>
          <w:p>
            <w:pPr>
              <w:pStyle w:val="6"/>
              <w:ind w:firstLine="480"/>
              <w:rPr>
                <w:rFonts w:ascii="宋体" w:hAnsi="宋体" w:cs="宋体"/>
                <w:sz w:val="24"/>
                <w:szCs w:val="24"/>
              </w:rPr>
            </w:pPr>
          </w:p>
          <w:p>
            <w:pPr>
              <w:pStyle w:val="6"/>
              <w:ind w:firstLine="48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716" w:type="dxa"/>
            <w:vAlign w:val="center"/>
          </w:tcPr>
          <w:p>
            <w:pPr>
              <w:jc w:val="center"/>
              <w:rPr>
                <w:rFonts w:ascii="宋体" w:hAnsi="宋体" w:cs="宋体"/>
                <w:sz w:val="24"/>
              </w:rPr>
            </w:pPr>
            <w:r>
              <w:rPr>
                <w:rFonts w:hint="eastAsia" w:ascii="宋体" w:hAnsi="宋体" w:cs="宋体"/>
                <w:sz w:val="24"/>
              </w:rPr>
              <w:t>备注</w:t>
            </w:r>
          </w:p>
        </w:tc>
        <w:tc>
          <w:tcPr>
            <w:tcW w:w="7572" w:type="dxa"/>
            <w:gridSpan w:val="7"/>
            <w:vAlign w:val="center"/>
          </w:tcPr>
          <w:p>
            <w:pPr>
              <w:jc w:val="center"/>
              <w:rPr>
                <w:rFonts w:ascii="宋体" w:hAnsi="宋体" w:cs="宋体"/>
                <w:sz w:val="24"/>
              </w:rPr>
            </w:pPr>
          </w:p>
        </w:tc>
      </w:tr>
    </w:tbl>
    <w:p>
      <w:pPr>
        <w:pStyle w:val="7"/>
        <w:rPr>
          <w:rFonts w:ascii="宋体" w:hAnsi="宋体"/>
          <w:b w:val="0"/>
          <w:sz w:val="24"/>
          <w:szCs w:val="21"/>
        </w:rPr>
      </w:pPr>
      <w:r>
        <w:rPr>
          <w:rFonts w:hint="eastAsia" w:ascii="宋体" w:hAnsi="宋体"/>
          <w:b w:val="0"/>
          <w:bCs w:val="0"/>
          <w:sz w:val="24"/>
          <w:szCs w:val="21"/>
        </w:rPr>
        <w:br w:type="page"/>
      </w:r>
      <w:r>
        <w:rPr>
          <w:rFonts w:hint="eastAsia" w:ascii="宋体" w:hAnsi="宋体"/>
          <w:sz w:val="24"/>
          <w:szCs w:val="21"/>
        </w:rPr>
        <w:t>格式八:中小企业声明函（如有）</w:t>
      </w:r>
    </w:p>
    <w:p>
      <w:pPr>
        <w:jc w:val="center"/>
        <w:rPr>
          <w:rFonts w:ascii="宋体" w:hAnsi="宋体"/>
          <w:kern w:val="0"/>
          <w:sz w:val="32"/>
          <w:szCs w:val="22"/>
        </w:rPr>
      </w:pPr>
      <w:r>
        <w:rPr>
          <w:rFonts w:hint="eastAsia" w:ascii="宋体" w:hAnsi="宋体"/>
          <w:b/>
          <w:spacing w:val="1"/>
          <w:kern w:val="0"/>
          <w:sz w:val="32"/>
          <w:szCs w:val="22"/>
        </w:rPr>
        <w:t>中小企业声明函</w:t>
      </w:r>
    </w:p>
    <w:p>
      <w:pPr>
        <w:kinsoku w:val="0"/>
        <w:overflowPunct w:val="0"/>
        <w:autoSpaceDE w:val="0"/>
        <w:autoSpaceDN w:val="0"/>
        <w:adjustRightInd w:val="0"/>
        <w:spacing w:line="360" w:lineRule="auto"/>
        <w:ind w:left="120" w:right="116" w:firstLine="640"/>
        <w:jc w:val="left"/>
        <w:rPr>
          <w:rFonts w:ascii="宋体" w:hAnsi="宋体"/>
          <w:kern w:val="0"/>
          <w:sz w:val="24"/>
        </w:rPr>
      </w:pPr>
      <w:r>
        <w:rPr>
          <w:rFonts w:hint="eastAsia" w:ascii="宋体" w:hAnsi="宋体"/>
          <w:kern w:val="0"/>
          <w:sz w:val="24"/>
        </w:rPr>
        <w:t>本公司（联合体）郑重声明，根据《政府采购促进中小企业发展管理办法》（财库﹝</w:t>
      </w:r>
      <w:r>
        <w:rPr>
          <w:rFonts w:ascii="宋体" w:hAnsi="宋体"/>
          <w:kern w:val="0"/>
          <w:sz w:val="24"/>
        </w:rPr>
        <w:t>2020</w:t>
      </w:r>
      <w:r>
        <w:rPr>
          <w:rFonts w:hint="eastAsia" w:ascii="宋体" w:hAnsi="宋体"/>
          <w:kern w:val="0"/>
          <w:sz w:val="24"/>
        </w:rPr>
        <w:t>﹞</w:t>
      </w:r>
      <w:r>
        <w:rPr>
          <w:rFonts w:ascii="宋体" w:hAnsi="宋体"/>
          <w:kern w:val="0"/>
          <w:sz w:val="24"/>
        </w:rPr>
        <w:t>46</w:t>
      </w:r>
      <w:r>
        <w:rPr>
          <w:rFonts w:hint="eastAsia" w:ascii="宋体" w:hAnsi="宋体"/>
          <w:kern w:val="0"/>
          <w:sz w:val="24"/>
        </w:rPr>
        <w:t>号）的规定，本公司参加</w:t>
      </w:r>
      <w:r>
        <w:rPr>
          <w:rFonts w:hint="eastAsia" w:ascii="宋体" w:hAnsi="宋体"/>
          <w:i/>
          <w:kern w:val="0"/>
          <w:sz w:val="24"/>
          <w:u w:val="single"/>
        </w:rPr>
        <w:t>（单位名称）</w:t>
      </w:r>
      <w:r>
        <w:rPr>
          <w:rFonts w:hint="eastAsia" w:ascii="宋体" w:hAnsi="宋体"/>
          <w:kern w:val="0"/>
          <w:sz w:val="24"/>
        </w:rPr>
        <w:t>的</w:t>
      </w:r>
      <w:r>
        <w:rPr>
          <w:rFonts w:hint="eastAsia" w:ascii="宋体" w:hAnsi="宋体"/>
          <w:i/>
          <w:kern w:val="0"/>
          <w:sz w:val="24"/>
          <w:u w:val="single"/>
        </w:rPr>
        <w:t>（项目名称）</w:t>
      </w:r>
      <w:r>
        <w:rPr>
          <w:rFonts w:hint="eastAsia" w:ascii="宋体" w:hAnsi="宋体"/>
          <w:kern w:val="0"/>
          <w:sz w:val="24"/>
        </w:rPr>
        <w:t>采购活动，服务全部由符合政策要求的中小企业承接。相关企业的具体情况如下：</w:t>
      </w:r>
    </w:p>
    <w:p>
      <w:pPr>
        <w:tabs>
          <w:tab w:val="left" w:pos="1706"/>
          <w:tab w:val="left" w:pos="4185"/>
          <w:tab w:val="left" w:pos="7193"/>
        </w:tabs>
        <w:kinsoku w:val="0"/>
        <w:overflowPunct w:val="0"/>
        <w:autoSpaceDE w:val="0"/>
        <w:autoSpaceDN w:val="0"/>
        <w:adjustRightInd w:val="0"/>
        <w:spacing w:before="11" w:line="360" w:lineRule="auto"/>
        <w:ind w:left="105" w:right="116" w:firstLine="655"/>
        <w:jc w:val="left"/>
        <w:rPr>
          <w:rFonts w:ascii="宋体" w:hAnsi="宋体"/>
          <w:kern w:val="0"/>
          <w:sz w:val="24"/>
        </w:rPr>
      </w:pPr>
      <w:r>
        <w:rPr>
          <w:rFonts w:ascii="宋体" w:hAnsi="宋体"/>
          <w:kern w:val="0"/>
          <w:sz w:val="24"/>
        </w:rPr>
        <w:t xml:space="preserve">1. </w:t>
      </w:r>
      <w:r>
        <w:rPr>
          <w:rFonts w:hint="eastAsia" w:ascii="宋体" w:hAnsi="宋体"/>
          <w:i/>
          <w:kern w:val="0"/>
          <w:sz w:val="24"/>
          <w:u w:val="single"/>
        </w:rPr>
        <w:t>（标的名称）</w:t>
      </w:r>
      <w:r>
        <w:rPr>
          <w:rFonts w:hint="eastAsia" w:ascii="宋体" w:hAnsi="宋体"/>
          <w:kern w:val="0"/>
          <w:sz w:val="24"/>
        </w:rPr>
        <w:t>，属于</w:t>
      </w:r>
      <w:r>
        <w:rPr>
          <w:rFonts w:hint="eastAsia" w:ascii="宋体" w:hAnsi="宋体"/>
          <w:i/>
          <w:kern w:val="0"/>
          <w:sz w:val="24"/>
          <w:u w:val="single"/>
        </w:rPr>
        <w:t>（采购文件中明确的所属行业）</w:t>
      </w:r>
      <w:r>
        <w:rPr>
          <w:rFonts w:hint="eastAsia" w:ascii="宋体" w:hAnsi="宋体"/>
          <w:kern w:val="0"/>
          <w:sz w:val="24"/>
        </w:rPr>
        <w:t>；承建（承接）企业为</w:t>
      </w:r>
      <w:r>
        <w:rPr>
          <w:rFonts w:hint="eastAsia" w:ascii="宋体" w:hAnsi="宋体"/>
          <w:i/>
          <w:kern w:val="0"/>
          <w:sz w:val="24"/>
          <w:u w:val="single"/>
        </w:rPr>
        <w:t>（企业名称）</w:t>
      </w:r>
      <w:r>
        <w:rPr>
          <w:rFonts w:hint="eastAsia" w:ascii="宋体" w:hAnsi="宋体"/>
          <w:kern w:val="0"/>
          <w:sz w:val="24"/>
        </w:rPr>
        <w:t>，从业人员</w:t>
      </w:r>
      <w:r>
        <w:rPr>
          <w:rFonts w:ascii="宋体" w:hAnsi="宋体"/>
          <w:kern w:val="0"/>
          <w:sz w:val="24"/>
          <w:u w:val="single"/>
        </w:rPr>
        <w:tab/>
      </w:r>
      <w:r>
        <w:rPr>
          <w:rFonts w:hint="eastAsia" w:ascii="宋体" w:hAnsi="宋体"/>
          <w:kern w:val="0"/>
          <w:sz w:val="24"/>
        </w:rPr>
        <w:t>人，营业收入为</w:t>
      </w:r>
      <w:r>
        <w:rPr>
          <w:rFonts w:ascii="宋体" w:hAnsi="宋体"/>
          <w:kern w:val="0"/>
          <w:sz w:val="24"/>
          <w:u w:val="single"/>
        </w:rPr>
        <w:tab/>
      </w:r>
      <w:r>
        <w:rPr>
          <w:rFonts w:hint="eastAsia" w:ascii="宋体" w:hAnsi="宋体"/>
          <w:kern w:val="0"/>
          <w:sz w:val="24"/>
        </w:rPr>
        <w:t>万元，资产总额为</w:t>
      </w:r>
      <w:r>
        <w:rPr>
          <w:rFonts w:ascii="宋体" w:hAnsi="宋体"/>
          <w:kern w:val="0"/>
          <w:sz w:val="24"/>
          <w:u w:val="single"/>
        </w:rPr>
        <w:tab/>
      </w:r>
      <w:r>
        <w:rPr>
          <w:rFonts w:hint="eastAsia" w:ascii="宋体" w:hAnsi="宋体"/>
          <w:kern w:val="0"/>
          <w:sz w:val="24"/>
        </w:rPr>
        <w:t>万元，属于</w:t>
      </w:r>
      <w:r>
        <w:rPr>
          <w:rFonts w:hint="eastAsia" w:ascii="宋体" w:hAnsi="宋体"/>
          <w:i/>
          <w:kern w:val="0"/>
          <w:sz w:val="24"/>
          <w:u w:val="single"/>
        </w:rPr>
        <w:t>（中型企业、小型企业、微型企业）</w:t>
      </w:r>
      <w:r>
        <w:rPr>
          <w:rFonts w:hint="eastAsia" w:ascii="宋体" w:hAnsi="宋体"/>
          <w:kern w:val="0"/>
          <w:sz w:val="24"/>
        </w:rPr>
        <w:t>；</w:t>
      </w:r>
    </w:p>
    <w:p>
      <w:pPr>
        <w:tabs>
          <w:tab w:val="left" w:pos="1706"/>
          <w:tab w:val="left" w:pos="4905"/>
          <w:tab w:val="left" w:pos="7193"/>
        </w:tabs>
        <w:kinsoku w:val="0"/>
        <w:overflowPunct w:val="0"/>
        <w:autoSpaceDE w:val="0"/>
        <w:autoSpaceDN w:val="0"/>
        <w:adjustRightInd w:val="0"/>
        <w:spacing w:before="21" w:line="360" w:lineRule="auto"/>
        <w:ind w:left="105" w:right="138" w:firstLine="655"/>
        <w:jc w:val="left"/>
        <w:rPr>
          <w:rFonts w:ascii="宋体" w:hAnsi="宋体"/>
          <w:kern w:val="0"/>
          <w:sz w:val="24"/>
        </w:rPr>
      </w:pPr>
      <w:r>
        <w:rPr>
          <w:rFonts w:ascii="宋体" w:hAnsi="宋体"/>
          <w:kern w:val="0"/>
          <w:sz w:val="24"/>
        </w:rPr>
        <w:t xml:space="preserve">2. </w:t>
      </w:r>
      <w:r>
        <w:rPr>
          <w:rFonts w:hint="eastAsia" w:ascii="宋体" w:hAnsi="宋体"/>
          <w:i/>
          <w:kern w:val="0"/>
          <w:sz w:val="24"/>
          <w:u w:val="single"/>
        </w:rPr>
        <w:t>（标的名称）</w:t>
      </w:r>
      <w:r>
        <w:rPr>
          <w:rFonts w:hint="eastAsia" w:ascii="宋体" w:hAnsi="宋体"/>
          <w:kern w:val="0"/>
          <w:sz w:val="24"/>
        </w:rPr>
        <w:t>，属于</w:t>
      </w:r>
      <w:r>
        <w:rPr>
          <w:rFonts w:hint="eastAsia" w:ascii="宋体" w:hAnsi="宋体"/>
          <w:i/>
          <w:kern w:val="0"/>
          <w:sz w:val="24"/>
          <w:u w:val="single"/>
        </w:rPr>
        <w:t>（采购文件中明确的所属行业）</w:t>
      </w:r>
      <w:r>
        <w:rPr>
          <w:rFonts w:hint="eastAsia" w:ascii="宋体" w:hAnsi="宋体"/>
          <w:kern w:val="0"/>
          <w:sz w:val="24"/>
        </w:rPr>
        <w:t>；承建（承接）企业为</w:t>
      </w:r>
      <w:r>
        <w:rPr>
          <w:rFonts w:hint="eastAsia" w:ascii="宋体" w:hAnsi="宋体"/>
          <w:i/>
          <w:kern w:val="0"/>
          <w:sz w:val="24"/>
          <w:u w:val="single"/>
        </w:rPr>
        <w:t>（企业名称）</w:t>
      </w:r>
      <w:r>
        <w:rPr>
          <w:rFonts w:hint="eastAsia" w:ascii="宋体" w:hAnsi="宋体"/>
          <w:kern w:val="0"/>
          <w:sz w:val="24"/>
        </w:rPr>
        <w:t>，从业人员</w:t>
      </w:r>
      <w:r>
        <w:rPr>
          <w:rFonts w:ascii="宋体" w:hAnsi="宋体"/>
          <w:kern w:val="0"/>
          <w:sz w:val="24"/>
          <w:u w:val="single"/>
        </w:rPr>
        <w:tab/>
      </w:r>
      <w:r>
        <w:rPr>
          <w:rFonts w:hint="eastAsia" w:ascii="宋体" w:hAnsi="宋体"/>
          <w:kern w:val="0"/>
          <w:sz w:val="24"/>
        </w:rPr>
        <w:t>人，营业收入为</w:t>
      </w:r>
      <w:r>
        <w:rPr>
          <w:rFonts w:ascii="宋体" w:hAnsi="宋体"/>
          <w:kern w:val="0"/>
          <w:sz w:val="24"/>
          <w:u w:val="single"/>
        </w:rPr>
        <w:tab/>
      </w:r>
      <w:r>
        <w:rPr>
          <w:rFonts w:hint="eastAsia" w:ascii="宋体" w:hAnsi="宋体"/>
          <w:kern w:val="0"/>
          <w:sz w:val="24"/>
        </w:rPr>
        <w:t>万元，资产总额为</w:t>
      </w:r>
      <w:r>
        <w:rPr>
          <w:rFonts w:ascii="宋体" w:hAnsi="宋体"/>
          <w:kern w:val="0"/>
          <w:sz w:val="24"/>
          <w:u w:val="single"/>
        </w:rPr>
        <w:tab/>
      </w:r>
      <w:r>
        <w:rPr>
          <w:rFonts w:hint="eastAsia" w:ascii="宋体" w:hAnsi="宋体"/>
          <w:kern w:val="0"/>
          <w:sz w:val="24"/>
        </w:rPr>
        <w:t>万元，属于</w:t>
      </w:r>
      <w:r>
        <w:rPr>
          <w:rFonts w:hint="eastAsia" w:ascii="宋体" w:hAnsi="宋体"/>
          <w:i/>
          <w:kern w:val="0"/>
          <w:sz w:val="24"/>
          <w:u w:val="single"/>
        </w:rPr>
        <w:t>（中型企业、小型企业、微型企业）</w:t>
      </w:r>
      <w:r>
        <w:rPr>
          <w:rFonts w:hint="eastAsia" w:ascii="宋体" w:hAnsi="宋体"/>
          <w:kern w:val="0"/>
          <w:sz w:val="24"/>
        </w:rPr>
        <w:t>；</w:t>
      </w:r>
    </w:p>
    <w:p>
      <w:pPr>
        <w:kinsoku w:val="0"/>
        <w:overflowPunct w:val="0"/>
        <w:autoSpaceDE w:val="0"/>
        <w:autoSpaceDN w:val="0"/>
        <w:adjustRightInd w:val="0"/>
        <w:spacing w:before="33" w:line="360" w:lineRule="auto"/>
        <w:ind w:left="765" w:right="116" w:hanging="5"/>
        <w:jc w:val="left"/>
        <w:rPr>
          <w:rFonts w:ascii="宋体" w:hAnsi="宋体"/>
          <w:kern w:val="0"/>
          <w:sz w:val="24"/>
        </w:rPr>
      </w:pPr>
      <w:r>
        <w:rPr>
          <w:rFonts w:hint="eastAsia" w:ascii="宋体" w:hAnsi="宋体"/>
          <w:kern w:val="0"/>
          <w:sz w:val="24"/>
        </w:rPr>
        <w:t>……以上企业，不属于大企业的分支机构，不存在控股股东</w:t>
      </w:r>
    </w:p>
    <w:p>
      <w:pPr>
        <w:kinsoku w:val="0"/>
        <w:overflowPunct w:val="0"/>
        <w:autoSpaceDE w:val="0"/>
        <w:autoSpaceDN w:val="0"/>
        <w:adjustRightInd w:val="0"/>
        <w:spacing w:before="26" w:line="360" w:lineRule="auto"/>
        <w:ind w:left="120" w:right="297"/>
        <w:rPr>
          <w:rFonts w:ascii="宋体" w:hAnsi="宋体"/>
          <w:kern w:val="0"/>
          <w:sz w:val="24"/>
        </w:rPr>
      </w:pPr>
      <w:r>
        <w:rPr>
          <w:rFonts w:hint="eastAsia" w:ascii="宋体" w:hAnsi="宋体"/>
          <w:kern w:val="0"/>
          <w:sz w:val="24"/>
        </w:rPr>
        <w:t>为大企业的情形，也不存在与大企业的负责人为同一人的情形。</w:t>
      </w:r>
    </w:p>
    <w:p>
      <w:pPr>
        <w:kinsoku w:val="0"/>
        <w:overflowPunct w:val="0"/>
        <w:autoSpaceDE w:val="0"/>
        <w:autoSpaceDN w:val="0"/>
        <w:adjustRightInd w:val="0"/>
        <w:spacing w:before="21" w:line="360" w:lineRule="auto"/>
        <w:ind w:left="120" w:right="116" w:firstLine="640"/>
        <w:jc w:val="left"/>
        <w:rPr>
          <w:rFonts w:ascii="宋体" w:hAnsi="宋体"/>
          <w:kern w:val="0"/>
          <w:sz w:val="32"/>
        </w:rPr>
      </w:pPr>
      <w:r>
        <w:rPr>
          <w:rFonts w:hint="eastAsia" w:ascii="宋体" w:hAnsi="宋体"/>
          <w:kern w:val="0"/>
          <w:sz w:val="24"/>
        </w:rPr>
        <w:t>本企业对上述声明内容的真实性负责。如有虚假，将依法承担相应责任。</w:t>
      </w:r>
    </w:p>
    <w:p>
      <w:pPr>
        <w:spacing w:line="360" w:lineRule="auto"/>
        <w:ind w:firstLine="6120" w:firstLineChars="2550"/>
        <w:rPr>
          <w:rFonts w:ascii="宋体" w:hAnsi="宋体"/>
          <w:kern w:val="0"/>
          <w:sz w:val="24"/>
        </w:rPr>
      </w:pPr>
      <w:r>
        <w:rPr>
          <w:rFonts w:hint="eastAsia" w:ascii="宋体" w:hAnsi="宋体"/>
          <w:kern w:val="0"/>
          <w:sz w:val="24"/>
        </w:rPr>
        <w:t>企业名称（盖章）：</w:t>
      </w:r>
    </w:p>
    <w:p>
      <w:pPr>
        <w:spacing w:line="360" w:lineRule="auto"/>
        <w:ind w:firstLine="6120" w:firstLineChars="2550"/>
        <w:rPr>
          <w:rFonts w:ascii="宋体" w:hAnsi="宋体"/>
          <w:kern w:val="0"/>
          <w:sz w:val="24"/>
        </w:rPr>
      </w:pPr>
      <w:r>
        <w:rPr>
          <w:rFonts w:hint="eastAsia" w:ascii="宋体" w:hAnsi="宋体"/>
          <w:kern w:val="0"/>
          <w:sz w:val="24"/>
        </w:rPr>
        <w:t>日期：</w:t>
      </w:r>
    </w:p>
    <w:p>
      <w:pPr>
        <w:spacing w:line="360" w:lineRule="exact"/>
        <w:ind w:right="187"/>
        <w:jc w:val="center"/>
        <w:rPr>
          <w:rFonts w:ascii="宋体" w:hAnsi="宋体"/>
          <w:b/>
          <w:bCs/>
          <w:sz w:val="24"/>
        </w:rPr>
      </w:pPr>
    </w:p>
    <w:p>
      <w:pPr>
        <w:pStyle w:val="137"/>
        <w:spacing w:line="360" w:lineRule="auto"/>
        <w:ind w:firstLine="482" w:firstLineChars="200"/>
        <w:rPr>
          <w:color w:val="auto"/>
        </w:rPr>
      </w:pPr>
      <w:r>
        <w:rPr>
          <w:rFonts w:hint="eastAsia"/>
          <w:b/>
          <w:bCs/>
          <w:color w:val="auto"/>
        </w:rPr>
        <w:t>注：</w:t>
      </w:r>
      <w:r>
        <w:rPr>
          <w:rFonts w:hint="eastAsia"/>
          <w:color w:val="auto"/>
        </w:rPr>
        <w:t>1、从业人员、营业收入、资产总额填报上一年度数据，无上一年度数据的新成立企业可不填报。</w:t>
      </w:r>
    </w:p>
    <w:p>
      <w:pPr>
        <w:spacing w:line="360" w:lineRule="exact"/>
        <w:ind w:right="187" w:firstLine="964" w:firstLineChars="400"/>
        <w:rPr>
          <w:rFonts w:ascii="宋体" w:hAnsi="宋体"/>
          <w:b/>
          <w:bCs/>
          <w:sz w:val="24"/>
        </w:rPr>
      </w:pPr>
      <w:r>
        <w:rPr>
          <w:rFonts w:hint="eastAsia"/>
          <w:b/>
          <w:bCs/>
          <w:sz w:val="24"/>
        </w:rPr>
        <w:t>2、不符合相应条件的响应人无需提供。</w:t>
      </w:r>
    </w:p>
    <w:p>
      <w:pPr>
        <w:spacing w:line="360" w:lineRule="exact"/>
        <w:ind w:right="187"/>
        <w:rPr>
          <w:rFonts w:ascii="宋体" w:hAnsi="宋体"/>
          <w:b/>
          <w:bCs/>
          <w:sz w:val="24"/>
        </w:rPr>
      </w:pPr>
    </w:p>
    <w:p>
      <w:pPr>
        <w:spacing w:line="360" w:lineRule="exact"/>
        <w:ind w:right="187"/>
        <w:rPr>
          <w:rFonts w:ascii="宋体" w:hAnsi="宋体"/>
          <w:b/>
          <w:bCs/>
          <w:sz w:val="24"/>
          <w:szCs w:val="21"/>
        </w:rPr>
      </w:pPr>
      <w:r>
        <w:rPr>
          <w:rFonts w:ascii="宋体" w:hAnsi="宋体"/>
          <w:b/>
          <w:bCs/>
          <w:sz w:val="24"/>
        </w:rPr>
        <w:br w:type="page"/>
      </w:r>
      <w:bookmarkStart w:id="207" w:name="_Toc60585233"/>
      <w:bookmarkStart w:id="208" w:name="_Toc13178"/>
      <w:bookmarkStart w:id="209" w:name="_Toc11493"/>
      <w:bookmarkStart w:id="210" w:name="_Toc529786933"/>
      <w:bookmarkStart w:id="211" w:name="_Toc12475699"/>
      <w:bookmarkStart w:id="212" w:name="_Toc12053254"/>
      <w:r>
        <w:rPr>
          <w:rFonts w:hint="eastAsia" w:ascii="宋体" w:hAnsi="宋体"/>
          <w:b/>
          <w:bCs/>
          <w:sz w:val="24"/>
          <w:szCs w:val="21"/>
        </w:rPr>
        <w:t>格式九:残疾人福利性单位声明函</w:t>
      </w:r>
      <w:bookmarkEnd w:id="207"/>
      <w:bookmarkEnd w:id="208"/>
      <w:bookmarkEnd w:id="209"/>
      <w:bookmarkEnd w:id="210"/>
      <w:bookmarkEnd w:id="211"/>
      <w:bookmarkEnd w:id="212"/>
      <w:r>
        <w:rPr>
          <w:rFonts w:hint="eastAsia" w:ascii="宋体" w:hAnsi="宋体"/>
          <w:b/>
          <w:bCs/>
          <w:sz w:val="24"/>
          <w:szCs w:val="21"/>
        </w:rPr>
        <w:t>（如有）</w:t>
      </w:r>
    </w:p>
    <w:p>
      <w:pPr>
        <w:spacing w:line="588" w:lineRule="exact"/>
        <w:jc w:val="center"/>
        <w:rPr>
          <w:rFonts w:ascii="宋体" w:hAnsi="宋体" w:cs="宋体"/>
          <w:b/>
          <w:spacing w:val="6"/>
          <w:sz w:val="30"/>
          <w:szCs w:val="30"/>
        </w:rPr>
      </w:pP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单位名称（盖章）：</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日  期：</w:t>
      </w:r>
    </w:p>
    <w:p>
      <w:pPr>
        <w:pStyle w:val="47"/>
        <w:spacing w:line="560" w:lineRule="exact"/>
        <w:ind w:left="1747" w:firstLine="0" w:firstLineChars="0"/>
        <w:rPr>
          <w:rFonts w:ascii="宋体" w:hAnsi="宋体"/>
        </w:rPr>
      </w:pPr>
    </w:p>
    <w:p>
      <w:pPr>
        <w:pStyle w:val="47"/>
        <w:spacing w:line="560" w:lineRule="exact"/>
        <w:ind w:firstLine="0" w:firstLineChars="0"/>
        <w:rPr>
          <w:rFonts w:ascii="宋体" w:hAnsi="宋体"/>
          <w:bCs/>
          <w:snapToGrid w:val="0"/>
          <w:sz w:val="24"/>
        </w:rPr>
      </w:pPr>
      <w:r>
        <w:rPr>
          <w:rFonts w:hint="eastAsia"/>
          <w:b/>
          <w:bCs/>
          <w:sz w:val="24"/>
        </w:rPr>
        <w:t>注：不符合相应条件的响应人无需提供。</w:t>
      </w:r>
      <w:r>
        <w:rPr>
          <w:rFonts w:hint="eastAsia" w:ascii="宋体" w:hAnsi="宋体"/>
          <w:b/>
          <w:bCs/>
        </w:rPr>
        <w:br w:type="page"/>
      </w:r>
      <w:bookmarkStart w:id="213" w:name="_Toc60570624"/>
      <w:r>
        <w:rPr>
          <w:rFonts w:hint="eastAsia" w:ascii="宋体" w:hAnsi="宋体"/>
          <w:b/>
          <w:snapToGrid w:val="0"/>
          <w:sz w:val="24"/>
        </w:rPr>
        <w:t>格式十：省级以上监狱管理局、戒毒管理局（含新疆生产建设兵团）出具的属于监狱企业的证明文件（如有）</w:t>
      </w:r>
    </w:p>
    <w:p>
      <w:pPr>
        <w:pStyle w:val="5"/>
        <w:spacing w:before="120" w:after="120" w:line="360" w:lineRule="exact"/>
        <w:rPr>
          <w:rFonts w:ascii="宋体" w:hAnsi="宋体"/>
        </w:rPr>
      </w:pPr>
    </w:p>
    <w:p>
      <w:pPr>
        <w:pStyle w:val="47"/>
        <w:spacing w:line="560" w:lineRule="exact"/>
        <w:ind w:firstLine="0" w:firstLineChars="0"/>
        <w:rPr>
          <w:rFonts w:ascii="宋体" w:hAnsi="宋体"/>
          <w:snapToGrid w:val="0"/>
          <w:sz w:val="24"/>
          <w:highlight w:val="cyan"/>
        </w:rPr>
      </w:pPr>
      <w:r>
        <w:rPr>
          <w:rStyle w:val="140"/>
          <w:rFonts w:hint="eastAsia"/>
          <w:b w:val="0"/>
          <w:bCs w:val="0"/>
          <w:sz w:val="24"/>
        </w:rPr>
        <w:br w:type="page"/>
      </w:r>
      <w:r>
        <w:rPr>
          <w:rStyle w:val="140"/>
          <w:rFonts w:hint="eastAsia"/>
          <w:sz w:val="24"/>
        </w:rPr>
        <w:t>格式十一、资格证明材料格式（参考）</w:t>
      </w:r>
      <w:bookmarkEnd w:id="213"/>
    </w:p>
    <w:p>
      <w:pPr>
        <w:pStyle w:val="2"/>
        <w:numPr>
          <w:ilvl w:val="0"/>
          <w:numId w:val="3"/>
        </w:numPr>
        <w:rPr>
          <w:rFonts w:hAnsi="宋体"/>
        </w:rPr>
      </w:pPr>
      <w:r>
        <w:rPr>
          <w:rFonts w:hint="eastAsia" w:hAnsi="宋体"/>
        </w:rPr>
        <w:t>法人或者其他组织的营业执照等证明文件或自然人的身份证明</w:t>
      </w:r>
    </w:p>
    <w:p>
      <w:pPr>
        <w:pStyle w:val="2"/>
        <w:numPr>
          <w:ilvl w:val="0"/>
          <w:numId w:val="3"/>
        </w:numPr>
        <w:rPr>
          <w:rFonts w:ascii="宋体" w:hAnsi="宋体" w:cs="宋体"/>
          <w:snapToGrid w:val="0"/>
        </w:rPr>
      </w:pPr>
      <w:r>
        <w:rPr>
          <w:rFonts w:hint="eastAsia" w:hAnsi="宋体"/>
        </w:rPr>
        <w:br w:type="page"/>
      </w:r>
      <w:r>
        <w:rPr>
          <w:rFonts w:hint="eastAsia" w:ascii="宋体" w:hAnsi="宋体" w:cs="宋体"/>
          <w:snapToGrid w:val="0"/>
        </w:rPr>
        <w:t>具有良好的商业信誉和健全的财务会计制度的证明材料</w:t>
      </w:r>
    </w:p>
    <w:p>
      <w:pPr>
        <w:pStyle w:val="2"/>
        <w:numPr>
          <w:ilvl w:val="0"/>
          <w:numId w:val="3"/>
        </w:numPr>
        <w:rPr>
          <w:rFonts w:ascii="宋体" w:hAnsi="宋体" w:cs="宋体"/>
          <w:snapToGrid w:val="0"/>
        </w:rPr>
      </w:pPr>
      <w:r>
        <w:rPr>
          <w:rFonts w:hint="eastAsia" w:ascii="宋体" w:hAnsi="宋体" w:cs="宋体"/>
          <w:snapToGrid w:val="0"/>
        </w:rPr>
        <w:br w:type="page"/>
      </w:r>
      <w:r>
        <w:rPr>
          <w:rFonts w:hint="eastAsia" w:ascii="宋体" w:hAnsi="宋体" w:cs="宋体"/>
          <w:snapToGrid w:val="0"/>
        </w:rPr>
        <w:t>具有履行合同所必需的设备和专业技术能力的证明材料或书面声明</w:t>
      </w:r>
    </w:p>
    <w:p>
      <w:pPr>
        <w:pStyle w:val="2"/>
        <w:numPr>
          <w:ilvl w:val="0"/>
          <w:numId w:val="3"/>
        </w:numPr>
        <w:rPr>
          <w:rFonts w:ascii="宋体" w:hAnsi="宋体" w:cs="宋体"/>
          <w:snapToGrid w:val="0"/>
        </w:rPr>
      </w:pPr>
      <w:r>
        <w:rPr>
          <w:rFonts w:hint="eastAsia" w:ascii="宋体" w:hAnsi="宋体" w:cs="宋体"/>
          <w:snapToGrid w:val="0"/>
        </w:rPr>
        <w:br w:type="page"/>
      </w:r>
      <w:r>
        <w:rPr>
          <w:rFonts w:hint="eastAsia" w:ascii="宋体" w:hAnsi="宋体" w:cs="宋体"/>
          <w:snapToGrid w:val="0"/>
        </w:rPr>
        <w:t>具有依法缴纳税收和社会保障资金的良好记录的证明材料</w:t>
      </w:r>
    </w:p>
    <w:p>
      <w:pPr>
        <w:pStyle w:val="2"/>
        <w:numPr>
          <w:ilvl w:val="0"/>
          <w:numId w:val="3"/>
        </w:numPr>
        <w:rPr>
          <w:rFonts w:ascii="宋体" w:hAnsi="宋体" w:cs="宋体"/>
          <w:snapToGrid w:val="0"/>
        </w:rPr>
      </w:pPr>
      <w:r>
        <w:rPr>
          <w:rFonts w:hint="eastAsia" w:ascii="宋体" w:hAnsi="宋体" w:cs="宋体"/>
          <w:snapToGrid w:val="0"/>
        </w:rPr>
        <w:br w:type="page"/>
      </w:r>
      <w:r>
        <w:rPr>
          <w:rFonts w:hint="eastAsia" w:hAnsi="宋体"/>
        </w:rPr>
        <w:t>参加政府采购活动前3年内</w:t>
      </w:r>
      <w:bookmarkStart w:id="214" w:name="_Toc518923113"/>
      <w:r>
        <w:rPr>
          <w:rFonts w:hint="eastAsia" w:hAnsi="宋体"/>
        </w:rPr>
        <w:t>在经营活动中没有重大违法记录的</w:t>
      </w:r>
      <w:bookmarkEnd w:id="214"/>
      <w:r>
        <w:rPr>
          <w:rFonts w:hint="eastAsia" w:hAnsi="宋体"/>
        </w:rPr>
        <w:t>书面声明</w:t>
      </w:r>
    </w:p>
    <w:p>
      <w:pPr>
        <w:spacing w:line="360" w:lineRule="exact"/>
        <w:ind w:right="187"/>
        <w:rPr>
          <w:rFonts w:ascii="宋体" w:hAnsi="宋体"/>
          <w:bCs/>
          <w:snapToGrid w:val="0"/>
          <w:kern w:val="0"/>
          <w:sz w:val="24"/>
        </w:rPr>
      </w:pPr>
    </w:p>
    <w:p>
      <w:pPr>
        <w:pStyle w:val="2"/>
        <w:spacing w:after="0" w:line="460" w:lineRule="exact"/>
        <w:jc w:val="center"/>
        <w:rPr>
          <w:rFonts w:ascii="宋体" w:hAnsi="宋体"/>
          <w:b/>
          <w:snapToGrid w:val="0"/>
          <w:sz w:val="32"/>
        </w:rPr>
      </w:pPr>
      <w:r>
        <w:rPr>
          <w:rFonts w:hint="eastAsia" w:ascii="宋体" w:hAnsi="宋体"/>
          <w:b/>
          <w:snapToGrid w:val="0"/>
          <w:sz w:val="32"/>
        </w:rPr>
        <w:t>参加政府采购活动前三年内，在经营活动中没有</w:t>
      </w:r>
    </w:p>
    <w:p>
      <w:pPr>
        <w:pStyle w:val="2"/>
        <w:spacing w:after="0" w:line="460" w:lineRule="exact"/>
        <w:jc w:val="center"/>
        <w:rPr>
          <w:rFonts w:ascii="宋体" w:hAnsi="宋体"/>
          <w:b/>
          <w:snapToGrid w:val="0"/>
          <w:sz w:val="32"/>
        </w:rPr>
      </w:pPr>
      <w:r>
        <w:rPr>
          <w:rFonts w:hint="eastAsia" w:ascii="宋体" w:hAnsi="宋体"/>
          <w:b/>
          <w:snapToGrid w:val="0"/>
          <w:sz w:val="32"/>
        </w:rPr>
        <w:t>重大违法记录的书面声明</w:t>
      </w:r>
    </w:p>
    <w:p>
      <w:pPr>
        <w:spacing w:line="360" w:lineRule="exact"/>
        <w:jc w:val="left"/>
        <w:rPr>
          <w:rFonts w:ascii="宋体" w:hAnsi="宋体"/>
          <w:snapToGrid w:val="0"/>
          <w:kern w:val="0"/>
          <w:sz w:val="24"/>
          <w:u w:val="single"/>
        </w:rPr>
      </w:pPr>
    </w:p>
    <w:p>
      <w:pPr>
        <w:spacing w:line="360" w:lineRule="exact"/>
        <w:jc w:val="left"/>
        <w:rPr>
          <w:rFonts w:ascii="宋体" w:hAnsi="宋体"/>
          <w:snapToGrid w:val="0"/>
          <w:kern w:val="0"/>
          <w:sz w:val="24"/>
        </w:rPr>
      </w:pPr>
      <w:r>
        <w:rPr>
          <w:rFonts w:hint="eastAsia" w:ascii="宋体" w:hAnsi="宋体"/>
          <w:snapToGrid w:val="0"/>
          <w:kern w:val="0"/>
          <w:sz w:val="24"/>
        </w:rPr>
        <w:t>（采购人名称）：</w:t>
      </w:r>
    </w:p>
    <w:p>
      <w:pPr>
        <w:spacing w:line="500" w:lineRule="exact"/>
        <w:ind w:firstLine="480" w:firstLineChars="200"/>
        <w:jc w:val="left"/>
        <w:rPr>
          <w:rFonts w:ascii="宋体" w:hAnsi="宋体"/>
          <w:snapToGrid w:val="0"/>
          <w:kern w:val="0"/>
          <w:sz w:val="24"/>
        </w:rPr>
      </w:pPr>
    </w:p>
    <w:p>
      <w:pPr>
        <w:spacing w:line="500" w:lineRule="exact"/>
        <w:ind w:firstLine="480" w:firstLineChars="200"/>
        <w:jc w:val="left"/>
        <w:rPr>
          <w:rFonts w:ascii="宋体" w:hAnsi="宋体"/>
          <w:snapToGrid w:val="0"/>
          <w:kern w:val="0"/>
          <w:sz w:val="24"/>
        </w:rPr>
      </w:pPr>
      <w:r>
        <w:rPr>
          <w:rFonts w:hint="eastAsia" w:ascii="宋体" w:hAnsi="宋体"/>
          <w:snapToGrid w:val="0"/>
          <w:kern w:val="0"/>
          <w:sz w:val="24"/>
        </w:rPr>
        <w:t>我单位郑重声明：自本项目开标之日起向前追溯三年，我单位没有以下重大违法记录：因违法经营受到刑事处罚或者责令停产停业、吊销许可证或者执照、较大数额罚款等行政处罚。</w:t>
      </w:r>
    </w:p>
    <w:p>
      <w:pPr>
        <w:spacing w:line="500" w:lineRule="exact"/>
        <w:ind w:firstLine="480" w:firstLineChars="200"/>
        <w:jc w:val="left"/>
        <w:rPr>
          <w:rFonts w:ascii="宋体" w:hAnsi="宋体"/>
          <w:snapToGrid w:val="0"/>
          <w:kern w:val="0"/>
          <w:sz w:val="24"/>
        </w:rPr>
      </w:pPr>
    </w:p>
    <w:p>
      <w:pPr>
        <w:spacing w:line="500" w:lineRule="exact"/>
        <w:ind w:firstLine="480" w:firstLineChars="200"/>
        <w:jc w:val="left"/>
        <w:rPr>
          <w:rFonts w:ascii="宋体" w:hAnsi="宋体"/>
          <w:snapToGrid w:val="0"/>
          <w:kern w:val="0"/>
          <w:sz w:val="24"/>
        </w:rPr>
      </w:pPr>
      <w:r>
        <w:rPr>
          <w:rFonts w:hint="eastAsia" w:ascii="宋体" w:hAnsi="宋体"/>
          <w:snapToGrid w:val="0"/>
          <w:kern w:val="0"/>
          <w:sz w:val="24"/>
        </w:rPr>
        <w:t>注：</w:t>
      </w:r>
    </w:p>
    <w:p>
      <w:pPr>
        <w:spacing w:line="500" w:lineRule="exact"/>
        <w:ind w:firstLine="482" w:firstLineChars="200"/>
        <w:jc w:val="left"/>
        <w:rPr>
          <w:rFonts w:ascii="宋体" w:hAnsi="宋体"/>
          <w:b/>
          <w:snapToGrid w:val="0"/>
          <w:kern w:val="0"/>
          <w:sz w:val="24"/>
        </w:rPr>
      </w:pPr>
      <w:r>
        <w:rPr>
          <w:rFonts w:ascii="宋体" w:hAnsi="宋体"/>
          <w:b/>
          <w:snapToGrid w:val="0"/>
          <w:kern w:val="0"/>
          <w:sz w:val="24"/>
        </w:rPr>
        <w:t>1.</w:t>
      </w:r>
      <w:r>
        <w:rPr>
          <w:rFonts w:hint="eastAsia" w:ascii="宋体" w:hAnsi="宋体"/>
          <w:b/>
          <w:snapToGrid w:val="0"/>
          <w:kern w:val="0"/>
          <w:sz w:val="24"/>
        </w:rPr>
        <w:t>如不提供本声明函，将作无效报价处理。</w:t>
      </w:r>
    </w:p>
    <w:p>
      <w:pPr>
        <w:spacing w:line="500" w:lineRule="exact"/>
        <w:ind w:firstLine="480" w:firstLineChars="200"/>
        <w:jc w:val="left"/>
        <w:rPr>
          <w:rFonts w:ascii="宋体" w:hAnsi="宋体"/>
          <w:snapToGrid w:val="0"/>
          <w:kern w:val="0"/>
          <w:sz w:val="24"/>
        </w:rPr>
      </w:pPr>
      <w:r>
        <w:rPr>
          <w:rFonts w:ascii="宋体" w:hAnsi="宋体"/>
          <w:snapToGrid w:val="0"/>
          <w:kern w:val="0"/>
          <w:sz w:val="24"/>
        </w:rPr>
        <w:t>2.</w:t>
      </w:r>
      <w:r>
        <w:rPr>
          <w:rFonts w:hint="eastAsia" w:ascii="宋体" w:hAnsi="宋体"/>
          <w:snapToGrid w:val="0"/>
          <w:kern w:val="0"/>
          <w:sz w:val="24"/>
        </w:rPr>
        <w:t>响应人对其所声明内容的真实性负责。如响应人所声明内容不真实，则应承担相应的法律责任。</w:t>
      </w:r>
    </w:p>
    <w:p>
      <w:pPr>
        <w:rPr>
          <w:rFonts w:ascii="宋体" w:hAnsi="宋体"/>
          <w:snapToGrid w:val="0"/>
          <w:kern w:val="0"/>
          <w:sz w:val="24"/>
        </w:rPr>
      </w:pPr>
    </w:p>
    <w:p>
      <w:pPr>
        <w:rPr>
          <w:rFonts w:ascii="宋体" w:hAnsi="宋体"/>
          <w:snapToGrid w:val="0"/>
          <w:kern w:val="0"/>
          <w:sz w:val="24"/>
        </w:rPr>
      </w:pPr>
    </w:p>
    <w:p>
      <w:pPr>
        <w:rPr>
          <w:rFonts w:ascii="宋体" w:hAnsi="宋体"/>
          <w:snapToGrid w:val="0"/>
          <w:kern w:val="0"/>
          <w:sz w:val="24"/>
        </w:rPr>
      </w:pPr>
    </w:p>
    <w:p>
      <w:pPr>
        <w:tabs>
          <w:tab w:val="left" w:pos="2977"/>
          <w:tab w:val="left" w:pos="3261"/>
        </w:tabs>
        <w:spacing w:line="360" w:lineRule="auto"/>
        <w:jc w:val="left"/>
        <w:rPr>
          <w:rFonts w:ascii="宋体" w:hAnsi="宋体"/>
          <w:snapToGrid w:val="0"/>
          <w:kern w:val="0"/>
          <w:sz w:val="24"/>
        </w:rPr>
      </w:pPr>
      <w:r>
        <w:rPr>
          <w:rFonts w:hint="eastAsia" w:ascii="宋体" w:hAnsi="宋体"/>
          <w:snapToGrid w:val="0"/>
          <w:kern w:val="0"/>
          <w:sz w:val="24"/>
        </w:rPr>
        <w:t>响应人名称：（公章）</w:t>
      </w:r>
    </w:p>
    <w:p>
      <w:pPr>
        <w:spacing w:line="360" w:lineRule="auto"/>
        <w:jc w:val="left"/>
        <w:rPr>
          <w:rFonts w:ascii="宋体" w:hAnsi="宋体"/>
          <w:snapToGrid w:val="0"/>
          <w:kern w:val="0"/>
          <w:sz w:val="24"/>
        </w:rPr>
      </w:pPr>
      <w:r>
        <w:rPr>
          <w:rFonts w:hint="eastAsia" w:ascii="宋体" w:hAnsi="宋体"/>
          <w:snapToGrid w:val="0"/>
          <w:kern w:val="0"/>
          <w:sz w:val="24"/>
        </w:rPr>
        <w:t>法定代表人或其委托代理人签字或盖章：</w:t>
      </w:r>
    </w:p>
    <w:p>
      <w:pPr>
        <w:spacing w:line="360" w:lineRule="exact"/>
        <w:jc w:val="left"/>
        <w:rPr>
          <w:rFonts w:ascii="宋体" w:hAnsi="宋体"/>
          <w:snapToGrid w:val="0"/>
          <w:kern w:val="0"/>
          <w:sz w:val="24"/>
        </w:rPr>
      </w:pPr>
    </w:p>
    <w:p>
      <w:pPr>
        <w:spacing w:line="360" w:lineRule="auto"/>
        <w:jc w:val="right"/>
        <w:rPr>
          <w:rFonts w:ascii="宋体" w:hAnsi="宋体" w:cs="宋体"/>
          <w:snapToGrid w:val="0"/>
          <w:kern w:val="0"/>
          <w:sz w:val="24"/>
        </w:rPr>
      </w:pPr>
      <w:r>
        <w:rPr>
          <w:rFonts w:hint="eastAsia" w:ascii="宋体" w:hAnsi="宋体"/>
          <w:snapToGrid w:val="0"/>
          <w:kern w:val="0"/>
          <w:sz w:val="24"/>
        </w:rPr>
        <w:t>年 月 日</w:t>
      </w:r>
    </w:p>
    <w:p>
      <w:pPr>
        <w:rPr>
          <w:rFonts w:ascii="宋体" w:hAnsi="宋体"/>
          <w:b/>
          <w:bCs/>
          <w:sz w:val="24"/>
          <w:szCs w:val="21"/>
        </w:rPr>
      </w:pPr>
      <w:r>
        <w:rPr>
          <w:rFonts w:hint="eastAsia" w:hAnsi="宋体"/>
        </w:rPr>
        <w:br w:type="page"/>
      </w:r>
      <w:r>
        <w:rPr>
          <w:rFonts w:hint="eastAsia" w:hAnsi="宋体"/>
        </w:rPr>
        <w:t>6、</w:t>
      </w:r>
      <w:r>
        <w:rPr>
          <w:rFonts w:hint="eastAsia" w:hAnsi="宋体"/>
          <w:bCs/>
          <w:snapToGrid w:val="0"/>
        </w:rPr>
        <w:t>磋商文件要求的其他资格证明文件（如有）</w:t>
      </w:r>
    </w:p>
    <w:p>
      <w:pPr>
        <w:widowControl/>
        <w:jc w:val="left"/>
        <w:outlineLvl w:val="1"/>
        <w:rPr>
          <w:rFonts w:ascii="宋体" w:hAnsi="宋体"/>
          <w:kern w:val="0"/>
          <w:sz w:val="24"/>
          <w:szCs w:val="21"/>
        </w:rPr>
      </w:pPr>
      <w:bookmarkStart w:id="215" w:name="_Toc60585235"/>
      <w:r>
        <w:rPr>
          <w:rFonts w:hint="eastAsia" w:ascii="宋体" w:hAnsi="宋体"/>
          <w:b/>
          <w:bCs/>
          <w:sz w:val="24"/>
          <w:szCs w:val="21"/>
        </w:rPr>
        <w:br w:type="page"/>
      </w:r>
      <w:bookmarkEnd w:id="215"/>
      <w:bookmarkStart w:id="216" w:name="_Toc13080"/>
      <w:bookmarkStart w:id="217" w:name="_Toc60585236"/>
      <w:bookmarkStart w:id="218" w:name="_Toc10363"/>
      <w:bookmarkStart w:id="219" w:name="_Toc22785"/>
      <w:r>
        <w:rPr>
          <w:rFonts w:hint="eastAsia" w:ascii="宋体" w:hAnsi="宋体"/>
          <w:b/>
          <w:bCs/>
          <w:kern w:val="0"/>
          <w:sz w:val="24"/>
          <w:szCs w:val="21"/>
        </w:rPr>
        <w:t>格式十二：响应文件封套标记参考格式</w:t>
      </w:r>
      <w:bookmarkEnd w:id="216"/>
      <w:bookmarkEnd w:id="217"/>
      <w:bookmarkEnd w:id="218"/>
      <w:bookmarkEnd w:id="219"/>
    </w:p>
    <w:p>
      <w:pPr>
        <w:pStyle w:val="32"/>
        <w:spacing w:line="240" w:lineRule="auto"/>
        <w:ind w:left="0" w:leftChars="0" w:firstLine="0" w:firstLineChars="0"/>
        <w:jc w:val="center"/>
        <w:rPr>
          <w:rFonts w:ascii="宋体" w:hAnsi="宋体"/>
          <w:sz w:val="32"/>
          <w:szCs w:val="32"/>
        </w:rPr>
      </w:pPr>
      <w:r>
        <w:rPr>
          <w:rFonts w:hint="eastAsia" w:ascii="宋体" w:hAnsi="宋体"/>
          <w:sz w:val="32"/>
          <w:szCs w:val="32"/>
        </w:rPr>
        <w:t>响应文件封套标记参考格式</w:t>
      </w:r>
    </w:p>
    <w:tbl>
      <w:tblPr>
        <w:tblStyle w:val="75"/>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trPr>
        <w:tc>
          <w:tcPr>
            <w:tcW w:w="4285" w:type="dxa"/>
          </w:tcPr>
          <w:p>
            <w:pPr>
              <w:pStyle w:val="32"/>
              <w:spacing w:line="240" w:lineRule="auto"/>
              <w:ind w:left="0" w:leftChars="0" w:firstLine="0" w:firstLineChars="0"/>
              <w:jc w:val="left"/>
              <w:rPr>
                <w:rFonts w:ascii="宋体" w:hAnsi="宋体"/>
                <w:b/>
                <w:kern w:val="2"/>
                <w:sz w:val="30"/>
              </w:rPr>
            </w:pPr>
            <w:r>
              <w:rPr>
                <w:rFonts w:hint="eastAsia" w:ascii="宋体" w:hAnsi="宋体"/>
                <w:b/>
                <w:kern w:val="2"/>
                <w:sz w:val="30"/>
              </w:rPr>
              <w:t>响应文件</w:t>
            </w:r>
          </w:p>
          <w:p>
            <w:pPr>
              <w:pStyle w:val="32"/>
              <w:spacing w:line="240" w:lineRule="auto"/>
              <w:ind w:left="0" w:leftChars="0" w:firstLine="0" w:firstLineChars="0"/>
              <w:jc w:val="left"/>
              <w:rPr>
                <w:rFonts w:ascii="宋体" w:hAnsi="宋体"/>
                <w:kern w:val="2"/>
                <w:sz w:val="30"/>
              </w:rPr>
            </w:pPr>
            <w:r>
              <w:rPr>
                <w:rFonts w:hint="eastAsia" w:ascii="宋体" w:hAnsi="宋体"/>
                <w:b/>
                <w:kern w:val="2"/>
                <w:sz w:val="30"/>
              </w:rPr>
              <w:t>（正本）</w:t>
            </w:r>
          </w:p>
          <w:p>
            <w:pPr>
              <w:pStyle w:val="32"/>
              <w:spacing w:line="240" w:lineRule="auto"/>
              <w:ind w:left="1747" w:firstLine="353"/>
              <w:jc w:val="left"/>
              <w:rPr>
                <w:rFonts w:ascii="宋体" w:hAnsi="宋体"/>
                <w:kern w:val="2"/>
                <w:sz w:val="18"/>
              </w:rPr>
            </w:pP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项目编号：</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项目名称：</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响应人名称（公章）：</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地址：</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电话：</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传真：</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邮编：</w:t>
            </w:r>
          </w:p>
        </w:tc>
        <w:tc>
          <w:tcPr>
            <w:tcW w:w="4775" w:type="dxa"/>
          </w:tcPr>
          <w:p>
            <w:pPr>
              <w:pStyle w:val="32"/>
              <w:spacing w:line="240" w:lineRule="auto"/>
              <w:ind w:left="0" w:leftChars="0" w:firstLine="0" w:firstLineChars="0"/>
              <w:jc w:val="left"/>
              <w:rPr>
                <w:rFonts w:ascii="宋体" w:hAnsi="宋体"/>
                <w:b/>
                <w:kern w:val="2"/>
                <w:sz w:val="30"/>
              </w:rPr>
            </w:pPr>
            <w:r>
              <w:rPr>
                <w:rFonts w:hint="eastAsia" w:ascii="宋体" w:hAnsi="宋体"/>
                <w:b/>
                <w:kern w:val="2"/>
                <w:sz w:val="30"/>
              </w:rPr>
              <w:t>响应文件</w:t>
            </w:r>
          </w:p>
          <w:p>
            <w:pPr>
              <w:pStyle w:val="32"/>
              <w:spacing w:line="240" w:lineRule="auto"/>
              <w:ind w:left="0" w:leftChars="0" w:firstLine="0" w:firstLineChars="0"/>
              <w:jc w:val="left"/>
              <w:rPr>
                <w:rFonts w:ascii="宋体" w:hAnsi="宋体"/>
                <w:kern w:val="2"/>
                <w:sz w:val="30"/>
              </w:rPr>
            </w:pPr>
            <w:r>
              <w:rPr>
                <w:rFonts w:hint="eastAsia" w:ascii="宋体" w:hAnsi="宋体"/>
                <w:b/>
                <w:kern w:val="2"/>
                <w:sz w:val="30"/>
              </w:rPr>
              <w:t>（副本）</w:t>
            </w:r>
          </w:p>
          <w:p>
            <w:pPr>
              <w:pStyle w:val="32"/>
              <w:spacing w:line="240" w:lineRule="auto"/>
              <w:ind w:left="1747" w:firstLine="353"/>
              <w:jc w:val="left"/>
              <w:rPr>
                <w:rFonts w:ascii="宋体" w:hAnsi="宋体"/>
                <w:kern w:val="2"/>
                <w:sz w:val="18"/>
              </w:rPr>
            </w:pP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项目编号：</w:t>
            </w:r>
          </w:p>
          <w:p>
            <w:pPr>
              <w:pStyle w:val="32"/>
              <w:spacing w:line="400" w:lineRule="exact"/>
              <w:ind w:left="0" w:leftChars="0" w:firstLine="0" w:firstLineChars="0"/>
              <w:rPr>
                <w:rFonts w:ascii="宋体" w:hAnsi="宋体"/>
                <w:kern w:val="2"/>
                <w:sz w:val="24"/>
              </w:rPr>
            </w:pPr>
            <w:r>
              <w:rPr>
                <w:rFonts w:hint="eastAsia" w:ascii="宋体" w:hAnsi="宋体"/>
                <w:kern w:val="2"/>
                <w:sz w:val="24"/>
              </w:rPr>
              <w:t>项目名称：</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响应人名称（公章）：</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地址：</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电话：</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传真：</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邮编：</w:t>
            </w:r>
          </w:p>
        </w:tc>
      </w:tr>
    </w:tbl>
    <w:p>
      <w:pPr>
        <w:pStyle w:val="32"/>
        <w:spacing w:line="240" w:lineRule="auto"/>
        <w:ind w:left="1747" w:firstLine="392"/>
        <w:rPr>
          <w:rFonts w:ascii="宋体" w:hAnsi="宋体"/>
        </w:rPr>
      </w:pPr>
    </w:p>
    <w:tbl>
      <w:tblPr>
        <w:tblStyle w:val="75"/>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trPr>
        <w:tc>
          <w:tcPr>
            <w:tcW w:w="4285" w:type="dxa"/>
          </w:tcPr>
          <w:p>
            <w:pPr>
              <w:pStyle w:val="32"/>
              <w:spacing w:line="400" w:lineRule="exact"/>
              <w:ind w:left="0" w:leftChars="0" w:firstLine="0" w:firstLineChars="0"/>
              <w:jc w:val="left"/>
              <w:rPr>
                <w:rFonts w:ascii="宋体" w:hAnsi="宋体"/>
                <w:kern w:val="2"/>
                <w:sz w:val="24"/>
              </w:rPr>
            </w:pPr>
          </w:p>
          <w:p>
            <w:pPr>
              <w:pStyle w:val="32"/>
              <w:spacing w:line="400" w:lineRule="exact"/>
              <w:ind w:left="0" w:leftChars="0" w:firstLine="0" w:firstLineChars="0"/>
              <w:jc w:val="left"/>
              <w:rPr>
                <w:rFonts w:ascii="宋体" w:hAnsi="宋体"/>
                <w:b/>
                <w:kern w:val="2"/>
                <w:sz w:val="24"/>
              </w:rPr>
            </w:pPr>
            <w:r>
              <w:rPr>
                <w:rFonts w:hint="eastAsia" w:ascii="宋体" w:hAnsi="宋体"/>
                <w:b/>
                <w:kern w:val="2"/>
                <w:sz w:val="32"/>
              </w:rPr>
              <w:t>首轮报价一览表</w:t>
            </w:r>
          </w:p>
          <w:p>
            <w:pPr>
              <w:pStyle w:val="32"/>
              <w:spacing w:line="400" w:lineRule="exact"/>
              <w:ind w:left="0" w:leftChars="0" w:firstLine="0" w:firstLineChars="0"/>
              <w:jc w:val="left"/>
              <w:rPr>
                <w:rFonts w:ascii="宋体" w:hAnsi="宋体"/>
                <w:kern w:val="2"/>
                <w:sz w:val="24"/>
              </w:rPr>
            </w:pP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项目编号：</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项目名称：</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响应人名称（公章）：</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地址：</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电话：</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传真：</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邮编：</w:t>
            </w:r>
          </w:p>
          <w:p>
            <w:pPr>
              <w:pStyle w:val="32"/>
              <w:spacing w:line="400" w:lineRule="exact"/>
              <w:ind w:left="0" w:leftChars="0" w:firstLine="0" w:firstLineChars="0"/>
              <w:jc w:val="left"/>
              <w:rPr>
                <w:rFonts w:ascii="宋体" w:hAnsi="宋体"/>
                <w:kern w:val="2"/>
                <w:sz w:val="24"/>
              </w:rPr>
            </w:pPr>
          </w:p>
        </w:tc>
        <w:tc>
          <w:tcPr>
            <w:tcW w:w="4775" w:type="dxa"/>
          </w:tcPr>
          <w:p>
            <w:pPr>
              <w:pStyle w:val="32"/>
              <w:spacing w:line="400" w:lineRule="exact"/>
              <w:ind w:left="0" w:leftChars="0" w:firstLine="0" w:firstLineChars="0"/>
              <w:jc w:val="left"/>
              <w:rPr>
                <w:rFonts w:ascii="宋体" w:hAnsi="宋体"/>
                <w:b/>
                <w:kern w:val="2"/>
                <w:sz w:val="32"/>
              </w:rPr>
            </w:pPr>
          </w:p>
          <w:p>
            <w:pPr>
              <w:pStyle w:val="32"/>
              <w:spacing w:line="400" w:lineRule="exact"/>
              <w:ind w:left="0" w:leftChars="0" w:firstLine="0" w:firstLineChars="0"/>
              <w:jc w:val="left"/>
              <w:rPr>
                <w:rFonts w:ascii="宋体" w:hAnsi="宋体"/>
                <w:b/>
                <w:kern w:val="2"/>
                <w:sz w:val="32"/>
              </w:rPr>
            </w:pPr>
            <w:r>
              <w:rPr>
                <w:rFonts w:hint="eastAsia" w:ascii="宋体" w:hAnsi="宋体"/>
                <w:b/>
                <w:kern w:val="2"/>
                <w:sz w:val="32"/>
              </w:rPr>
              <w:t>响应文件电子文档</w:t>
            </w:r>
          </w:p>
          <w:p>
            <w:pPr>
              <w:pStyle w:val="32"/>
              <w:spacing w:line="400" w:lineRule="exact"/>
              <w:ind w:left="0" w:leftChars="0" w:firstLine="0" w:firstLineChars="0"/>
              <w:jc w:val="left"/>
              <w:rPr>
                <w:rFonts w:ascii="宋体" w:hAnsi="宋体"/>
                <w:kern w:val="2"/>
                <w:sz w:val="24"/>
              </w:rPr>
            </w:pP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项目编号：</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项目名称：</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响应人名称（公章）：</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地址：</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电话：</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传真：</w:t>
            </w:r>
          </w:p>
          <w:p>
            <w:pPr>
              <w:pStyle w:val="32"/>
              <w:spacing w:line="400" w:lineRule="exact"/>
              <w:ind w:left="0" w:leftChars="0" w:firstLine="0" w:firstLineChars="0"/>
              <w:jc w:val="left"/>
              <w:rPr>
                <w:rFonts w:ascii="宋体" w:hAnsi="宋体"/>
                <w:kern w:val="2"/>
                <w:sz w:val="24"/>
              </w:rPr>
            </w:pPr>
            <w:r>
              <w:rPr>
                <w:rFonts w:hint="eastAsia" w:ascii="宋体" w:hAnsi="宋体"/>
                <w:kern w:val="2"/>
                <w:sz w:val="24"/>
              </w:rPr>
              <w:t>邮编：</w:t>
            </w:r>
          </w:p>
          <w:p>
            <w:pPr>
              <w:pStyle w:val="32"/>
              <w:spacing w:line="400" w:lineRule="exact"/>
              <w:ind w:left="0" w:leftChars="0" w:firstLine="0" w:firstLineChars="0"/>
              <w:jc w:val="left"/>
              <w:rPr>
                <w:rFonts w:ascii="宋体" w:hAnsi="宋体"/>
                <w:kern w:val="2"/>
                <w:sz w:val="24"/>
              </w:rPr>
            </w:pPr>
          </w:p>
        </w:tc>
      </w:tr>
    </w:tbl>
    <w:p>
      <w:pPr>
        <w:pStyle w:val="32"/>
        <w:spacing w:line="240" w:lineRule="auto"/>
        <w:ind w:left="1747" w:firstLine="392"/>
        <w:rPr>
          <w:rFonts w:ascii="宋体" w:hAnsi="宋体"/>
        </w:rPr>
      </w:pPr>
    </w:p>
    <w:p>
      <w:pPr>
        <w:pStyle w:val="32"/>
        <w:spacing w:line="240" w:lineRule="auto"/>
        <w:ind w:left="0" w:leftChars="0" w:firstLine="0" w:firstLineChars="0"/>
        <w:rPr>
          <w:rFonts w:ascii="宋体" w:hAnsi="宋体"/>
          <w:b/>
          <w:bCs/>
          <w:sz w:val="32"/>
        </w:rPr>
      </w:pPr>
      <w:r>
        <w:rPr>
          <w:rFonts w:hint="eastAsia" w:ascii="宋体" w:hAnsi="宋体"/>
          <w:b/>
          <w:bCs/>
          <w:sz w:val="32"/>
        </w:rPr>
        <w:t>封口格式：</w:t>
      </w:r>
    </w:p>
    <w:tbl>
      <w:tblPr>
        <w:tblStyle w:val="75"/>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vAlign w:val="center"/>
          </w:tcPr>
          <w:p>
            <w:pPr>
              <w:pStyle w:val="32"/>
              <w:spacing w:line="240" w:lineRule="auto"/>
              <w:ind w:left="0" w:leftChars="0" w:firstLine="0" w:firstLineChars="0"/>
              <w:rPr>
                <w:rFonts w:ascii="宋体" w:hAnsi="宋体"/>
                <w:kern w:val="2"/>
                <w:sz w:val="24"/>
              </w:rPr>
            </w:pPr>
            <w:r>
              <w:rPr>
                <w:rFonts w:hint="eastAsia" w:ascii="宋体" w:hAnsi="宋体"/>
                <w:kern w:val="2"/>
                <w:sz w:val="24"/>
              </w:rPr>
              <w:t>……………………</w:t>
            </w:r>
            <w:r>
              <w:rPr>
                <w:rFonts w:hint="eastAsia" w:ascii="宋体" w:hAnsi="宋体"/>
                <w:sz w:val="24"/>
              </w:rPr>
              <w:t>响应文件递交截止时间前不准启封</w:t>
            </w:r>
            <w:r>
              <w:rPr>
                <w:rFonts w:hint="eastAsia" w:ascii="宋体" w:hAnsi="宋体"/>
                <w:kern w:val="2"/>
                <w:sz w:val="24"/>
              </w:rPr>
              <w:t>（公章）…………………</w:t>
            </w:r>
          </w:p>
        </w:tc>
      </w:tr>
    </w:tbl>
    <w:p>
      <w:pPr>
        <w:pStyle w:val="137"/>
      </w:pPr>
    </w:p>
    <w:sectPr>
      <w:headerReference r:id="rId8" w:type="default"/>
      <w:pgSz w:w="11907" w:h="16840"/>
      <w:pgMar w:top="1230" w:right="1418" w:bottom="1134" w:left="1418" w:header="851" w:footer="851" w:gutter="0"/>
      <w:cols w:space="720" w:num="1"/>
      <w:docGrid w:type="lines" w:linePitch="290" w:charSpace="-39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rPr>
        <w:rStyle w:val="122"/>
      </w:rPr>
    </w:pPr>
    <w:r>
      <w:fldChar w:fldCharType="begin"/>
    </w:r>
    <w:r>
      <w:rPr>
        <w:rStyle w:val="122"/>
      </w:rPr>
      <w:instrText xml:space="preserve">PAGE  </w:instrText>
    </w:r>
    <w:r>
      <w:fldChar w:fldCharType="end"/>
    </w:r>
  </w:p>
  <w:p>
    <w:pPr>
      <w:pStyle w:val="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7"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50"/>
                            <w:rPr>
                              <w:rStyle w:val="122"/>
                            </w:rPr>
                          </w:pPr>
                          <w:r>
                            <w:fldChar w:fldCharType="begin"/>
                          </w:r>
                          <w:r>
                            <w:rPr>
                              <w:rStyle w:val="122"/>
                            </w:rPr>
                            <w:instrText xml:space="preserve">PAGE  </w:instrText>
                          </w:r>
                          <w:r>
                            <w:fldChar w:fldCharType="separate"/>
                          </w:r>
                          <w:r>
                            <w:rPr>
                              <w:rStyle w:val="122"/>
                            </w:rPr>
                            <w:t>36</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IXNvbTAQAApAMAAA4AAAAAAAAAAQAgAAAAHwEA&#10;AGRycy9lMm9Eb2MueG1sUEsFBgAAAAAGAAYAWQEAAGQFAAAAAA==&#10;">
              <v:fill on="f" focussize="0,0"/>
              <v:stroke on="f"/>
              <v:imagedata o:title=""/>
              <o:lock v:ext="edit" aspectratio="f"/>
              <v:textbox inset="0mm,0mm,0mm,0mm" style="mso-fit-shape-to-text:t;">
                <w:txbxContent>
                  <w:p>
                    <w:pPr>
                      <w:pStyle w:val="50"/>
                      <w:rPr>
                        <w:rStyle w:val="122"/>
                      </w:rPr>
                    </w:pPr>
                    <w:r>
                      <w:fldChar w:fldCharType="begin"/>
                    </w:r>
                    <w:r>
                      <w:rPr>
                        <w:rStyle w:val="122"/>
                      </w:rPr>
                      <w:instrText xml:space="preserve">PAGE  </w:instrText>
                    </w:r>
                    <w:r>
                      <w:fldChar w:fldCharType="separate"/>
                    </w:r>
                    <w:r>
                      <w:rPr>
                        <w:rStyle w:val="122"/>
                      </w:rP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both"/>
      <w:rPr>
        <w:rFonts w:ascii="宋体" w:hAnsi="宋体"/>
        <w:b/>
        <w:sz w:val="21"/>
        <w:szCs w:val="21"/>
      </w:rPr>
    </w:pPr>
    <w:r>
      <w:rPr>
        <w:rFonts w:ascii="宋体" w:cs="宋体"/>
        <w:b/>
        <w:sz w:val="52"/>
      </w:rPr>
      <w:drawing>
        <wp:anchor distT="0" distB="0" distL="114300" distR="114300" simplePos="0" relativeHeight="251661312" behindDoc="0" locked="0" layoutInCell="1" allowOverlap="1">
          <wp:simplePos x="0" y="0"/>
          <wp:positionH relativeFrom="column">
            <wp:posOffset>-24130</wp:posOffset>
          </wp:positionH>
          <wp:positionV relativeFrom="paragraph">
            <wp:posOffset>-159385</wp:posOffset>
          </wp:positionV>
          <wp:extent cx="399415" cy="428625"/>
          <wp:effectExtent l="0" t="0" r="635" b="9525"/>
          <wp:wrapNone/>
          <wp:docPr id="4" name="图片 4" descr="海逸恒安LOGO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海逸恒安LOGO最新"/>
                  <pic:cNvPicPr>
                    <a:picLocks noChangeAspect="1" noChangeArrowheads="1"/>
                  </pic:cNvPicPr>
                </pic:nvPicPr>
                <pic:blipFill>
                  <a:blip r:embed="rId1"/>
                  <a:srcRect l="16122" t="4205" r="6996" b="6627"/>
                  <a:stretch>
                    <a:fillRect/>
                  </a:stretch>
                </pic:blipFill>
                <pic:spPr>
                  <a:xfrm>
                    <a:off x="0" y="0"/>
                    <a:ext cx="399415" cy="428625"/>
                  </a:xfrm>
                  <a:prstGeom prst="rect">
                    <a:avLst/>
                  </a:prstGeom>
                  <a:noFill/>
                  <a:ln w="9525" cmpd="sng">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both"/>
      <w:rPr>
        <w:rFonts w:ascii="宋体" w:hAnsi="宋体"/>
        <w:b/>
        <w:sz w:val="21"/>
        <w:szCs w:val="21"/>
      </w:rPr>
    </w:pPr>
    <w:r>
      <w:rPr>
        <w:rFonts w:ascii="宋体" w:cs="宋体"/>
        <w:b/>
        <w:sz w:val="52"/>
      </w:rPr>
      <w:drawing>
        <wp:anchor distT="0" distB="0" distL="114300" distR="114300" simplePos="0" relativeHeight="251659264" behindDoc="0" locked="0" layoutInCell="1" allowOverlap="1">
          <wp:simplePos x="0" y="0"/>
          <wp:positionH relativeFrom="column">
            <wp:posOffset>-24130</wp:posOffset>
          </wp:positionH>
          <wp:positionV relativeFrom="paragraph">
            <wp:posOffset>-159385</wp:posOffset>
          </wp:positionV>
          <wp:extent cx="399415" cy="428625"/>
          <wp:effectExtent l="19050" t="0" r="635" b="0"/>
          <wp:wrapNone/>
          <wp:docPr id="1" name="图片 1" descr="海逸恒安LOGO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海逸恒安LOGO最新"/>
                  <pic:cNvPicPr>
                    <a:picLocks noChangeAspect="1" noChangeArrowheads="1"/>
                  </pic:cNvPicPr>
                </pic:nvPicPr>
                <pic:blipFill>
                  <a:blip r:embed="rId1"/>
                  <a:srcRect l="16122" t="4205" r="6996" b="6627"/>
                  <a:stretch>
                    <a:fillRect/>
                  </a:stretch>
                </pic:blipFill>
                <pic:spPr>
                  <a:xfrm>
                    <a:off x="0" y="0"/>
                    <a:ext cx="399415" cy="428625"/>
                  </a:xfrm>
                  <a:prstGeom prst="rect">
                    <a:avLst/>
                  </a:prstGeom>
                  <a:noFill/>
                  <a:ln w="9525" cmpd="sng">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085E15"/>
    <w:multiLevelType w:val="singleLevel"/>
    <w:tmpl w:val="A7085E15"/>
    <w:lvl w:ilvl="0" w:tentative="0">
      <w:start w:val="4"/>
      <w:numFmt w:val="chineseCounting"/>
      <w:suff w:val="nothing"/>
      <w:lvlText w:val="（%1）"/>
      <w:lvlJc w:val="left"/>
      <w:rPr>
        <w:rFonts w:hint="eastAsia"/>
      </w:rPr>
    </w:lvl>
  </w:abstractNum>
  <w:abstractNum w:abstractNumId="1">
    <w:nsid w:val="229F5DE5"/>
    <w:multiLevelType w:val="multilevel"/>
    <w:tmpl w:val="229F5DE5"/>
    <w:lvl w:ilvl="0" w:tentative="0">
      <w:start w:val="3"/>
      <w:numFmt w:val="decimal"/>
      <w:pStyle w:val="44"/>
      <w:lvlText w:val="%1．"/>
      <w:lvlJc w:val="left"/>
      <w:pPr>
        <w:tabs>
          <w:tab w:val="left" w:pos="360"/>
        </w:tabs>
        <w:ind w:left="360" w:hanging="360"/>
      </w:pPr>
      <w:rPr>
        <w:rFonts w:hint="default" w:cs="Times New Roman"/>
      </w:rPr>
    </w:lvl>
    <w:lvl w:ilvl="1" w:tentative="0">
      <w:start w:val="1"/>
      <w:numFmt w:val="lowerLetter"/>
      <w:pStyle w:val="236"/>
      <w:lvlText w:val="%2)"/>
      <w:lvlJc w:val="left"/>
      <w:pPr>
        <w:tabs>
          <w:tab w:val="left" w:pos="840"/>
        </w:tabs>
        <w:ind w:left="840" w:hanging="420"/>
      </w:pPr>
      <w:rPr>
        <w:rFonts w:cs="Times New Roman"/>
      </w:rPr>
    </w:lvl>
    <w:lvl w:ilvl="2" w:tentative="0">
      <w:start w:val="1"/>
      <w:numFmt w:val="lowerRoman"/>
      <w:pStyle w:val="280"/>
      <w:lvlText w:val="%3."/>
      <w:lvlJc w:val="right"/>
      <w:pPr>
        <w:tabs>
          <w:tab w:val="left" w:pos="1260"/>
        </w:tabs>
        <w:ind w:left="1260" w:hanging="420"/>
      </w:pPr>
      <w:rPr>
        <w:rFonts w:cs="Times New Roman"/>
      </w:rPr>
    </w:lvl>
    <w:lvl w:ilvl="3" w:tentative="0">
      <w:start w:val="1"/>
      <w:numFmt w:val="decimal"/>
      <w:pStyle w:val="216"/>
      <w:lvlText w:val="%4."/>
      <w:lvlJc w:val="left"/>
      <w:pPr>
        <w:tabs>
          <w:tab w:val="left" w:pos="1680"/>
        </w:tabs>
        <w:ind w:left="1680" w:hanging="420"/>
      </w:pPr>
      <w:rPr>
        <w:rFonts w:cs="Times New Roman"/>
      </w:rPr>
    </w:lvl>
    <w:lvl w:ilvl="4" w:tentative="0">
      <w:start w:val="1"/>
      <w:numFmt w:val="lowerLetter"/>
      <w:pStyle w:val="215"/>
      <w:lvlText w:val="%5)"/>
      <w:lvlJc w:val="left"/>
      <w:pPr>
        <w:tabs>
          <w:tab w:val="left" w:pos="2100"/>
        </w:tabs>
        <w:ind w:left="2100" w:hanging="420"/>
      </w:pPr>
      <w:rPr>
        <w:rFonts w:cs="Times New Roman"/>
      </w:rPr>
    </w:lvl>
    <w:lvl w:ilvl="5" w:tentative="0">
      <w:start w:val="1"/>
      <w:numFmt w:val="lowerRoman"/>
      <w:pStyle w:val="260"/>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AA75E1B"/>
    <w:multiLevelType w:val="singleLevel"/>
    <w:tmpl w:val="5AA75E1B"/>
    <w:lvl w:ilvl="0" w:tentative="0">
      <w:start w:val="1"/>
      <w:numFmt w:val="decimal"/>
      <w:suff w:val="nothing"/>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0"/>
  <w:drawingGridHorizontalSpacing w:val="191"/>
  <w:drawingGridVerticalSpacing w:val="145"/>
  <w:displayHorizontalDrawingGridEvery w:val="1"/>
  <w:displayVerticalDrawingGridEvery w:val="1"/>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mNGQ1NDIyMzA5NjcxMmM2OTA1YTAxNzc3ZjMyZWQifQ=="/>
  </w:docVars>
  <w:rsids>
    <w:rsidRoot w:val="00B9162F"/>
    <w:rsid w:val="000009EA"/>
    <w:rsid w:val="00001570"/>
    <w:rsid w:val="00001B37"/>
    <w:rsid w:val="00002344"/>
    <w:rsid w:val="00002350"/>
    <w:rsid w:val="000026C3"/>
    <w:rsid w:val="000027CE"/>
    <w:rsid w:val="00003971"/>
    <w:rsid w:val="000043B0"/>
    <w:rsid w:val="00005A6F"/>
    <w:rsid w:val="00005CE6"/>
    <w:rsid w:val="00007080"/>
    <w:rsid w:val="000071C5"/>
    <w:rsid w:val="00007867"/>
    <w:rsid w:val="00007958"/>
    <w:rsid w:val="0001010F"/>
    <w:rsid w:val="000107DF"/>
    <w:rsid w:val="000108A7"/>
    <w:rsid w:val="00011230"/>
    <w:rsid w:val="00011CCF"/>
    <w:rsid w:val="00012AD5"/>
    <w:rsid w:val="0001316F"/>
    <w:rsid w:val="000132D4"/>
    <w:rsid w:val="00013F12"/>
    <w:rsid w:val="00013F6C"/>
    <w:rsid w:val="000142C2"/>
    <w:rsid w:val="0001467B"/>
    <w:rsid w:val="000146C2"/>
    <w:rsid w:val="000148D8"/>
    <w:rsid w:val="00015085"/>
    <w:rsid w:val="00015188"/>
    <w:rsid w:val="000154D7"/>
    <w:rsid w:val="00015E1A"/>
    <w:rsid w:val="00016B7F"/>
    <w:rsid w:val="00016FFA"/>
    <w:rsid w:val="00017221"/>
    <w:rsid w:val="0001728C"/>
    <w:rsid w:val="00017880"/>
    <w:rsid w:val="0002169C"/>
    <w:rsid w:val="00022410"/>
    <w:rsid w:val="000227C5"/>
    <w:rsid w:val="00022FFB"/>
    <w:rsid w:val="00023ED5"/>
    <w:rsid w:val="00024146"/>
    <w:rsid w:val="0002456C"/>
    <w:rsid w:val="00024AB5"/>
    <w:rsid w:val="00024EE4"/>
    <w:rsid w:val="00026173"/>
    <w:rsid w:val="00027FCE"/>
    <w:rsid w:val="00031311"/>
    <w:rsid w:val="000318B5"/>
    <w:rsid w:val="000318DF"/>
    <w:rsid w:val="000319A9"/>
    <w:rsid w:val="00031F00"/>
    <w:rsid w:val="000329A4"/>
    <w:rsid w:val="00032B55"/>
    <w:rsid w:val="00032BAF"/>
    <w:rsid w:val="000332A8"/>
    <w:rsid w:val="0003473D"/>
    <w:rsid w:val="00034D65"/>
    <w:rsid w:val="00034DD1"/>
    <w:rsid w:val="000350C2"/>
    <w:rsid w:val="000352BA"/>
    <w:rsid w:val="00035833"/>
    <w:rsid w:val="00035C18"/>
    <w:rsid w:val="00035CEB"/>
    <w:rsid w:val="00036624"/>
    <w:rsid w:val="00036707"/>
    <w:rsid w:val="0003772C"/>
    <w:rsid w:val="00040F52"/>
    <w:rsid w:val="00041806"/>
    <w:rsid w:val="00041C7D"/>
    <w:rsid w:val="00042234"/>
    <w:rsid w:val="000426F9"/>
    <w:rsid w:val="00042704"/>
    <w:rsid w:val="00042716"/>
    <w:rsid w:val="00042F7C"/>
    <w:rsid w:val="000434AA"/>
    <w:rsid w:val="00043E23"/>
    <w:rsid w:val="00043EA2"/>
    <w:rsid w:val="00043F53"/>
    <w:rsid w:val="000441C2"/>
    <w:rsid w:val="0004529F"/>
    <w:rsid w:val="00045404"/>
    <w:rsid w:val="000456CE"/>
    <w:rsid w:val="00045774"/>
    <w:rsid w:val="00046208"/>
    <w:rsid w:val="00046A50"/>
    <w:rsid w:val="00046F00"/>
    <w:rsid w:val="0004719A"/>
    <w:rsid w:val="000471EC"/>
    <w:rsid w:val="00047B68"/>
    <w:rsid w:val="00047D84"/>
    <w:rsid w:val="000503C1"/>
    <w:rsid w:val="0005094B"/>
    <w:rsid w:val="00050C78"/>
    <w:rsid w:val="000525EB"/>
    <w:rsid w:val="00052AAC"/>
    <w:rsid w:val="000533A2"/>
    <w:rsid w:val="000539E5"/>
    <w:rsid w:val="00054386"/>
    <w:rsid w:val="000544A9"/>
    <w:rsid w:val="000546B1"/>
    <w:rsid w:val="00054E7E"/>
    <w:rsid w:val="00055043"/>
    <w:rsid w:val="000557E4"/>
    <w:rsid w:val="000559CF"/>
    <w:rsid w:val="00055BF8"/>
    <w:rsid w:val="000561BD"/>
    <w:rsid w:val="00056BAC"/>
    <w:rsid w:val="00056D5B"/>
    <w:rsid w:val="00060555"/>
    <w:rsid w:val="00060576"/>
    <w:rsid w:val="000608FC"/>
    <w:rsid w:val="0006100D"/>
    <w:rsid w:val="00061097"/>
    <w:rsid w:val="000611BB"/>
    <w:rsid w:val="0006144D"/>
    <w:rsid w:val="00062007"/>
    <w:rsid w:val="0006264A"/>
    <w:rsid w:val="00062A55"/>
    <w:rsid w:val="00062ADB"/>
    <w:rsid w:val="00064100"/>
    <w:rsid w:val="00064C64"/>
    <w:rsid w:val="00065ED1"/>
    <w:rsid w:val="00066261"/>
    <w:rsid w:val="000663CA"/>
    <w:rsid w:val="000668CA"/>
    <w:rsid w:val="00066DEF"/>
    <w:rsid w:val="00070205"/>
    <w:rsid w:val="00070D6B"/>
    <w:rsid w:val="000713A3"/>
    <w:rsid w:val="00071A6C"/>
    <w:rsid w:val="000722C8"/>
    <w:rsid w:val="00072497"/>
    <w:rsid w:val="0007255D"/>
    <w:rsid w:val="00072965"/>
    <w:rsid w:val="0007345D"/>
    <w:rsid w:val="0007367F"/>
    <w:rsid w:val="000757D2"/>
    <w:rsid w:val="0007590B"/>
    <w:rsid w:val="00076424"/>
    <w:rsid w:val="0007642E"/>
    <w:rsid w:val="0007697F"/>
    <w:rsid w:val="00076C5A"/>
    <w:rsid w:val="00077566"/>
    <w:rsid w:val="0007764A"/>
    <w:rsid w:val="0007775E"/>
    <w:rsid w:val="00077888"/>
    <w:rsid w:val="0008005E"/>
    <w:rsid w:val="000812BB"/>
    <w:rsid w:val="00081462"/>
    <w:rsid w:val="00081F45"/>
    <w:rsid w:val="00081F56"/>
    <w:rsid w:val="00081FE6"/>
    <w:rsid w:val="00082354"/>
    <w:rsid w:val="00082719"/>
    <w:rsid w:val="000827EC"/>
    <w:rsid w:val="000829AD"/>
    <w:rsid w:val="00082A06"/>
    <w:rsid w:val="0008312C"/>
    <w:rsid w:val="0008346A"/>
    <w:rsid w:val="000835DC"/>
    <w:rsid w:val="00083B66"/>
    <w:rsid w:val="00083E13"/>
    <w:rsid w:val="00083F41"/>
    <w:rsid w:val="00084395"/>
    <w:rsid w:val="0008495C"/>
    <w:rsid w:val="00084D53"/>
    <w:rsid w:val="00085A7F"/>
    <w:rsid w:val="00085C6C"/>
    <w:rsid w:val="00087790"/>
    <w:rsid w:val="00087A0D"/>
    <w:rsid w:val="0009000E"/>
    <w:rsid w:val="000915DF"/>
    <w:rsid w:val="000925D9"/>
    <w:rsid w:val="000934DD"/>
    <w:rsid w:val="00093A61"/>
    <w:rsid w:val="0009481E"/>
    <w:rsid w:val="00094F8C"/>
    <w:rsid w:val="00094FD8"/>
    <w:rsid w:val="000955F3"/>
    <w:rsid w:val="000956EC"/>
    <w:rsid w:val="00097043"/>
    <w:rsid w:val="0009798F"/>
    <w:rsid w:val="00097BF6"/>
    <w:rsid w:val="000A0DE6"/>
    <w:rsid w:val="000A1162"/>
    <w:rsid w:val="000A11F7"/>
    <w:rsid w:val="000A1957"/>
    <w:rsid w:val="000A1D61"/>
    <w:rsid w:val="000A39DF"/>
    <w:rsid w:val="000A4204"/>
    <w:rsid w:val="000A4279"/>
    <w:rsid w:val="000A4969"/>
    <w:rsid w:val="000A4BC8"/>
    <w:rsid w:val="000A4E21"/>
    <w:rsid w:val="000A5966"/>
    <w:rsid w:val="000A5B54"/>
    <w:rsid w:val="000A5FCE"/>
    <w:rsid w:val="000A609F"/>
    <w:rsid w:val="000A6D07"/>
    <w:rsid w:val="000A738D"/>
    <w:rsid w:val="000A7500"/>
    <w:rsid w:val="000A7A27"/>
    <w:rsid w:val="000B0837"/>
    <w:rsid w:val="000B0DC1"/>
    <w:rsid w:val="000B15E3"/>
    <w:rsid w:val="000B1AE1"/>
    <w:rsid w:val="000B1B03"/>
    <w:rsid w:val="000B1E71"/>
    <w:rsid w:val="000B235B"/>
    <w:rsid w:val="000B27A1"/>
    <w:rsid w:val="000B2D0E"/>
    <w:rsid w:val="000B31E3"/>
    <w:rsid w:val="000B32ED"/>
    <w:rsid w:val="000B3C69"/>
    <w:rsid w:val="000B403D"/>
    <w:rsid w:val="000B4653"/>
    <w:rsid w:val="000B46A8"/>
    <w:rsid w:val="000B47E5"/>
    <w:rsid w:val="000B5380"/>
    <w:rsid w:val="000B5F78"/>
    <w:rsid w:val="000B68A8"/>
    <w:rsid w:val="000B6CFE"/>
    <w:rsid w:val="000B6F17"/>
    <w:rsid w:val="000B7111"/>
    <w:rsid w:val="000B796D"/>
    <w:rsid w:val="000C0035"/>
    <w:rsid w:val="000C1482"/>
    <w:rsid w:val="000C1F84"/>
    <w:rsid w:val="000C26DA"/>
    <w:rsid w:val="000C2810"/>
    <w:rsid w:val="000C290D"/>
    <w:rsid w:val="000C29D9"/>
    <w:rsid w:val="000C4FDF"/>
    <w:rsid w:val="000C52AD"/>
    <w:rsid w:val="000C570B"/>
    <w:rsid w:val="000C625C"/>
    <w:rsid w:val="000C6631"/>
    <w:rsid w:val="000C722B"/>
    <w:rsid w:val="000C7332"/>
    <w:rsid w:val="000C7362"/>
    <w:rsid w:val="000C749A"/>
    <w:rsid w:val="000C771F"/>
    <w:rsid w:val="000C7C1F"/>
    <w:rsid w:val="000C7D3D"/>
    <w:rsid w:val="000C7D67"/>
    <w:rsid w:val="000C7E61"/>
    <w:rsid w:val="000D00B5"/>
    <w:rsid w:val="000D05AB"/>
    <w:rsid w:val="000D2114"/>
    <w:rsid w:val="000D2284"/>
    <w:rsid w:val="000D28B9"/>
    <w:rsid w:val="000D2D73"/>
    <w:rsid w:val="000D36D7"/>
    <w:rsid w:val="000D3AF8"/>
    <w:rsid w:val="000D568C"/>
    <w:rsid w:val="000D574D"/>
    <w:rsid w:val="000D58DE"/>
    <w:rsid w:val="000D5938"/>
    <w:rsid w:val="000D6999"/>
    <w:rsid w:val="000D6B0B"/>
    <w:rsid w:val="000D7987"/>
    <w:rsid w:val="000E0391"/>
    <w:rsid w:val="000E0831"/>
    <w:rsid w:val="000E0BC0"/>
    <w:rsid w:val="000E0C71"/>
    <w:rsid w:val="000E3179"/>
    <w:rsid w:val="000E3DCB"/>
    <w:rsid w:val="000E41B2"/>
    <w:rsid w:val="000E4631"/>
    <w:rsid w:val="000E60B9"/>
    <w:rsid w:val="000E62A5"/>
    <w:rsid w:val="000E63C7"/>
    <w:rsid w:val="000E6715"/>
    <w:rsid w:val="000E6C2C"/>
    <w:rsid w:val="000E7082"/>
    <w:rsid w:val="000E72F4"/>
    <w:rsid w:val="000E7DB6"/>
    <w:rsid w:val="000E7FBA"/>
    <w:rsid w:val="000E7FED"/>
    <w:rsid w:val="000F12D9"/>
    <w:rsid w:val="000F2C66"/>
    <w:rsid w:val="000F2CDB"/>
    <w:rsid w:val="000F38E4"/>
    <w:rsid w:val="000F3D42"/>
    <w:rsid w:val="000F4A24"/>
    <w:rsid w:val="000F4FD5"/>
    <w:rsid w:val="000F5110"/>
    <w:rsid w:val="000F5767"/>
    <w:rsid w:val="000F5887"/>
    <w:rsid w:val="000F5DB7"/>
    <w:rsid w:val="000F70F6"/>
    <w:rsid w:val="000F7AF9"/>
    <w:rsid w:val="000F7D31"/>
    <w:rsid w:val="000F7E96"/>
    <w:rsid w:val="00100395"/>
    <w:rsid w:val="00100C4E"/>
    <w:rsid w:val="0010134B"/>
    <w:rsid w:val="001018C3"/>
    <w:rsid w:val="0010249F"/>
    <w:rsid w:val="0010473F"/>
    <w:rsid w:val="00105030"/>
    <w:rsid w:val="00105DFD"/>
    <w:rsid w:val="00107485"/>
    <w:rsid w:val="00107FF5"/>
    <w:rsid w:val="001100D4"/>
    <w:rsid w:val="0011018F"/>
    <w:rsid w:val="00110694"/>
    <w:rsid w:val="001106DD"/>
    <w:rsid w:val="001108BA"/>
    <w:rsid w:val="00110C5A"/>
    <w:rsid w:val="00111282"/>
    <w:rsid w:val="001115A4"/>
    <w:rsid w:val="00111CE0"/>
    <w:rsid w:val="00111FC7"/>
    <w:rsid w:val="001123B3"/>
    <w:rsid w:val="001125DB"/>
    <w:rsid w:val="00113B8A"/>
    <w:rsid w:val="00113F6B"/>
    <w:rsid w:val="0011569D"/>
    <w:rsid w:val="001164AC"/>
    <w:rsid w:val="00116743"/>
    <w:rsid w:val="0011740B"/>
    <w:rsid w:val="00117982"/>
    <w:rsid w:val="00117DC0"/>
    <w:rsid w:val="001209B4"/>
    <w:rsid w:val="00120B4D"/>
    <w:rsid w:val="00120FD8"/>
    <w:rsid w:val="001218A2"/>
    <w:rsid w:val="001221B5"/>
    <w:rsid w:val="0012352F"/>
    <w:rsid w:val="00123851"/>
    <w:rsid w:val="00123868"/>
    <w:rsid w:val="00123DEE"/>
    <w:rsid w:val="0012413C"/>
    <w:rsid w:val="0012418E"/>
    <w:rsid w:val="00124649"/>
    <w:rsid w:val="001246EC"/>
    <w:rsid w:val="00124BA4"/>
    <w:rsid w:val="00125724"/>
    <w:rsid w:val="00125778"/>
    <w:rsid w:val="00125E44"/>
    <w:rsid w:val="001261B5"/>
    <w:rsid w:val="001261C1"/>
    <w:rsid w:val="001265BF"/>
    <w:rsid w:val="00126EA4"/>
    <w:rsid w:val="001270D7"/>
    <w:rsid w:val="00127462"/>
    <w:rsid w:val="0013045D"/>
    <w:rsid w:val="0013149B"/>
    <w:rsid w:val="00131599"/>
    <w:rsid w:val="00131809"/>
    <w:rsid w:val="0013224E"/>
    <w:rsid w:val="001322AA"/>
    <w:rsid w:val="00132491"/>
    <w:rsid w:val="00132ACC"/>
    <w:rsid w:val="00133FD3"/>
    <w:rsid w:val="00134C7A"/>
    <w:rsid w:val="001351CB"/>
    <w:rsid w:val="001352DE"/>
    <w:rsid w:val="001362D5"/>
    <w:rsid w:val="00140977"/>
    <w:rsid w:val="00140C6D"/>
    <w:rsid w:val="00141284"/>
    <w:rsid w:val="001413D7"/>
    <w:rsid w:val="0014283F"/>
    <w:rsid w:val="001435FA"/>
    <w:rsid w:val="00143881"/>
    <w:rsid w:val="001438CA"/>
    <w:rsid w:val="00143C23"/>
    <w:rsid w:val="00144EF5"/>
    <w:rsid w:val="001450D8"/>
    <w:rsid w:val="00145ACC"/>
    <w:rsid w:val="0014619D"/>
    <w:rsid w:val="00146C64"/>
    <w:rsid w:val="00146F63"/>
    <w:rsid w:val="00150206"/>
    <w:rsid w:val="001513CC"/>
    <w:rsid w:val="00152392"/>
    <w:rsid w:val="0015252B"/>
    <w:rsid w:val="00156E9B"/>
    <w:rsid w:val="0015733D"/>
    <w:rsid w:val="00157AFB"/>
    <w:rsid w:val="00160F92"/>
    <w:rsid w:val="0016100E"/>
    <w:rsid w:val="00161C5A"/>
    <w:rsid w:val="001622FE"/>
    <w:rsid w:val="0016256D"/>
    <w:rsid w:val="00162744"/>
    <w:rsid w:val="00162772"/>
    <w:rsid w:val="0016299F"/>
    <w:rsid w:val="00162EFF"/>
    <w:rsid w:val="0016303B"/>
    <w:rsid w:val="00163172"/>
    <w:rsid w:val="00163568"/>
    <w:rsid w:val="00163628"/>
    <w:rsid w:val="00163D37"/>
    <w:rsid w:val="00164A47"/>
    <w:rsid w:val="00164EDE"/>
    <w:rsid w:val="0016641A"/>
    <w:rsid w:val="001665C5"/>
    <w:rsid w:val="001669F3"/>
    <w:rsid w:val="00167108"/>
    <w:rsid w:val="00167B95"/>
    <w:rsid w:val="00167F50"/>
    <w:rsid w:val="001702DE"/>
    <w:rsid w:val="00170987"/>
    <w:rsid w:val="00170C08"/>
    <w:rsid w:val="0017209C"/>
    <w:rsid w:val="001729DF"/>
    <w:rsid w:val="00173066"/>
    <w:rsid w:val="00173077"/>
    <w:rsid w:val="00174F92"/>
    <w:rsid w:val="00175D31"/>
    <w:rsid w:val="00176E34"/>
    <w:rsid w:val="00177455"/>
    <w:rsid w:val="001776E3"/>
    <w:rsid w:val="001803C3"/>
    <w:rsid w:val="00180F32"/>
    <w:rsid w:val="00181056"/>
    <w:rsid w:val="0018133A"/>
    <w:rsid w:val="0018150E"/>
    <w:rsid w:val="001820EE"/>
    <w:rsid w:val="001822BB"/>
    <w:rsid w:val="00182A99"/>
    <w:rsid w:val="00182CEF"/>
    <w:rsid w:val="00183ED5"/>
    <w:rsid w:val="00185BF7"/>
    <w:rsid w:val="00185C3F"/>
    <w:rsid w:val="00185E6A"/>
    <w:rsid w:val="00187783"/>
    <w:rsid w:val="00187879"/>
    <w:rsid w:val="00190725"/>
    <w:rsid w:val="001913C7"/>
    <w:rsid w:val="00191858"/>
    <w:rsid w:val="00192745"/>
    <w:rsid w:val="00192BD0"/>
    <w:rsid w:val="00192F79"/>
    <w:rsid w:val="00193C7E"/>
    <w:rsid w:val="001949CC"/>
    <w:rsid w:val="00194A8C"/>
    <w:rsid w:val="001952DE"/>
    <w:rsid w:val="00195330"/>
    <w:rsid w:val="001961D2"/>
    <w:rsid w:val="001963DF"/>
    <w:rsid w:val="001968D0"/>
    <w:rsid w:val="0019702D"/>
    <w:rsid w:val="00197062"/>
    <w:rsid w:val="001978C1"/>
    <w:rsid w:val="0019799C"/>
    <w:rsid w:val="001979E8"/>
    <w:rsid w:val="00197F5B"/>
    <w:rsid w:val="001A073F"/>
    <w:rsid w:val="001A1268"/>
    <w:rsid w:val="001A24BD"/>
    <w:rsid w:val="001A26F4"/>
    <w:rsid w:val="001A281C"/>
    <w:rsid w:val="001A2C60"/>
    <w:rsid w:val="001A3453"/>
    <w:rsid w:val="001A3A07"/>
    <w:rsid w:val="001A3AD4"/>
    <w:rsid w:val="001A4145"/>
    <w:rsid w:val="001A4A08"/>
    <w:rsid w:val="001A4E1E"/>
    <w:rsid w:val="001A4E36"/>
    <w:rsid w:val="001A5B04"/>
    <w:rsid w:val="001A5D71"/>
    <w:rsid w:val="001A60E7"/>
    <w:rsid w:val="001A6BD0"/>
    <w:rsid w:val="001A7074"/>
    <w:rsid w:val="001A731C"/>
    <w:rsid w:val="001B06A9"/>
    <w:rsid w:val="001B0A67"/>
    <w:rsid w:val="001B0CD1"/>
    <w:rsid w:val="001B0EF8"/>
    <w:rsid w:val="001B14B7"/>
    <w:rsid w:val="001B2220"/>
    <w:rsid w:val="001B22BD"/>
    <w:rsid w:val="001B2A48"/>
    <w:rsid w:val="001B33D2"/>
    <w:rsid w:val="001B3F1E"/>
    <w:rsid w:val="001B4407"/>
    <w:rsid w:val="001B47AE"/>
    <w:rsid w:val="001B49D5"/>
    <w:rsid w:val="001B50E3"/>
    <w:rsid w:val="001B50E7"/>
    <w:rsid w:val="001B5AF3"/>
    <w:rsid w:val="001B5E0B"/>
    <w:rsid w:val="001B6013"/>
    <w:rsid w:val="001B65B8"/>
    <w:rsid w:val="001B6B9E"/>
    <w:rsid w:val="001B6D45"/>
    <w:rsid w:val="001B7537"/>
    <w:rsid w:val="001B7DE3"/>
    <w:rsid w:val="001C0403"/>
    <w:rsid w:val="001C0ED3"/>
    <w:rsid w:val="001C1508"/>
    <w:rsid w:val="001C1689"/>
    <w:rsid w:val="001C1ADC"/>
    <w:rsid w:val="001C253E"/>
    <w:rsid w:val="001C2565"/>
    <w:rsid w:val="001C2792"/>
    <w:rsid w:val="001C2F7A"/>
    <w:rsid w:val="001C3E1F"/>
    <w:rsid w:val="001C3F85"/>
    <w:rsid w:val="001C3FC6"/>
    <w:rsid w:val="001C4120"/>
    <w:rsid w:val="001C4BA9"/>
    <w:rsid w:val="001C4C0C"/>
    <w:rsid w:val="001C4D29"/>
    <w:rsid w:val="001C4E33"/>
    <w:rsid w:val="001C6606"/>
    <w:rsid w:val="001C7789"/>
    <w:rsid w:val="001C7A11"/>
    <w:rsid w:val="001C7C53"/>
    <w:rsid w:val="001C7F81"/>
    <w:rsid w:val="001D0FCC"/>
    <w:rsid w:val="001D11C3"/>
    <w:rsid w:val="001D15AA"/>
    <w:rsid w:val="001D1B0C"/>
    <w:rsid w:val="001D29B4"/>
    <w:rsid w:val="001D2B40"/>
    <w:rsid w:val="001D3B91"/>
    <w:rsid w:val="001D3C19"/>
    <w:rsid w:val="001D4198"/>
    <w:rsid w:val="001D5948"/>
    <w:rsid w:val="001D5AF2"/>
    <w:rsid w:val="001D61E8"/>
    <w:rsid w:val="001D664D"/>
    <w:rsid w:val="001D6EF1"/>
    <w:rsid w:val="001D757E"/>
    <w:rsid w:val="001D784C"/>
    <w:rsid w:val="001D7FBA"/>
    <w:rsid w:val="001E0247"/>
    <w:rsid w:val="001E052F"/>
    <w:rsid w:val="001E0800"/>
    <w:rsid w:val="001E1909"/>
    <w:rsid w:val="001E1F20"/>
    <w:rsid w:val="001E2CF7"/>
    <w:rsid w:val="001E3550"/>
    <w:rsid w:val="001E37E0"/>
    <w:rsid w:val="001E37E2"/>
    <w:rsid w:val="001E392A"/>
    <w:rsid w:val="001E3C69"/>
    <w:rsid w:val="001E44B8"/>
    <w:rsid w:val="001E4A64"/>
    <w:rsid w:val="001E5366"/>
    <w:rsid w:val="001E6265"/>
    <w:rsid w:val="001E656B"/>
    <w:rsid w:val="001E6816"/>
    <w:rsid w:val="001E6AB5"/>
    <w:rsid w:val="001F026E"/>
    <w:rsid w:val="001F0739"/>
    <w:rsid w:val="001F0C63"/>
    <w:rsid w:val="001F105D"/>
    <w:rsid w:val="001F1267"/>
    <w:rsid w:val="001F1369"/>
    <w:rsid w:val="001F1E78"/>
    <w:rsid w:val="001F1EF0"/>
    <w:rsid w:val="001F2C05"/>
    <w:rsid w:val="001F2C39"/>
    <w:rsid w:val="001F2FC0"/>
    <w:rsid w:val="001F38E5"/>
    <w:rsid w:val="001F4B19"/>
    <w:rsid w:val="001F5486"/>
    <w:rsid w:val="001F5709"/>
    <w:rsid w:val="001F57EA"/>
    <w:rsid w:val="001F5999"/>
    <w:rsid w:val="001F5CB8"/>
    <w:rsid w:val="001F5CEA"/>
    <w:rsid w:val="001F5FEE"/>
    <w:rsid w:val="001F6285"/>
    <w:rsid w:val="001F630E"/>
    <w:rsid w:val="001F66CC"/>
    <w:rsid w:val="001F6D65"/>
    <w:rsid w:val="001F726F"/>
    <w:rsid w:val="001F72CD"/>
    <w:rsid w:val="001F78D7"/>
    <w:rsid w:val="001F7A29"/>
    <w:rsid w:val="00200570"/>
    <w:rsid w:val="002006D1"/>
    <w:rsid w:val="002016BE"/>
    <w:rsid w:val="00201A5F"/>
    <w:rsid w:val="00201F59"/>
    <w:rsid w:val="002034A6"/>
    <w:rsid w:val="00203736"/>
    <w:rsid w:val="00203E1F"/>
    <w:rsid w:val="0020466D"/>
    <w:rsid w:val="0020474D"/>
    <w:rsid w:val="0020498A"/>
    <w:rsid w:val="00204DB0"/>
    <w:rsid w:val="00205B44"/>
    <w:rsid w:val="002063A2"/>
    <w:rsid w:val="002067C6"/>
    <w:rsid w:val="00207560"/>
    <w:rsid w:val="00207DF9"/>
    <w:rsid w:val="0021144A"/>
    <w:rsid w:val="0021242B"/>
    <w:rsid w:val="00213274"/>
    <w:rsid w:val="0021376F"/>
    <w:rsid w:val="00213A15"/>
    <w:rsid w:val="00213DBB"/>
    <w:rsid w:val="00216087"/>
    <w:rsid w:val="00216F39"/>
    <w:rsid w:val="00217365"/>
    <w:rsid w:val="002176D7"/>
    <w:rsid w:val="00217BBC"/>
    <w:rsid w:val="00222680"/>
    <w:rsid w:val="0022269B"/>
    <w:rsid w:val="00222B9C"/>
    <w:rsid w:val="00223AD2"/>
    <w:rsid w:val="0022503A"/>
    <w:rsid w:val="00225628"/>
    <w:rsid w:val="00226485"/>
    <w:rsid w:val="0022662A"/>
    <w:rsid w:val="00226EAF"/>
    <w:rsid w:val="00226F6F"/>
    <w:rsid w:val="002271A9"/>
    <w:rsid w:val="002302C1"/>
    <w:rsid w:val="0023070B"/>
    <w:rsid w:val="00232DC6"/>
    <w:rsid w:val="00232E60"/>
    <w:rsid w:val="002336E3"/>
    <w:rsid w:val="00234180"/>
    <w:rsid w:val="00234AC7"/>
    <w:rsid w:val="00234BFC"/>
    <w:rsid w:val="00234E2B"/>
    <w:rsid w:val="00235B45"/>
    <w:rsid w:val="00235F99"/>
    <w:rsid w:val="002363CD"/>
    <w:rsid w:val="00236A00"/>
    <w:rsid w:val="0023724C"/>
    <w:rsid w:val="00237336"/>
    <w:rsid w:val="0023788A"/>
    <w:rsid w:val="0024004B"/>
    <w:rsid w:val="0024043A"/>
    <w:rsid w:val="002430F0"/>
    <w:rsid w:val="00243AE4"/>
    <w:rsid w:val="00243CC4"/>
    <w:rsid w:val="002442F1"/>
    <w:rsid w:val="00245672"/>
    <w:rsid w:val="00246C87"/>
    <w:rsid w:val="00246CB7"/>
    <w:rsid w:val="002472C8"/>
    <w:rsid w:val="0024742B"/>
    <w:rsid w:val="00247AB9"/>
    <w:rsid w:val="00247DAA"/>
    <w:rsid w:val="00247E56"/>
    <w:rsid w:val="00247E9B"/>
    <w:rsid w:val="0025124C"/>
    <w:rsid w:val="00251759"/>
    <w:rsid w:val="00252453"/>
    <w:rsid w:val="00252464"/>
    <w:rsid w:val="002528AF"/>
    <w:rsid w:val="00252E84"/>
    <w:rsid w:val="00253166"/>
    <w:rsid w:val="0025438A"/>
    <w:rsid w:val="00254949"/>
    <w:rsid w:val="00254BA1"/>
    <w:rsid w:val="00254C3E"/>
    <w:rsid w:val="00254D06"/>
    <w:rsid w:val="00255845"/>
    <w:rsid w:val="00255C87"/>
    <w:rsid w:val="00255E1B"/>
    <w:rsid w:val="00256CC4"/>
    <w:rsid w:val="002575A0"/>
    <w:rsid w:val="00257631"/>
    <w:rsid w:val="0026065A"/>
    <w:rsid w:val="00261181"/>
    <w:rsid w:val="00261219"/>
    <w:rsid w:val="00261596"/>
    <w:rsid w:val="00262683"/>
    <w:rsid w:val="002627A4"/>
    <w:rsid w:val="002628F2"/>
    <w:rsid w:val="00262B76"/>
    <w:rsid w:val="00262D3B"/>
    <w:rsid w:val="00262D7F"/>
    <w:rsid w:val="0026318A"/>
    <w:rsid w:val="00263232"/>
    <w:rsid w:val="00264B0E"/>
    <w:rsid w:val="002652DF"/>
    <w:rsid w:val="00265738"/>
    <w:rsid w:val="00265B94"/>
    <w:rsid w:val="00266318"/>
    <w:rsid w:val="0027042A"/>
    <w:rsid w:val="002714DE"/>
    <w:rsid w:val="0027301B"/>
    <w:rsid w:val="00273469"/>
    <w:rsid w:val="0027378A"/>
    <w:rsid w:val="0027382D"/>
    <w:rsid w:val="00273B74"/>
    <w:rsid w:val="00273EA1"/>
    <w:rsid w:val="00274FB7"/>
    <w:rsid w:val="00275A57"/>
    <w:rsid w:val="00275F0B"/>
    <w:rsid w:val="00277C35"/>
    <w:rsid w:val="002817EC"/>
    <w:rsid w:val="00281842"/>
    <w:rsid w:val="00281AF1"/>
    <w:rsid w:val="00281B95"/>
    <w:rsid w:val="00281E03"/>
    <w:rsid w:val="00282C40"/>
    <w:rsid w:val="00283E00"/>
    <w:rsid w:val="00283E37"/>
    <w:rsid w:val="00284142"/>
    <w:rsid w:val="0028466B"/>
    <w:rsid w:val="002849B4"/>
    <w:rsid w:val="00286316"/>
    <w:rsid w:val="00286618"/>
    <w:rsid w:val="002871E5"/>
    <w:rsid w:val="00287408"/>
    <w:rsid w:val="00287B6C"/>
    <w:rsid w:val="00290707"/>
    <w:rsid w:val="002907F4"/>
    <w:rsid w:val="00290A6C"/>
    <w:rsid w:val="002912AE"/>
    <w:rsid w:val="002913D6"/>
    <w:rsid w:val="00291E5F"/>
    <w:rsid w:val="00292EFF"/>
    <w:rsid w:val="00293E6F"/>
    <w:rsid w:val="00296853"/>
    <w:rsid w:val="00297256"/>
    <w:rsid w:val="0029788B"/>
    <w:rsid w:val="002979AC"/>
    <w:rsid w:val="00297A41"/>
    <w:rsid w:val="00297B35"/>
    <w:rsid w:val="002A06A6"/>
    <w:rsid w:val="002A13A3"/>
    <w:rsid w:val="002A15C3"/>
    <w:rsid w:val="002A1860"/>
    <w:rsid w:val="002A186D"/>
    <w:rsid w:val="002A2135"/>
    <w:rsid w:val="002A2916"/>
    <w:rsid w:val="002A2C00"/>
    <w:rsid w:val="002A3BE9"/>
    <w:rsid w:val="002A4110"/>
    <w:rsid w:val="002A41BF"/>
    <w:rsid w:val="002A4226"/>
    <w:rsid w:val="002A47CB"/>
    <w:rsid w:val="002A4995"/>
    <w:rsid w:val="002A50D9"/>
    <w:rsid w:val="002A5FD8"/>
    <w:rsid w:val="002A6E12"/>
    <w:rsid w:val="002B03DD"/>
    <w:rsid w:val="002B1052"/>
    <w:rsid w:val="002B158C"/>
    <w:rsid w:val="002B1D5B"/>
    <w:rsid w:val="002B2087"/>
    <w:rsid w:val="002B2211"/>
    <w:rsid w:val="002B47BD"/>
    <w:rsid w:val="002B51F3"/>
    <w:rsid w:val="002B5CC6"/>
    <w:rsid w:val="002B5D83"/>
    <w:rsid w:val="002B6244"/>
    <w:rsid w:val="002B643B"/>
    <w:rsid w:val="002B6567"/>
    <w:rsid w:val="002B6BB2"/>
    <w:rsid w:val="002B71BA"/>
    <w:rsid w:val="002C1BB2"/>
    <w:rsid w:val="002C2074"/>
    <w:rsid w:val="002C2157"/>
    <w:rsid w:val="002C21D2"/>
    <w:rsid w:val="002C22CF"/>
    <w:rsid w:val="002C2AA3"/>
    <w:rsid w:val="002C2F77"/>
    <w:rsid w:val="002C3486"/>
    <w:rsid w:val="002C3D23"/>
    <w:rsid w:val="002C3F37"/>
    <w:rsid w:val="002C4143"/>
    <w:rsid w:val="002C4344"/>
    <w:rsid w:val="002C46BF"/>
    <w:rsid w:val="002C4C6C"/>
    <w:rsid w:val="002C504E"/>
    <w:rsid w:val="002C5A87"/>
    <w:rsid w:val="002C68E7"/>
    <w:rsid w:val="002C6937"/>
    <w:rsid w:val="002D0F97"/>
    <w:rsid w:val="002D21BA"/>
    <w:rsid w:val="002D3A85"/>
    <w:rsid w:val="002D3D57"/>
    <w:rsid w:val="002D3DA2"/>
    <w:rsid w:val="002D42E8"/>
    <w:rsid w:val="002D43B5"/>
    <w:rsid w:val="002D5753"/>
    <w:rsid w:val="002D6005"/>
    <w:rsid w:val="002D605F"/>
    <w:rsid w:val="002D606F"/>
    <w:rsid w:val="002D61F6"/>
    <w:rsid w:val="002D66EB"/>
    <w:rsid w:val="002D6719"/>
    <w:rsid w:val="002D6BB3"/>
    <w:rsid w:val="002D6CE6"/>
    <w:rsid w:val="002D7E08"/>
    <w:rsid w:val="002E0291"/>
    <w:rsid w:val="002E087B"/>
    <w:rsid w:val="002E10C5"/>
    <w:rsid w:val="002E1435"/>
    <w:rsid w:val="002E26B8"/>
    <w:rsid w:val="002E2D31"/>
    <w:rsid w:val="002E356E"/>
    <w:rsid w:val="002E4722"/>
    <w:rsid w:val="002E56CE"/>
    <w:rsid w:val="002E583E"/>
    <w:rsid w:val="002E5A27"/>
    <w:rsid w:val="002E714A"/>
    <w:rsid w:val="002F10CB"/>
    <w:rsid w:val="002F1133"/>
    <w:rsid w:val="002F1736"/>
    <w:rsid w:val="002F1BF6"/>
    <w:rsid w:val="002F355C"/>
    <w:rsid w:val="002F36BE"/>
    <w:rsid w:val="002F3E02"/>
    <w:rsid w:val="002F42C9"/>
    <w:rsid w:val="002F5200"/>
    <w:rsid w:val="002F528E"/>
    <w:rsid w:val="002F533A"/>
    <w:rsid w:val="002F5557"/>
    <w:rsid w:val="002F578B"/>
    <w:rsid w:val="002F5F95"/>
    <w:rsid w:val="002F61A9"/>
    <w:rsid w:val="002F6314"/>
    <w:rsid w:val="002F712D"/>
    <w:rsid w:val="002F76FC"/>
    <w:rsid w:val="0030018E"/>
    <w:rsid w:val="00300CB7"/>
    <w:rsid w:val="00300CB9"/>
    <w:rsid w:val="003016F4"/>
    <w:rsid w:val="0030190D"/>
    <w:rsid w:val="00301D91"/>
    <w:rsid w:val="00302258"/>
    <w:rsid w:val="00302BDA"/>
    <w:rsid w:val="003035F9"/>
    <w:rsid w:val="00303CEF"/>
    <w:rsid w:val="00304982"/>
    <w:rsid w:val="00304B27"/>
    <w:rsid w:val="00305193"/>
    <w:rsid w:val="00305911"/>
    <w:rsid w:val="00305A5F"/>
    <w:rsid w:val="00305D40"/>
    <w:rsid w:val="00310618"/>
    <w:rsid w:val="003114A7"/>
    <w:rsid w:val="00311698"/>
    <w:rsid w:val="00312518"/>
    <w:rsid w:val="0031264F"/>
    <w:rsid w:val="0031280D"/>
    <w:rsid w:val="0031347A"/>
    <w:rsid w:val="00313F08"/>
    <w:rsid w:val="00314BF4"/>
    <w:rsid w:val="00315CE0"/>
    <w:rsid w:val="00316070"/>
    <w:rsid w:val="0031658A"/>
    <w:rsid w:val="003172EF"/>
    <w:rsid w:val="00317C5F"/>
    <w:rsid w:val="00320373"/>
    <w:rsid w:val="0032069B"/>
    <w:rsid w:val="00321080"/>
    <w:rsid w:val="00322D33"/>
    <w:rsid w:val="00323248"/>
    <w:rsid w:val="003243D2"/>
    <w:rsid w:val="003256B1"/>
    <w:rsid w:val="00325F22"/>
    <w:rsid w:val="00326169"/>
    <w:rsid w:val="00326299"/>
    <w:rsid w:val="003274B4"/>
    <w:rsid w:val="00327A6B"/>
    <w:rsid w:val="00330E47"/>
    <w:rsid w:val="00330F0A"/>
    <w:rsid w:val="003312C2"/>
    <w:rsid w:val="00331D85"/>
    <w:rsid w:val="00333330"/>
    <w:rsid w:val="0033334C"/>
    <w:rsid w:val="00333803"/>
    <w:rsid w:val="00333D4F"/>
    <w:rsid w:val="00333EAF"/>
    <w:rsid w:val="003346C7"/>
    <w:rsid w:val="003347BB"/>
    <w:rsid w:val="00334DA3"/>
    <w:rsid w:val="00335094"/>
    <w:rsid w:val="0033520C"/>
    <w:rsid w:val="003359D4"/>
    <w:rsid w:val="00335B1C"/>
    <w:rsid w:val="0033611F"/>
    <w:rsid w:val="00336888"/>
    <w:rsid w:val="00336BD3"/>
    <w:rsid w:val="00337216"/>
    <w:rsid w:val="00337539"/>
    <w:rsid w:val="003375F9"/>
    <w:rsid w:val="0034060A"/>
    <w:rsid w:val="003409F2"/>
    <w:rsid w:val="003416F4"/>
    <w:rsid w:val="00341831"/>
    <w:rsid w:val="00341CE1"/>
    <w:rsid w:val="00341EE1"/>
    <w:rsid w:val="00341EE6"/>
    <w:rsid w:val="003426C6"/>
    <w:rsid w:val="00344136"/>
    <w:rsid w:val="003445AF"/>
    <w:rsid w:val="003447F9"/>
    <w:rsid w:val="003453D2"/>
    <w:rsid w:val="00345CDC"/>
    <w:rsid w:val="00345D26"/>
    <w:rsid w:val="00346D01"/>
    <w:rsid w:val="0034790C"/>
    <w:rsid w:val="00350289"/>
    <w:rsid w:val="003505D3"/>
    <w:rsid w:val="00350E65"/>
    <w:rsid w:val="00352E3F"/>
    <w:rsid w:val="00353E41"/>
    <w:rsid w:val="003558CB"/>
    <w:rsid w:val="00355FAD"/>
    <w:rsid w:val="00356030"/>
    <w:rsid w:val="003563BF"/>
    <w:rsid w:val="00356825"/>
    <w:rsid w:val="00356F36"/>
    <w:rsid w:val="003575B3"/>
    <w:rsid w:val="00357A41"/>
    <w:rsid w:val="00357D9A"/>
    <w:rsid w:val="00357EE5"/>
    <w:rsid w:val="003614D7"/>
    <w:rsid w:val="0036157F"/>
    <w:rsid w:val="00361765"/>
    <w:rsid w:val="00363499"/>
    <w:rsid w:val="00363BE8"/>
    <w:rsid w:val="00364655"/>
    <w:rsid w:val="00364D0E"/>
    <w:rsid w:val="00364DEC"/>
    <w:rsid w:val="0036527F"/>
    <w:rsid w:val="00365553"/>
    <w:rsid w:val="00366245"/>
    <w:rsid w:val="00367187"/>
    <w:rsid w:val="00367535"/>
    <w:rsid w:val="00367595"/>
    <w:rsid w:val="003677C2"/>
    <w:rsid w:val="0037024E"/>
    <w:rsid w:val="003706FE"/>
    <w:rsid w:val="00370797"/>
    <w:rsid w:val="00370B2F"/>
    <w:rsid w:val="0037162B"/>
    <w:rsid w:val="00372009"/>
    <w:rsid w:val="003721D3"/>
    <w:rsid w:val="00372E35"/>
    <w:rsid w:val="003731C4"/>
    <w:rsid w:val="003733C6"/>
    <w:rsid w:val="00373BBA"/>
    <w:rsid w:val="00373E46"/>
    <w:rsid w:val="00374131"/>
    <w:rsid w:val="00374657"/>
    <w:rsid w:val="00374827"/>
    <w:rsid w:val="003748E5"/>
    <w:rsid w:val="0037516E"/>
    <w:rsid w:val="00375435"/>
    <w:rsid w:val="00376B13"/>
    <w:rsid w:val="00376D5E"/>
    <w:rsid w:val="003773A1"/>
    <w:rsid w:val="003775FC"/>
    <w:rsid w:val="003776B2"/>
    <w:rsid w:val="003779FF"/>
    <w:rsid w:val="00377B52"/>
    <w:rsid w:val="00377D56"/>
    <w:rsid w:val="003804D8"/>
    <w:rsid w:val="003807B9"/>
    <w:rsid w:val="00380CAC"/>
    <w:rsid w:val="00380DFD"/>
    <w:rsid w:val="00381171"/>
    <w:rsid w:val="00381B9A"/>
    <w:rsid w:val="0038214B"/>
    <w:rsid w:val="00382192"/>
    <w:rsid w:val="00382658"/>
    <w:rsid w:val="003827C7"/>
    <w:rsid w:val="00383132"/>
    <w:rsid w:val="00384A44"/>
    <w:rsid w:val="00384DFB"/>
    <w:rsid w:val="00385DF1"/>
    <w:rsid w:val="0038628F"/>
    <w:rsid w:val="00386464"/>
    <w:rsid w:val="00386A77"/>
    <w:rsid w:val="00386B56"/>
    <w:rsid w:val="00386D17"/>
    <w:rsid w:val="00387003"/>
    <w:rsid w:val="00387B23"/>
    <w:rsid w:val="003906C3"/>
    <w:rsid w:val="00390B46"/>
    <w:rsid w:val="003915C4"/>
    <w:rsid w:val="00391E24"/>
    <w:rsid w:val="00391E3F"/>
    <w:rsid w:val="003923B0"/>
    <w:rsid w:val="0039241D"/>
    <w:rsid w:val="0039268E"/>
    <w:rsid w:val="00392D7A"/>
    <w:rsid w:val="00392FAE"/>
    <w:rsid w:val="003935E5"/>
    <w:rsid w:val="00393D21"/>
    <w:rsid w:val="00394C6D"/>
    <w:rsid w:val="00395B63"/>
    <w:rsid w:val="00396309"/>
    <w:rsid w:val="003A1758"/>
    <w:rsid w:val="003A1869"/>
    <w:rsid w:val="003A257C"/>
    <w:rsid w:val="003A567E"/>
    <w:rsid w:val="003A5DDB"/>
    <w:rsid w:val="003A5F29"/>
    <w:rsid w:val="003A62A6"/>
    <w:rsid w:val="003A682B"/>
    <w:rsid w:val="003A6977"/>
    <w:rsid w:val="003A6EB3"/>
    <w:rsid w:val="003A6F90"/>
    <w:rsid w:val="003A7663"/>
    <w:rsid w:val="003A77BA"/>
    <w:rsid w:val="003A7A06"/>
    <w:rsid w:val="003A7B86"/>
    <w:rsid w:val="003B009D"/>
    <w:rsid w:val="003B0AB1"/>
    <w:rsid w:val="003B0D43"/>
    <w:rsid w:val="003B0EFE"/>
    <w:rsid w:val="003B1E0E"/>
    <w:rsid w:val="003B24D9"/>
    <w:rsid w:val="003B2ACA"/>
    <w:rsid w:val="003B3F0A"/>
    <w:rsid w:val="003B3FB1"/>
    <w:rsid w:val="003B4645"/>
    <w:rsid w:val="003B4ACE"/>
    <w:rsid w:val="003B4B82"/>
    <w:rsid w:val="003B4BA0"/>
    <w:rsid w:val="003B4CC3"/>
    <w:rsid w:val="003B5259"/>
    <w:rsid w:val="003B536F"/>
    <w:rsid w:val="003B55F4"/>
    <w:rsid w:val="003B5E1F"/>
    <w:rsid w:val="003B6B86"/>
    <w:rsid w:val="003B6F42"/>
    <w:rsid w:val="003B7586"/>
    <w:rsid w:val="003C0D07"/>
    <w:rsid w:val="003C0FD0"/>
    <w:rsid w:val="003C1F8B"/>
    <w:rsid w:val="003C2440"/>
    <w:rsid w:val="003C2AAE"/>
    <w:rsid w:val="003C3698"/>
    <w:rsid w:val="003C37D7"/>
    <w:rsid w:val="003C3877"/>
    <w:rsid w:val="003C4199"/>
    <w:rsid w:val="003C44A1"/>
    <w:rsid w:val="003C4BB2"/>
    <w:rsid w:val="003C674F"/>
    <w:rsid w:val="003C677F"/>
    <w:rsid w:val="003C6965"/>
    <w:rsid w:val="003C6E06"/>
    <w:rsid w:val="003C7DE4"/>
    <w:rsid w:val="003D08D2"/>
    <w:rsid w:val="003D2702"/>
    <w:rsid w:val="003D2BFD"/>
    <w:rsid w:val="003D41CF"/>
    <w:rsid w:val="003D5199"/>
    <w:rsid w:val="003D54E0"/>
    <w:rsid w:val="003D56BC"/>
    <w:rsid w:val="003D5756"/>
    <w:rsid w:val="003D6215"/>
    <w:rsid w:val="003D6599"/>
    <w:rsid w:val="003D6C0B"/>
    <w:rsid w:val="003D716E"/>
    <w:rsid w:val="003D71B3"/>
    <w:rsid w:val="003D73DB"/>
    <w:rsid w:val="003D76B5"/>
    <w:rsid w:val="003D795B"/>
    <w:rsid w:val="003D7E02"/>
    <w:rsid w:val="003D7EB1"/>
    <w:rsid w:val="003D7F37"/>
    <w:rsid w:val="003E04E8"/>
    <w:rsid w:val="003E054E"/>
    <w:rsid w:val="003E06A9"/>
    <w:rsid w:val="003E0873"/>
    <w:rsid w:val="003E1710"/>
    <w:rsid w:val="003E2093"/>
    <w:rsid w:val="003E25F3"/>
    <w:rsid w:val="003E2FE5"/>
    <w:rsid w:val="003E339F"/>
    <w:rsid w:val="003E3508"/>
    <w:rsid w:val="003E43DD"/>
    <w:rsid w:val="003E4577"/>
    <w:rsid w:val="003E4DDE"/>
    <w:rsid w:val="003E55A0"/>
    <w:rsid w:val="003E5746"/>
    <w:rsid w:val="003E5EA8"/>
    <w:rsid w:val="003E5FC9"/>
    <w:rsid w:val="003E64BD"/>
    <w:rsid w:val="003E65E7"/>
    <w:rsid w:val="003E6690"/>
    <w:rsid w:val="003E66E5"/>
    <w:rsid w:val="003E68F1"/>
    <w:rsid w:val="003E6F5E"/>
    <w:rsid w:val="003E7111"/>
    <w:rsid w:val="003E7A54"/>
    <w:rsid w:val="003E7B25"/>
    <w:rsid w:val="003F03A4"/>
    <w:rsid w:val="003F0541"/>
    <w:rsid w:val="003F08C5"/>
    <w:rsid w:val="003F0CDA"/>
    <w:rsid w:val="003F1587"/>
    <w:rsid w:val="003F1774"/>
    <w:rsid w:val="003F1784"/>
    <w:rsid w:val="003F253B"/>
    <w:rsid w:val="003F35B9"/>
    <w:rsid w:val="003F3CA6"/>
    <w:rsid w:val="003F4243"/>
    <w:rsid w:val="003F4330"/>
    <w:rsid w:val="003F44FE"/>
    <w:rsid w:val="003F530B"/>
    <w:rsid w:val="003F568E"/>
    <w:rsid w:val="003F5C6C"/>
    <w:rsid w:val="003F5C80"/>
    <w:rsid w:val="003F5D60"/>
    <w:rsid w:val="003F5FED"/>
    <w:rsid w:val="003F66C8"/>
    <w:rsid w:val="003F68CF"/>
    <w:rsid w:val="003F6D4E"/>
    <w:rsid w:val="003F73AF"/>
    <w:rsid w:val="00400873"/>
    <w:rsid w:val="00400E04"/>
    <w:rsid w:val="00400EB7"/>
    <w:rsid w:val="004025C2"/>
    <w:rsid w:val="004026DE"/>
    <w:rsid w:val="00402D9C"/>
    <w:rsid w:val="00403645"/>
    <w:rsid w:val="00404428"/>
    <w:rsid w:val="004046F8"/>
    <w:rsid w:val="00405939"/>
    <w:rsid w:val="0040671D"/>
    <w:rsid w:val="00407072"/>
    <w:rsid w:val="004071C0"/>
    <w:rsid w:val="00407874"/>
    <w:rsid w:val="0040797B"/>
    <w:rsid w:val="00407B07"/>
    <w:rsid w:val="00407BEB"/>
    <w:rsid w:val="004108E5"/>
    <w:rsid w:val="00411498"/>
    <w:rsid w:val="00411A0F"/>
    <w:rsid w:val="00411C57"/>
    <w:rsid w:val="00411CE0"/>
    <w:rsid w:val="0041319D"/>
    <w:rsid w:val="004146E2"/>
    <w:rsid w:val="00414F1F"/>
    <w:rsid w:val="00415BEA"/>
    <w:rsid w:val="00415F39"/>
    <w:rsid w:val="004170A4"/>
    <w:rsid w:val="00417CD7"/>
    <w:rsid w:val="00417EB7"/>
    <w:rsid w:val="00420A2E"/>
    <w:rsid w:val="00421232"/>
    <w:rsid w:val="00421D5E"/>
    <w:rsid w:val="00422208"/>
    <w:rsid w:val="00422907"/>
    <w:rsid w:val="00422DBF"/>
    <w:rsid w:val="004231CC"/>
    <w:rsid w:val="004234EF"/>
    <w:rsid w:val="00424E22"/>
    <w:rsid w:val="0042513A"/>
    <w:rsid w:val="00425D8C"/>
    <w:rsid w:val="00425F62"/>
    <w:rsid w:val="00427553"/>
    <w:rsid w:val="004277BB"/>
    <w:rsid w:val="004278E3"/>
    <w:rsid w:val="00427F50"/>
    <w:rsid w:val="0043035C"/>
    <w:rsid w:val="00430C0F"/>
    <w:rsid w:val="00431439"/>
    <w:rsid w:val="004317C8"/>
    <w:rsid w:val="00431EB5"/>
    <w:rsid w:val="004321C3"/>
    <w:rsid w:val="004325E4"/>
    <w:rsid w:val="00432E69"/>
    <w:rsid w:val="00433F10"/>
    <w:rsid w:val="00434510"/>
    <w:rsid w:val="00434E65"/>
    <w:rsid w:val="00434FC5"/>
    <w:rsid w:val="0043568D"/>
    <w:rsid w:val="004356E4"/>
    <w:rsid w:val="00435D7A"/>
    <w:rsid w:val="00436011"/>
    <w:rsid w:val="004367E1"/>
    <w:rsid w:val="0043707F"/>
    <w:rsid w:val="0043797E"/>
    <w:rsid w:val="00437A95"/>
    <w:rsid w:val="00437D15"/>
    <w:rsid w:val="00440528"/>
    <w:rsid w:val="00440A45"/>
    <w:rsid w:val="00440D89"/>
    <w:rsid w:val="00440ED6"/>
    <w:rsid w:val="0044162C"/>
    <w:rsid w:val="00441826"/>
    <w:rsid w:val="0044195F"/>
    <w:rsid w:val="0044289D"/>
    <w:rsid w:val="004436BD"/>
    <w:rsid w:val="00443A0B"/>
    <w:rsid w:val="00443A0F"/>
    <w:rsid w:val="00443FA9"/>
    <w:rsid w:val="0044490C"/>
    <w:rsid w:val="0044498D"/>
    <w:rsid w:val="00444A01"/>
    <w:rsid w:val="00445BDA"/>
    <w:rsid w:val="00446D17"/>
    <w:rsid w:val="0044756A"/>
    <w:rsid w:val="004476DD"/>
    <w:rsid w:val="00447F8F"/>
    <w:rsid w:val="004500A3"/>
    <w:rsid w:val="00450DD8"/>
    <w:rsid w:val="0045137E"/>
    <w:rsid w:val="00451B60"/>
    <w:rsid w:val="00451D27"/>
    <w:rsid w:val="004522AE"/>
    <w:rsid w:val="0045281E"/>
    <w:rsid w:val="004529AA"/>
    <w:rsid w:val="004529E9"/>
    <w:rsid w:val="00452FD0"/>
    <w:rsid w:val="00453F28"/>
    <w:rsid w:val="00454D37"/>
    <w:rsid w:val="00454D86"/>
    <w:rsid w:val="004559C7"/>
    <w:rsid w:val="00456C53"/>
    <w:rsid w:val="004572E2"/>
    <w:rsid w:val="00457704"/>
    <w:rsid w:val="0045775A"/>
    <w:rsid w:val="00457C0E"/>
    <w:rsid w:val="004601E0"/>
    <w:rsid w:val="00460AC4"/>
    <w:rsid w:val="00460AF2"/>
    <w:rsid w:val="00461A07"/>
    <w:rsid w:val="00461FF9"/>
    <w:rsid w:val="004627C9"/>
    <w:rsid w:val="00462CCF"/>
    <w:rsid w:val="00463A68"/>
    <w:rsid w:val="00464752"/>
    <w:rsid w:val="00465A23"/>
    <w:rsid w:val="00466A38"/>
    <w:rsid w:val="00466C07"/>
    <w:rsid w:val="00467054"/>
    <w:rsid w:val="00467218"/>
    <w:rsid w:val="00470C1E"/>
    <w:rsid w:val="004713F1"/>
    <w:rsid w:val="0047160E"/>
    <w:rsid w:val="0047212E"/>
    <w:rsid w:val="004735EE"/>
    <w:rsid w:val="004736A2"/>
    <w:rsid w:val="00473A59"/>
    <w:rsid w:val="00473D8E"/>
    <w:rsid w:val="00474157"/>
    <w:rsid w:val="00474325"/>
    <w:rsid w:val="00474EB2"/>
    <w:rsid w:val="00476AD7"/>
    <w:rsid w:val="00477C56"/>
    <w:rsid w:val="00480472"/>
    <w:rsid w:val="00480A45"/>
    <w:rsid w:val="00480BE3"/>
    <w:rsid w:val="004816F4"/>
    <w:rsid w:val="00481979"/>
    <w:rsid w:val="00482738"/>
    <w:rsid w:val="00482F81"/>
    <w:rsid w:val="00483150"/>
    <w:rsid w:val="0048398A"/>
    <w:rsid w:val="004846D4"/>
    <w:rsid w:val="004857FB"/>
    <w:rsid w:val="00486571"/>
    <w:rsid w:val="00486F81"/>
    <w:rsid w:val="004871FB"/>
    <w:rsid w:val="004908EC"/>
    <w:rsid w:val="00490DAA"/>
    <w:rsid w:val="004913CA"/>
    <w:rsid w:val="00492608"/>
    <w:rsid w:val="004931AB"/>
    <w:rsid w:val="00494B70"/>
    <w:rsid w:val="00496275"/>
    <w:rsid w:val="00496634"/>
    <w:rsid w:val="00496ABF"/>
    <w:rsid w:val="0049793F"/>
    <w:rsid w:val="00497FC8"/>
    <w:rsid w:val="004A10FF"/>
    <w:rsid w:val="004A12DD"/>
    <w:rsid w:val="004A1472"/>
    <w:rsid w:val="004A16A3"/>
    <w:rsid w:val="004A1853"/>
    <w:rsid w:val="004A1F15"/>
    <w:rsid w:val="004A2024"/>
    <w:rsid w:val="004A23CC"/>
    <w:rsid w:val="004A2D04"/>
    <w:rsid w:val="004A3277"/>
    <w:rsid w:val="004A3768"/>
    <w:rsid w:val="004A3AF8"/>
    <w:rsid w:val="004A4337"/>
    <w:rsid w:val="004A450E"/>
    <w:rsid w:val="004A5015"/>
    <w:rsid w:val="004A5286"/>
    <w:rsid w:val="004A5A37"/>
    <w:rsid w:val="004A5FB7"/>
    <w:rsid w:val="004A65D2"/>
    <w:rsid w:val="004A70CA"/>
    <w:rsid w:val="004A7446"/>
    <w:rsid w:val="004A745D"/>
    <w:rsid w:val="004A7744"/>
    <w:rsid w:val="004A7782"/>
    <w:rsid w:val="004B0014"/>
    <w:rsid w:val="004B07AE"/>
    <w:rsid w:val="004B0F39"/>
    <w:rsid w:val="004B22BA"/>
    <w:rsid w:val="004B24DD"/>
    <w:rsid w:val="004B2AE7"/>
    <w:rsid w:val="004B2F2F"/>
    <w:rsid w:val="004B327B"/>
    <w:rsid w:val="004B37AF"/>
    <w:rsid w:val="004B3A77"/>
    <w:rsid w:val="004B3EB7"/>
    <w:rsid w:val="004B40F6"/>
    <w:rsid w:val="004B411F"/>
    <w:rsid w:val="004B4CFF"/>
    <w:rsid w:val="004B5172"/>
    <w:rsid w:val="004B53CE"/>
    <w:rsid w:val="004B5918"/>
    <w:rsid w:val="004B60C4"/>
    <w:rsid w:val="004B6355"/>
    <w:rsid w:val="004B70C4"/>
    <w:rsid w:val="004B7127"/>
    <w:rsid w:val="004B732D"/>
    <w:rsid w:val="004B7344"/>
    <w:rsid w:val="004B7B65"/>
    <w:rsid w:val="004B7E5F"/>
    <w:rsid w:val="004C01A4"/>
    <w:rsid w:val="004C02E1"/>
    <w:rsid w:val="004C0D36"/>
    <w:rsid w:val="004C1A5C"/>
    <w:rsid w:val="004C27DE"/>
    <w:rsid w:val="004C2EFD"/>
    <w:rsid w:val="004C3941"/>
    <w:rsid w:val="004C3EB0"/>
    <w:rsid w:val="004C4266"/>
    <w:rsid w:val="004C4624"/>
    <w:rsid w:val="004C4ABE"/>
    <w:rsid w:val="004C55D8"/>
    <w:rsid w:val="004C5E67"/>
    <w:rsid w:val="004C6098"/>
    <w:rsid w:val="004C61FF"/>
    <w:rsid w:val="004C65B8"/>
    <w:rsid w:val="004C70DA"/>
    <w:rsid w:val="004D03EA"/>
    <w:rsid w:val="004D1744"/>
    <w:rsid w:val="004D208E"/>
    <w:rsid w:val="004D2803"/>
    <w:rsid w:val="004D4160"/>
    <w:rsid w:val="004D4706"/>
    <w:rsid w:val="004D5332"/>
    <w:rsid w:val="004D5B47"/>
    <w:rsid w:val="004D63D6"/>
    <w:rsid w:val="004D6A5C"/>
    <w:rsid w:val="004D6DB4"/>
    <w:rsid w:val="004D6EB4"/>
    <w:rsid w:val="004D776F"/>
    <w:rsid w:val="004E0BA3"/>
    <w:rsid w:val="004E0E1A"/>
    <w:rsid w:val="004E0F86"/>
    <w:rsid w:val="004E20D2"/>
    <w:rsid w:val="004E258F"/>
    <w:rsid w:val="004E2ACC"/>
    <w:rsid w:val="004E3037"/>
    <w:rsid w:val="004E30F8"/>
    <w:rsid w:val="004E3CF9"/>
    <w:rsid w:val="004E4FF0"/>
    <w:rsid w:val="004E5739"/>
    <w:rsid w:val="004E5A10"/>
    <w:rsid w:val="004E622A"/>
    <w:rsid w:val="004F078B"/>
    <w:rsid w:val="004F106A"/>
    <w:rsid w:val="004F1283"/>
    <w:rsid w:val="004F1A18"/>
    <w:rsid w:val="004F232A"/>
    <w:rsid w:val="004F330C"/>
    <w:rsid w:val="004F33C0"/>
    <w:rsid w:val="004F358D"/>
    <w:rsid w:val="004F3DFE"/>
    <w:rsid w:val="004F41CC"/>
    <w:rsid w:val="004F4633"/>
    <w:rsid w:val="004F47C0"/>
    <w:rsid w:val="004F4999"/>
    <w:rsid w:val="004F499C"/>
    <w:rsid w:val="004F4A4C"/>
    <w:rsid w:val="004F4D5B"/>
    <w:rsid w:val="004F567A"/>
    <w:rsid w:val="004F5BC4"/>
    <w:rsid w:val="004F61C6"/>
    <w:rsid w:val="004F6616"/>
    <w:rsid w:val="004F677B"/>
    <w:rsid w:val="004F6A7A"/>
    <w:rsid w:val="004F73F8"/>
    <w:rsid w:val="004F7A88"/>
    <w:rsid w:val="004F7CF8"/>
    <w:rsid w:val="00500623"/>
    <w:rsid w:val="00500675"/>
    <w:rsid w:val="005018A5"/>
    <w:rsid w:val="00501AB0"/>
    <w:rsid w:val="00502DE9"/>
    <w:rsid w:val="00503D05"/>
    <w:rsid w:val="00504187"/>
    <w:rsid w:val="00504450"/>
    <w:rsid w:val="0050455A"/>
    <w:rsid w:val="005046CA"/>
    <w:rsid w:val="005057FE"/>
    <w:rsid w:val="00505AB0"/>
    <w:rsid w:val="00506012"/>
    <w:rsid w:val="00506203"/>
    <w:rsid w:val="00507F26"/>
    <w:rsid w:val="00510245"/>
    <w:rsid w:val="005103F5"/>
    <w:rsid w:val="00510DF9"/>
    <w:rsid w:val="005122B2"/>
    <w:rsid w:val="005123AC"/>
    <w:rsid w:val="00512A48"/>
    <w:rsid w:val="00512BFC"/>
    <w:rsid w:val="0051413C"/>
    <w:rsid w:val="00514D06"/>
    <w:rsid w:val="005153E5"/>
    <w:rsid w:val="00515487"/>
    <w:rsid w:val="00515DD4"/>
    <w:rsid w:val="00515E6C"/>
    <w:rsid w:val="005164EA"/>
    <w:rsid w:val="00516BE3"/>
    <w:rsid w:val="00520170"/>
    <w:rsid w:val="005212A5"/>
    <w:rsid w:val="00521A3A"/>
    <w:rsid w:val="005231B0"/>
    <w:rsid w:val="00523D40"/>
    <w:rsid w:val="00524477"/>
    <w:rsid w:val="00524D6A"/>
    <w:rsid w:val="00524E76"/>
    <w:rsid w:val="00525100"/>
    <w:rsid w:val="00525D05"/>
    <w:rsid w:val="00525F1D"/>
    <w:rsid w:val="00526D8F"/>
    <w:rsid w:val="0052763A"/>
    <w:rsid w:val="005301F2"/>
    <w:rsid w:val="005302BF"/>
    <w:rsid w:val="005309F1"/>
    <w:rsid w:val="00531555"/>
    <w:rsid w:val="00531AF1"/>
    <w:rsid w:val="005320CF"/>
    <w:rsid w:val="00532FF9"/>
    <w:rsid w:val="00533633"/>
    <w:rsid w:val="00534456"/>
    <w:rsid w:val="005345B1"/>
    <w:rsid w:val="00534EAF"/>
    <w:rsid w:val="00535BCC"/>
    <w:rsid w:val="00535D00"/>
    <w:rsid w:val="00535F6D"/>
    <w:rsid w:val="00536726"/>
    <w:rsid w:val="00536DDB"/>
    <w:rsid w:val="00540048"/>
    <w:rsid w:val="005400ED"/>
    <w:rsid w:val="00540286"/>
    <w:rsid w:val="00540933"/>
    <w:rsid w:val="0054100C"/>
    <w:rsid w:val="00541273"/>
    <w:rsid w:val="00541CF5"/>
    <w:rsid w:val="00541D40"/>
    <w:rsid w:val="00542067"/>
    <w:rsid w:val="00542808"/>
    <w:rsid w:val="00542BA4"/>
    <w:rsid w:val="00543123"/>
    <w:rsid w:val="005435AC"/>
    <w:rsid w:val="00543AD8"/>
    <w:rsid w:val="00543D9F"/>
    <w:rsid w:val="00544083"/>
    <w:rsid w:val="00544ECE"/>
    <w:rsid w:val="00545754"/>
    <w:rsid w:val="0054667C"/>
    <w:rsid w:val="005467D8"/>
    <w:rsid w:val="00547385"/>
    <w:rsid w:val="005475C5"/>
    <w:rsid w:val="00547994"/>
    <w:rsid w:val="00547CAD"/>
    <w:rsid w:val="00551376"/>
    <w:rsid w:val="00551728"/>
    <w:rsid w:val="00551926"/>
    <w:rsid w:val="0055236B"/>
    <w:rsid w:val="005526F7"/>
    <w:rsid w:val="00552E0E"/>
    <w:rsid w:val="00552FD6"/>
    <w:rsid w:val="005538CF"/>
    <w:rsid w:val="00553A34"/>
    <w:rsid w:val="00554793"/>
    <w:rsid w:val="00554E94"/>
    <w:rsid w:val="00556105"/>
    <w:rsid w:val="0055612E"/>
    <w:rsid w:val="0055766B"/>
    <w:rsid w:val="005578B8"/>
    <w:rsid w:val="005600D3"/>
    <w:rsid w:val="00560EA8"/>
    <w:rsid w:val="00562F61"/>
    <w:rsid w:val="005630D8"/>
    <w:rsid w:val="005636B2"/>
    <w:rsid w:val="005639B8"/>
    <w:rsid w:val="00563B7C"/>
    <w:rsid w:val="0056446E"/>
    <w:rsid w:val="00564D71"/>
    <w:rsid w:val="005651EC"/>
    <w:rsid w:val="0056549F"/>
    <w:rsid w:val="005660E0"/>
    <w:rsid w:val="005673D7"/>
    <w:rsid w:val="005703E4"/>
    <w:rsid w:val="005706D0"/>
    <w:rsid w:val="00570776"/>
    <w:rsid w:val="00570CCC"/>
    <w:rsid w:val="00571083"/>
    <w:rsid w:val="0057120A"/>
    <w:rsid w:val="00572D16"/>
    <w:rsid w:val="00572E47"/>
    <w:rsid w:val="00573397"/>
    <w:rsid w:val="00573A0C"/>
    <w:rsid w:val="00574202"/>
    <w:rsid w:val="005748E0"/>
    <w:rsid w:val="00575152"/>
    <w:rsid w:val="0057521D"/>
    <w:rsid w:val="00575EA4"/>
    <w:rsid w:val="00575F17"/>
    <w:rsid w:val="005765E0"/>
    <w:rsid w:val="005769E2"/>
    <w:rsid w:val="00576F3D"/>
    <w:rsid w:val="00582742"/>
    <w:rsid w:val="00582ECF"/>
    <w:rsid w:val="00583BC8"/>
    <w:rsid w:val="00583FA0"/>
    <w:rsid w:val="005844B4"/>
    <w:rsid w:val="00584B75"/>
    <w:rsid w:val="00585A58"/>
    <w:rsid w:val="00585AE5"/>
    <w:rsid w:val="00586051"/>
    <w:rsid w:val="00586785"/>
    <w:rsid w:val="00586A82"/>
    <w:rsid w:val="00587857"/>
    <w:rsid w:val="00587FCA"/>
    <w:rsid w:val="0059019C"/>
    <w:rsid w:val="00590613"/>
    <w:rsid w:val="005910F4"/>
    <w:rsid w:val="00591480"/>
    <w:rsid w:val="00591A2F"/>
    <w:rsid w:val="00592E11"/>
    <w:rsid w:val="005931E1"/>
    <w:rsid w:val="005936B4"/>
    <w:rsid w:val="005940F7"/>
    <w:rsid w:val="00594781"/>
    <w:rsid w:val="00594DEA"/>
    <w:rsid w:val="00595531"/>
    <w:rsid w:val="00595CE7"/>
    <w:rsid w:val="00595DED"/>
    <w:rsid w:val="0059704A"/>
    <w:rsid w:val="0059761A"/>
    <w:rsid w:val="005978D1"/>
    <w:rsid w:val="005A06D8"/>
    <w:rsid w:val="005A0B48"/>
    <w:rsid w:val="005A0C46"/>
    <w:rsid w:val="005A19BD"/>
    <w:rsid w:val="005A1BBD"/>
    <w:rsid w:val="005A1CE7"/>
    <w:rsid w:val="005A1D2E"/>
    <w:rsid w:val="005A1FE7"/>
    <w:rsid w:val="005A21B8"/>
    <w:rsid w:val="005A37B4"/>
    <w:rsid w:val="005A3912"/>
    <w:rsid w:val="005A3D2C"/>
    <w:rsid w:val="005A42AA"/>
    <w:rsid w:val="005A437D"/>
    <w:rsid w:val="005A46B4"/>
    <w:rsid w:val="005A5339"/>
    <w:rsid w:val="005A649C"/>
    <w:rsid w:val="005B003F"/>
    <w:rsid w:val="005B0623"/>
    <w:rsid w:val="005B0D34"/>
    <w:rsid w:val="005B0E74"/>
    <w:rsid w:val="005B18E7"/>
    <w:rsid w:val="005B1D03"/>
    <w:rsid w:val="005B1DAE"/>
    <w:rsid w:val="005B23CA"/>
    <w:rsid w:val="005B24BA"/>
    <w:rsid w:val="005B2C54"/>
    <w:rsid w:val="005B2D52"/>
    <w:rsid w:val="005B32FD"/>
    <w:rsid w:val="005B3B92"/>
    <w:rsid w:val="005B40B2"/>
    <w:rsid w:val="005B5300"/>
    <w:rsid w:val="005B6EEC"/>
    <w:rsid w:val="005B70CC"/>
    <w:rsid w:val="005C0AE3"/>
    <w:rsid w:val="005C0CF0"/>
    <w:rsid w:val="005C0F69"/>
    <w:rsid w:val="005C113F"/>
    <w:rsid w:val="005C16AC"/>
    <w:rsid w:val="005C2228"/>
    <w:rsid w:val="005C2377"/>
    <w:rsid w:val="005C283B"/>
    <w:rsid w:val="005C28F0"/>
    <w:rsid w:val="005C2E91"/>
    <w:rsid w:val="005C3405"/>
    <w:rsid w:val="005C39AA"/>
    <w:rsid w:val="005C3AFD"/>
    <w:rsid w:val="005C411B"/>
    <w:rsid w:val="005C46C1"/>
    <w:rsid w:val="005C53E9"/>
    <w:rsid w:val="005C5D51"/>
    <w:rsid w:val="005C6927"/>
    <w:rsid w:val="005C74A8"/>
    <w:rsid w:val="005C7B4F"/>
    <w:rsid w:val="005D0290"/>
    <w:rsid w:val="005D0655"/>
    <w:rsid w:val="005D06AB"/>
    <w:rsid w:val="005D1017"/>
    <w:rsid w:val="005D1650"/>
    <w:rsid w:val="005D285B"/>
    <w:rsid w:val="005D2871"/>
    <w:rsid w:val="005D3674"/>
    <w:rsid w:val="005D3A10"/>
    <w:rsid w:val="005D4497"/>
    <w:rsid w:val="005D4766"/>
    <w:rsid w:val="005D50E8"/>
    <w:rsid w:val="005D56B8"/>
    <w:rsid w:val="005D56CD"/>
    <w:rsid w:val="005D56DB"/>
    <w:rsid w:val="005D5AC4"/>
    <w:rsid w:val="005D5EC8"/>
    <w:rsid w:val="005D66A1"/>
    <w:rsid w:val="005D731C"/>
    <w:rsid w:val="005D7FD3"/>
    <w:rsid w:val="005E0345"/>
    <w:rsid w:val="005E05D3"/>
    <w:rsid w:val="005E0936"/>
    <w:rsid w:val="005E0E8F"/>
    <w:rsid w:val="005E2922"/>
    <w:rsid w:val="005E2A04"/>
    <w:rsid w:val="005E2E28"/>
    <w:rsid w:val="005E33F6"/>
    <w:rsid w:val="005E36CE"/>
    <w:rsid w:val="005E422E"/>
    <w:rsid w:val="005E5CB7"/>
    <w:rsid w:val="005E6EE9"/>
    <w:rsid w:val="005E7B6C"/>
    <w:rsid w:val="005E7C7D"/>
    <w:rsid w:val="005F045A"/>
    <w:rsid w:val="005F1AF6"/>
    <w:rsid w:val="005F1E0A"/>
    <w:rsid w:val="005F21B5"/>
    <w:rsid w:val="005F23B9"/>
    <w:rsid w:val="005F2949"/>
    <w:rsid w:val="005F2A19"/>
    <w:rsid w:val="005F341C"/>
    <w:rsid w:val="005F34CE"/>
    <w:rsid w:val="005F387A"/>
    <w:rsid w:val="005F3DAA"/>
    <w:rsid w:val="005F49C4"/>
    <w:rsid w:val="005F5072"/>
    <w:rsid w:val="005F5E03"/>
    <w:rsid w:val="005F5FDB"/>
    <w:rsid w:val="005F6A07"/>
    <w:rsid w:val="005F6E65"/>
    <w:rsid w:val="005F7EC3"/>
    <w:rsid w:val="00600627"/>
    <w:rsid w:val="00600789"/>
    <w:rsid w:val="00600B0A"/>
    <w:rsid w:val="00601776"/>
    <w:rsid w:val="00601EC2"/>
    <w:rsid w:val="00602954"/>
    <w:rsid w:val="00604720"/>
    <w:rsid w:val="0060511E"/>
    <w:rsid w:val="00605794"/>
    <w:rsid w:val="00605CFE"/>
    <w:rsid w:val="00606035"/>
    <w:rsid w:val="00606DCF"/>
    <w:rsid w:val="00606F42"/>
    <w:rsid w:val="0060779A"/>
    <w:rsid w:val="006078B0"/>
    <w:rsid w:val="00610186"/>
    <w:rsid w:val="0061041C"/>
    <w:rsid w:val="00610816"/>
    <w:rsid w:val="00610C92"/>
    <w:rsid w:val="006110F9"/>
    <w:rsid w:val="006112CA"/>
    <w:rsid w:val="00611B87"/>
    <w:rsid w:val="006120E9"/>
    <w:rsid w:val="00612464"/>
    <w:rsid w:val="00612B14"/>
    <w:rsid w:val="00612D8E"/>
    <w:rsid w:val="00613B45"/>
    <w:rsid w:val="00613C3B"/>
    <w:rsid w:val="00614120"/>
    <w:rsid w:val="006145EA"/>
    <w:rsid w:val="0061473F"/>
    <w:rsid w:val="00614D6A"/>
    <w:rsid w:val="00615075"/>
    <w:rsid w:val="00615982"/>
    <w:rsid w:val="00615EED"/>
    <w:rsid w:val="0061661D"/>
    <w:rsid w:val="00617155"/>
    <w:rsid w:val="006179AE"/>
    <w:rsid w:val="00617A13"/>
    <w:rsid w:val="00620B1E"/>
    <w:rsid w:val="00621320"/>
    <w:rsid w:val="006213F6"/>
    <w:rsid w:val="006225A3"/>
    <w:rsid w:val="00622A49"/>
    <w:rsid w:val="0062321E"/>
    <w:rsid w:val="00623FC2"/>
    <w:rsid w:val="00624961"/>
    <w:rsid w:val="00624A9F"/>
    <w:rsid w:val="00624B9A"/>
    <w:rsid w:val="00624C13"/>
    <w:rsid w:val="006261C2"/>
    <w:rsid w:val="006263AE"/>
    <w:rsid w:val="006266F5"/>
    <w:rsid w:val="0062719F"/>
    <w:rsid w:val="006304EC"/>
    <w:rsid w:val="0063086D"/>
    <w:rsid w:val="00631B76"/>
    <w:rsid w:val="00631E12"/>
    <w:rsid w:val="00632074"/>
    <w:rsid w:val="00632E3F"/>
    <w:rsid w:val="00634782"/>
    <w:rsid w:val="00634C3E"/>
    <w:rsid w:val="00635B2A"/>
    <w:rsid w:val="00635D64"/>
    <w:rsid w:val="00637D77"/>
    <w:rsid w:val="00640A88"/>
    <w:rsid w:val="00640BF4"/>
    <w:rsid w:val="00640C63"/>
    <w:rsid w:val="00641642"/>
    <w:rsid w:val="00641FE6"/>
    <w:rsid w:val="00642FDE"/>
    <w:rsid w:val="00643145"/>
    <w:rsid w:val="006439A2"/>
    <w:rsid w:val="00643E5A"/>
    <w:rsid w:val="006440A8"/>
    <w:rsid w:val="0064461D"/>
    <w:rsid w:val="00644F54"/>
    <w:rsid w:val="00645537"/>
    <w:rsid w:val="006459ED"/>
    <w:rsid w:val="00645F0E"/>
    <w:rsid w:val="0064665D"/>
    <w:rsid w:val="006468BE"/>
    <w:rsid w:val="006468C7"/>
    <w:rsid w:val="0064718F"/>
    <w:rsid w:val="0064744B"/>
    <w:rsid w:val="006475E6"/>
    <w:rsid w:val="0065036D"/>
    <w:rsid w:val="00650C2F"/>
    <w:rsid w:val="00650C56"/>
    <w:rsid w:val="00650D0B"/>
    <w:rsid w:val="006522A6"/>
    <w:rsid w:val="00652B75"/>
    <w:rsid w:val="0065315A"/>
    <w:rsid w:val="00653DEE"/>
    <w:rsid w:val="006542F2"/>
    <w:rsid w:val="006546C1"/>
    <w:rsid w:val="00654A1D"/>
    <w:rsid w:val="0065519C"/>
    <w:rsid w:val="00655A91"/>
    <w:rsid w:val="00655B65"/>
    <w:rsid w:val="00656194"/>
    <w:rsid w:val="00656DA9"/>
    <w:rsid w:val="006576BF"/>
    <w:rsid w:val="00657F02"/>
    <w:rsid w:val="00660E4D"/>
    <w:rsid w:val="00660E71"/>
    <w:rsid w:val="00660FA8"/>
    <w:rsid w:val="006618BF"/>
    <w:rsid w:val="00661CA8"/>
    <w:rsid w:val="00661E57"/>
    <w:rsid w:val="0066276E"/>
    <w:rsid w:val="00663669"/>
    <w:rsid w:val="00663744"/>
    <w:rsid w:val="0066423D"/>
    <w:rsid w:val="0066445D"/>
    <w:rsid w:val="006647E4"/>
    <w:rsid w:val="00667055"/>
    <w:rsid w:val="006670FC"/>
    <w:rsid w:val="006677AD"/>
    <w:rsid w:val="006678DA"/>
    <w:rsid w:val="0067014F"/>
    <w:rsid w:val="006704EA"/>
    <w:rsid w:val="0067075B"/>
    <w:rsid w:val="00670EDC"/>
    <w:rsid w:val="006715A6"/>
    <w:rsid w:val="00671CB6"/>
    <w:rsid w:val="00671DFF"/>
    <w:rsid w:val="0067280D"/>
    <w:rsid w:val="00672855"/>
    <w:rsid w:val="00673F40"/>
    <w:rsid w:val="006743B5"/>
    <w:rsid w:val="0067453A"/>
    <w:rsid w:val="00674BFE"/>
    <w:rsid w:val="00675722"/>
    <w:rsid w:val="0067591B"/>
    <w:rsid w:val="00675E2B"/>
    <w:rsid w:val="0067615F"/>
    <w:rsid w:val="0067658B"/>
    <w:rsid w:val="00676776"/>
    <w:rsid w:val="00676860"/>
    <w:rsid w:val="00677327"/>
    <w:rsid w:val="00677681"/>
    <w:rsid w:val="006777EB"/>
    <w:rsid w:val="00677C97"/>
    <w:rsid w:val="006807AE"/>
    <w:rsid w:val="00680AD5"/>
    <w:rsid w:val="00681D0F"/>
    <w:rsid w:val="0068205B"/>
    <w:rsid w:val="0068234A"/>
    <w:rsid w:val="006823C4"/>
    <w:rsid w:val="006824BE"/>
    <w:rsid w:val="00682664"/>
    <w:rsid w:val="0068266A"/>
    <w:rsid w:val="006826A8"/>
    <w:rsid w:val="00682802"/>
    <w:rsid w:val="0068395A"/>
    <w:rsid w:val="00683A20"/>
    <w:rsid w:val="00683C5C"/>
    <w:rsid w:val="00684FA7"/>
    <w:rsid w:val="00685551"/>
    <w:rsid w:val="00685575"/>
    <w:rsid w:val="00685934"/>
    <w:rsid w:val="00686466"/>
    <w:rsid w:val="0068667B"/>
    <w:rsid w:val="00686F7C"/>
    <w:rsid w:val="00686FEF"/>
    <w:rsid w:val="0068709B"/>
    <w:rsid w:val="00687AC8"/>
    <w:rsid w:val="00687D2E"/>
    <w:rsid w:val="00690E8D"/>
    <w:rsid w:val="00691DAD"/>
    <w:rsid w:val="0069259C"/>
    <w:rsid w:val="006929AB"/>
    <w:rsid w:val="00693267"/>
    <w:rsid w:val="0069380F"/>
    <w:rsid w:val="00694980"/>
    <w:rsid w:val="00694F6A"/>
    <w:rsid w:val="00695139"/>
    <w:rsid w:val="00696A41"/>
    <w:rsid w:val="00696AC0"/>
    <w:rsid w:val="00696B1E"/>
    <w:rsid w:val="00696F77"/>
    <w:rsid w:val="006977BD"/>
    <w:rsid w:val="006A0480"/>
    <w:rsid w:val="006A36DC"/>
    <w:rsid w:val="006A390D"/>
    <w:rsid w:val="006A3DB2"/>
    <w:rsid w:val="006A4139"/>
    <w:rsid w:val="006A477C"/>
    <w:rsid w:val="006A4DC8"/>
    <w:rsid w:val="006A5200"/>
    <w:rsid w:val="006A5BE2"/>
    <w:rsid w:val="006A69D0"/>
    <w:rsid w:val="006A716C"/>
    <w:rsid w:val="006A725B"/>
    <w:rsid w:val="006A7AFF"/>
    <w:rsid w:val="006B16E7"/>
    <w:rsid w:val="006B2A87"/>
    <w:rsid w:val="006B2F75"/>
    <w:rsid w:val="006B2FD2"/>
    <w:rsid w:val="006B3059"/>
    <w:rsid w:val="006B3EB0"/>
    <w:rsid w:val="006B48A6"/>
    <w:rsid w:val="006B4ADA"/>
    <w:rsid w:val="006B4C77"/>
    <w:rsid w:val="006B4CF7"/>
    <w:rsid w:val="006B4FF2"/>
    <w:rsid w:val="006B504F"/>
    <w:rsid w:val="006B5898"/>
    <w:rsid w:val="006B5E19"/>
    <w:rsid w:val="006B6183"/>
    <w:rsid w:val="006B6AF7"/>
    <w:rsid w:val="006B7187"/>
    <w:rsid w:val="006C05F8"/>
    <w:rsid w:val="006C0C38"/>
    <w:rsid w:val="006C1176"/>
    <w:rsid w:val="006C1E24"/>
    <w:rsid w:val="006C2141"/>
    <w:rsid w:val="006C237A"/>
    <w:rsid w:val="006C2641"/>
    <w:rsid w:val="006C28C3"/>
    <w:rsid w:val="006C3B72"/>
    <w:rsid w:val="006C3FD5"/>
    <w:rsid w:val="006C5012"/>
    <w:rsid w:val="006C535F"/>
    <w:rsid w:val="006C53FB"/>
    <w:rsid w:val="006C542C"/>
    <w:rsid w:val="006C5CF4"/>
    <w:rsid w:val="006C5F02"/>
    <w:rsid w:val="006C736C"/>
    <w:rsid w:val="006C7841"/>
    <w:rsid w:val="006C7C98"/>
    <w:rsid w:val="006D05A6"/>
    <w:rsid w:val="006D0728"/>
    <w:rsid w:val="006D0C48"/>
    <w:rsid w:val="006D165E"/>
    <w:rsid w:val="006D23D4"/>
    <w:rsid w:val="006D2630"/>
    <w:rsid w:val="006D28DD"/>
    <w:rsid w:val="006D2917"/>
    <w:rsid w:val="006D2F3E"/>
    <w:rsid w:val="006D3555"/>
    <w:rsid w:val="006D3A8F"/>
    <w:rsid w:val="006D43C7"/>
    <w:rsid w:val="006D4FDD"/>
    <w:rsid w:val="006D5144"/>
    <w:rsid w:val="006D5A21"/>
    <w:rsid w:val="006D5A54"/>
    <w:rsid w:val="006D7C9D"/>
    <w:rsid w:val="006D7CA4"/>
    <w:rsid w:val="006D7DEC"/>
    <w:rsid w:val="006D7E6E"/>
    <w:rsid w:val="006E053D"/>
    <w:rsid w:val="006E1460"/>
    <w:rsid w:val="006E189E"/>
    <w:rsid w:val="006E264B"/>
    <w:rsid w:val="006E2A69"/>
    <w:rsid w:val="006E2D88"/>
    <w:rsid w:val="006E2FD7"/>
    <w:rsid w:val="006E3705"/>
    <w:rsid w:val="006E43B5"/>
    <w:rsid w:val="006E4B07"/>
    <w:rsid w:val="006E525C"/>
    <w:rsid w:val="006E52EB"/>
    <w:rsid w:val="006E5481"/>
    <w:rsid w:val="006E5AEB"/>
    <w:rsid w:val="006E5DB5"/>
    <w:rsid w:val="006E6208"/>
    <w:rsid w:val="006E6453"/>
    <w:rsid w:val="006E6885"/>
    <w:rsid w:val="006E7AF5"/>
    <w:rsid w:val="006F0029"/>
    <w:rsid w:val="006F0645"/>
    <w:rsid w:val="006F088B"/>
    <w:rsid w:val="006F0ABF"/>
    <w:rsid w:val="006F0B68"/>
    <w:rsid w:val="006F155B"/>
    <w:rsid w:val="006F1A2B"/>
    <w:rsid w:val="006F1BEE"/>
    <w:rsid w:val="006F2045"/>
    <w:rsid w:val="006F2307"/>
    <w:rsid w:val="006F2C29"/>
    <w:rsid w:val="006F2C70"/>
    <w:rsid w:val="006F3234"/>
    <w:rsid w:val="006F5A30"/>
    <w:rsid w:val="006F68CE"/>
    <w:rsid w:val="006F707A"/>
    <w:rsid w:val="006F7F17"/>
    <w:rsid w:val="007006F1"/>
    <w:rsid w:val="00700A4E"/>
    <w:rsid w:val="00701B07"/>
    <w:rsid w:val="007024BB"/>
    <w:rsid w:val="00702C07"/>
    <w:rsid w:val="00702D97"/>
    <w:rsid w:val="00703AE9"/>
    <w:rsid w:val="00703DFB"/>
    <w:rsid w:val="00705065"/>
    <w:rsid w:val="00705A2C"/>
    <w:rsid w:val="00706101"/>
    <w:rsid w:val="00706550"/>
    <w:rsid w:val="00706F31"/>
    <w:rsid w:val="007071AF"/>
    <w:rsid w:val="007071D3"/>
    <w:rsid w:val="007100A8"/>
    <w:rsid w:val="00710467"/>
    <w:rsid w:val="00710682"/>
    <w:rsid w:val="00710EE2"/>
    <w:rsid w:val="00711308"/>
    <w:rsid w:val="0071137C"/>
    <w:rsid w:val="007119F8"/>
    <w:rsid w:val="00711D35"/>
    <w:rsid w:val="0071243B"/>
    <w:rsid w:val="007137A5"/>
    <w:rsid w:val="00713E2B"/>
    <w:rsid w:val="0071485F"/>
    <w:rsid w:val="00715A77"/>
    <w:rsid w:val="00715DE1"/>
    <w:rsid w:val="00717109"/>
    <w:rsid w:val="00717AA7"/>
    <w:rsid w:val="00717B4B"/>
    <w:rsid w:val="00717DC4"/>
    <w:rsid w:val="00720062"/>
    <w:rsid w:val="0072039C"/>
    <w:rsid w:val="007203A8"/>
    <w:rsid w:val="00720E39"/>
    <w:rsid w:val="00721F1E"/>
    <w:rsid w:val="007227E8"/>
    <w:rsid w:val="007229E3"/>
    <w:rsid w:val="00723495"/>
    <w:rsid w:val="00723533"/>
    <w:rsid w:val="00723557"/>
    <w:rsid w:val="00723616"/>
    <w:rsid w:val="00724AB6"/>
    <w:rsid w:val="00725927"/>
    <w:rsid w:val="00725937"/>
    <w:rsid w:val="00727DFC"/>
    <w:rsid w:val="007307FA"/>
    <w:rsid w:val="00731BD4"/>
    <w:rsid w:val="00732F27"/>
    <w:rsid w:val="007339E7"/>
    <w:rsid w:val="00734D6B"/>
    <w:rsid w:val="00735222"/>
    <w:rsid w:val="007354B7"/>
    <w:rsid w:val="00735808"/>
    <w:rsid w:val="007358BF"/>
    <w:rsid w:val="007358F0"/>
    <w:rsid w:val="00735D2D"/>
    <w:rsid w:val="00735F28"/>
    <w:rsid w:val="007360E1"/>
    <w:rsid w:val="00736120"/>
    <w:rsid w:val="007361A8"/>
    <w:rsid w:val="007373AC"/>
    <w:rsid w:val="00737DEE"/>
    <w:rsid w:val="0074221C"/>
    <w:rsid w:val="00742284"/>
    <w:rsid w:val="0074295A"/>
    <w:rsid w:val="00743159"/>
    <w:rsid w:val="00743B39"/>
    <w:rsid w:val="00743B8C"/>
    <w:rsid w:val="00743C5A"/>
    <w:rsid w:val="00743F22"/>
    <w:rsid w:val="007440AA"/>
    <w:rsid w:val="007442EE"/>
    <w:rsid w:val="00744440"/>
    <w:rsid w:val="00745941"/>
    <w:rsid w:val="007459EE"/>
    <w:rsid w:val="0074690C"/>
    <w:rsid w:val="00746B12"/>
    <w:rsid w:val="0074766F"/>
    <w:rsid w:val="00747CD9"/>
    <w:rsid w:val="00750326"/>
    <w:rsid w:val="00750427"/>
    <w:rsid w:val="00750605"/>
    <w:rsid w:val="007506A7"/>
    <w:rsid w:val="00751FC6"/>
    <w:rsid w:val="00751FD9"/>
    <w:rsid w:val="0075209E"/>
    <w:rsid w:val="00753094"/>
    <w:rsid w:val="00753165"/>
    <w:rsid w:val="0075346C"/>
    <w:rsid w:val="00753E2E"/>
    <w:rsid w:val="0075570D"/>
    <w:rsid w:val="00755B00"/>
    <w:rsid w:val="00756336"/>
    <w:rsid w:val="00756F64"/>
    <w:rsid w:val="007600BE"/>
    <w:rsid w:val="00760E5B"/>
    <w:rsid w:val="00761296"/>
    <w:rsid w:val="00761535"/>
    <w:rsid w:val="00761B56"/>
    <w:rsid w:val="007624D5"/>
    <w:rsid w:val="007633FB"/>
    <w:rsid w:val="0076341A"/>
    <w:rsid w:val="00763BF9"/>
    <w:rsid w:val="00764CDF"/>
    <w:rsid w:val="00765B83"/>
    <w:rsid w:val="00765D8D"/>
    <w:rsid w:val="00770534"/>
    <w:rsid w:val="007705EA"/>
    <w:rsid w:val="00770947"/>
    <w:rsid w:val="00771291"/>
    <w:rsid w:val="007712C8"/>
    <w:rsid w:val="0077199C"/>
    <w:rsid w:val="007719AD"/>
    <w:rsid w:val="00771E92"/>
    <w:rsid w:val="00772039"/>
    <w:rsid w:val="00772EC2"/>
    <w:rsid w:val="00773317"/>
    <w:rsid w:val="007736F4"/>
    <w:rsid w:val="007737A6"/>
    <w:rsid w:val="00773837"/>
    <w:rsid w:val="00773E92"/>
    <w:rsid w:val="00774BFB"/>
    <w:rsid w:val="00775180"/>
    <w:rsid w:val="007756AC"/>
    <w:rsid w:val="00776291"/>
    <w:rsid w:val="007765FC"/>
    <w:rsid w:val="007766E9"/>
    <w:rsid w:val="00777ADF"/>
    <w:rsid w:val="0078035D"/>
    <w:rsid w:val="007806D8"/>
    <w:rsid w:val="00780DEA"/>
    <w:rsid w:val="0078110D"/>
    <w:rsid w:val="00781595"/>
    <w:rsid w:val="007819D7"/>
    <w:rsid w:val="00782904"/>
    <w:rsid w:val="00782975"/>
    <w:rsid w:val="007834FB"/>
    <w:rsid w:val="007836D7"/>
    <w:rsid w:val="00784456"/>
    <w:rsid w:val="00784ADC"/>
    <w:rsid w:val="00784DBF"/>
    <w:rsid w:val="00785448"/>
    <w:rsid w:val="00785E15"/>
    <w:rsid w:val="00787A42"/>
    <w:rsid w:val="00790D28"/>
    <w:rsid w:val="00790FE4"/>
    <w:rsid w:val="00791987"/>
    <w:rsid w:val="00791C1B"/>
    <w:rsid w:val="007923AD"/>
    <w:rsid w:val="00792FAB"/>
    <w:rsid w:val="007938C8"/>
    <w:rsid w:val="00793E30"/>
    <w:rsid w:val="007941B2"/>
    <w:rsid w:val="00794436"/>
    <w:rsid w:val="007948C3"/>
    <w:rsid w:val="00794F09"/>
    <w:rsid w:val="00795477"/>
    <w:rsid w:val="00795778"/>
    <w:rsid w:val="00795A92"/>
    <w:rsid w:val="00796961"/>
    <w:rsid w:val="007971A4"/>
    <w:rsid w:val="0079791E"/>
    <w:rsid w:val="007A0325"/>
    <w:rsid w:val="007A0483"/>
    <w:rsid w:val="007A16D7"/>
    <w:rsid w:val="007A1822"/>
    <w:rsid w:val="007A22EF"/>
    <w:rsid w:val="007A2D43"/>
    <w:rsid w:val="007A2F2E"/>
    <w:rsid w:val="007A30A5"/>
    <w:rsid w:val="007A35D3"/>
    <w:rsid w:val="007A3C0B"/>
    <w:rsid w:val="007A4501"/>
    <w:rsid w:val="007A46F3"/>
    <w:rsid w:val="007A599D"/>
    <w:rsid w:val="007A5C4A"/>
    <w:rsid w:val="007A5CFE"/>
    <w:rsid w:val="007A5DA4"/>
    <w:rsid w:val="007A62A5"/>
    <w:rsid w:val="007A65CC"/>
    <w:rsid w:val="007A6677"/>
    <w:rsid w:val="007A66DB"/>
    <w:rsid w:val="007A6B67"/>
    <w:rsid w:val="007A7521"/>
    <w:rsid w:val="007A763F"/>
    <w:rsid w:val="007B027D"/>
    <w:rsid w:val="007B02C8"/>
    <w:rsid w:val="007B0D90"/>
    <w:rsid w:val="007B1493"/>
    <w:rsid w:val="007B1CAE"/>
    <w:rsid w:val="007B209F"/>
    <w:rsid w:val="007B2610"/>
    <w:rsid w:val="007B2E91"/>
    <w:rsid w:val="007B339B"/>
    <w:rsid w:val="007B366F"/>
    <w:rsid w:val="007B36BF"/>
    <w:rsid w:val="007B37D5"/>
    <w:rsid w:val="007B3B03"/>
    <w:rsid w:val="007B3F77"/>
    <w:rsid w:val="007B43D0"/>
    <w:rsid w:val="007B5516"/>
    <w:rsid w:val="007B5985"/>
    <w:rsid w:val="007B5CB4"/>
    <w:rsid w:val="007B662A"/>
    <w:rsid w:val="007B73EB"/>
    <w:rsid w:val="007B784A"/>
    <w:rsid w:val="007B7ABC"/>
    <w:rsid w:val="007B7FED"/>
    <w:rsid w:val="007C0489"/>
    <w:rsid w:val="007C0D51"/>
    <w:rsid w:val="007C1578"/>
    <w:rsid w:val="007C1885"/>
    <w:rsid w:val="007C1FC7"/>
    <w:rsid w:val="007C29A4"/>
    <w:rsid w:val="007C2CDB"/>
    <w:rsid w:val="007C2FA7"/>
    <w:rsid w:val="007C374B"/>
    <w:rsid w:val="007C4020"/>
    <w:rsid w:val="007C4B7E"/>
    <w:rsid w:val="007C4C77"/>
    <w:rsid w:val="007C5A25"/>
    <w:rsid w:val="007C602A"/>
    <w:rsid w:val="007C6343"/>
    <w:rsid w:val="007C698A"/>
    <w:rsid w:val="007C705F"/>
    <w:rsid w:val="007C72D4"/>
    <w:rsid w:val="007C73B3"/>
    <w:rsid w:val="007C7D27"/>
    <w:rsid w:val="007D0EB7"/>
    <w:rsid w:val="007D10B3"/>
    <w:rsid w:val="007D10BF"/>
    <w:rsid w:val="007D1243"/>
    <w:rsid w:val="007D1BC4"/>
    <w:rsid w:val="007D24D9"/>
    <w:rsid w:val="007D28D8"/>
    <w:rsid w:val="007D2AE7"/>
    <w:rsid w:val="007D34E7"/>
    <w:rsid w:val="007D3BCC"/>
    <w:rsid w:val="007D3E20"/>
    <w:rsid w:val="007D3F88"/>
    <w:rsid w:val="007D4123"/>
    <w:rsid w:val="007D437B"/>
    <w:rsid w:val="007D50D6"/>
    <w:rsid w:val="007D56D6"/>
    <w:rsid w:val="007D6317"/>
    <w:rsid w:val="007D66A0"/>
    <w:rsid w:val="007D6981"/>
    <w:rsid w:val="007D6A53"/>
    <w:rsid w:val="007D6E07"/>
    <w:rsid w:val="007D6FF4"/>
    <w:rsid w:val="007D7418"/>
    <w:rsid w:val="007D7CD0"/>
    <w:rsid w:val="007D7E52"/>
    <w:rsid w:val="007E05C6"/>
    <w:rsid w:val="007E1026"/>
    <w:rsid w:val="007E1155"/>
    <w:rsid w:val="007E18E6"/>
    <w:rsid w:val="007E19B4"/>
    <w:rsid w:val="007E2096"/>
    <w:rsid w:val="007E20A6"/>
    <w:rsid w:val="007E2906"/>
    <w:rsid w:val="007E2C3F"/>
    <w:rsid w:val="007E2D97"/>
    <w:rsid w:val="007E2F56"/>
    <w:rsid w:val="007E3234"/>
    <w:rsid w:val="007E3246"/>
    <w:rsid w:val="007E346E"/>
    <w:rsid w:val="007E4150"/>
    <w:rsid w:val="007E4C77"/>
    <w:rsid w:val="007E5232"/>
    <w:rsid w:val="007E595A"/>
    <w:rsid w:val="007E5D49"/>
    <w:rsid w:val="007E671C"/>
    <w:rsid w:val="007E6D10"/>
    <w:rsid w:val="007E7172"/>
    <w:rsid w:val="007E79DA"/>
    <w:rsid w:val="007F0D4D"/>
    <w:rsid w:val="007F125A"/>
    <w:rsid w:val="007F15AD"/>
    <w:rsid w:val="007F1956"/>
    <w:rsid w:val="007F21C1"/>
    <w:rsid w:val="007F2BBD"/>
    <w:rsid w:val="007F3620"/>
    <w:rsid w:val="007F3990"/>
    <w:rsid w:val="007F4102"/>
    <w:rsid w:val="007F4344"/>
    <w:rsid w:val="007F63FA"/>
    <w:rsid w:val="007F6976"/>
    <w:rsid w:val="007F6B66"/>
    <w:rsid w:val="007F704E"/>
    <w:rsid w:val="007F761B"/>
    <w:rsid w:val="007F79EF"/>
    <w:rsid w:val="007F7B65"/>
    <w:rsid w:val="0080043D"/>
    <w:rsid w:val="00800F1C"/>
    <w:rsid w:val="00801241"/>
    <w:rsid w:val="008030FB"/>
    <w:rsid w:val="00803919"/>
    <w:rsid w:val="00803C3E"/>
    <w:rsid w:val="00803DC0"/>
    <w:rsid w:val="008040D4"/>
    <w:rsid w:val="00804AD4"/>
    <w:rsid w:val="0080504A"/>
    <w:rsid w:val="00805886"/>
    <w:rsid w:val="00806DC3"/>
    <w:rsid w:val="00806E45"/>
    <w:rsid w:val="00806F44"/>
    <w:rsid w:val="008077E7"/>
    <w:rsid w:val="008078B4"/>
    <w:rsid w:val="00807F36"/>
    <w:rsid w:val="00810FEE"/>
    <w:rsid w:val="00811D26"/>
    <w:rsid w:val="008121A6"/>
    <w:rsid w:val="00812608"/>
    <w:rsid w:val="00812BD1"/>
    <w:rsid w:val="008139E7"/>
    <w:rsid w:val="00813B8E"/>
    <w:rsid w:val="00815497"/>
    <w:rsid w:val="008163CE"/>
    <w:rsid w:val="00816574"/>
    <w:rsid w:val="00817005"/>
    <w:rsid w:val="008173D1"/>
    <w:rsid w:val="008173D4"/>
    <w:rsid w:val="00817ED9"/>
    <w:rsid w:val="00817FEE"/>
    <w:rsid w:val="0082029D"/>
    <w:rsid w:val="00821092"/>
    <w:rsid w:val="0082152C"/>
    <w:rsid w:val="00821726"/>
    <w:rsid w:val="0082184D"/>
    <w:rsid w:val="00821FA0"/>
    <w:rsid w:val="008229BA"/>
    <w:rsid w:val="00824924"/>
    <w:rsid w:val="00824F8D"/>
    <w:rsid w:val="00825424"/>
    <w:rsid w:val="0082552B"/>
    <w:rsid w:val="008279C7"/>
    <w:rsid w:val="00827BA4"/>
    <w:rsid w:val="00827C7A"/>
    <w:rsid w:val="00827D95"/>
    <w:rsid w:val="00827E46"/>
    <w:rsid w:val="00830D55"/>
    <w:rsid w:val="00831032"/>
    <w:rsid w:val="00832B44"/>
    <w:rsid w:val="00833567"/>
    <w:rsid w:val="00833806"/>
    <w:rsid w:val="008357A2"/>
    <w:rsid w:val="00836044"/>
    <w:rsid w:val="00837179"/>
    <w:rsid w:val="00837382"/>
    <w:rsid w:val="00837C74"/>
    <w:rsid w:val="00837DA6"/>
    <w:rsid w:val="008415E1"/>
    <w:rsid w:val="008418E3"/>
    <w:rsid w:val="00841B6E"/>
    <w:rsid w:val="0084209E"/>
    <w:rsid w:val="0084243A"/>
    <w:rsid w:val="00842478"/>
    <w:rsid w:val="0084247E"/>
    <w:rsid w:val="00842A95"/>
    <w:rsid w:val="0084342A"/>
    <w:rsid w:val="0084364B"/>
    <w:rsid w:val="00843941"/>
    <w:rsid w:val="008439D4"/>
    <w:rsid w:val="00843C13"/>
    <w:rsid w:val="00844483"/>
    <w:rsid w:val="008444FB"/>
    <w:rsid w:val="008445CD"/>
    <w:rsid w:val="00844792"/>
    <w:rsid w:val="008448E6"/>
    <w:rsid w:val="00845233"/>
    <w:rsid w:val="008460A4"/>
    <w:rsid w:val="008460F9"/>
    <w:rsid w:val="00846621"/>
    <w:rsid w:val="00846D6C"/>
    <w:rsid w:val="00846E96"/>
    <w:rsid w:val="00846EAA"/>
    <w:rsid w:val="00847077"/>
    <w:rsid w:val="0084739E"/>
    <w:rsid w:val="0084752F"/>
    <w:rsid w:val="00847C5A"/>
    <w:rsid w:val="00847E3A"/>
    <w:rsid w:val="0085036F"/>
    <w:rsid w:val="00850A90"/>
    <w:rsid w:val="00850EDF"/>
    <w:rsid w:val="00851BD1"/>
    <w:rsid w:val="00852AFA"/>
    <w:rsid w:val="00852B1D"/>
    <w:rsid w:val="00853062"/>
    <w:rsid w:val="008544CC"/>
    <w:rsid w:val="008544FC"/>
    <w:rsid w:val="0085452E"/>
    <w:rsid w:val="00854629"/>
    <w:rsid w:val="00854C9F"/>
    <w:rsid w:val="0085519E"/>
    <w:rsid w:val="00855447"/>
    <w:rsid w:val="00855A5B"/>
    <w:rsid w:val="00855E19"/>
    <w:rsid w:val="00855E24"/>
    <w:rsid w:val="00855F47"/>
    <w:rsid w:val="00856615"/>
    <w:rsid w:val="008567A2"/>
    <w:rsid w:val="008568DD"/>
    <w:rsid w:val="00857574"/>
    <w:rsid w:val="00857E14"/>
    <w:rsid w:val="00860952"/>
    <w:rsid w:val="008620CA"/>
    <w:rsid w:val="0086215F"/>
    <w:rsid w:val="008621CC"/>
    <w:rsid w:val="00862492"/>
    <w:rsid w:val="00863264"/>
    <w:rsid w:val="00863C61"/>
    <w:rsid w:val="008640EE"/>
    <w:rsid w:val="00864870"/>
    <w:rsid w:val="008648EA"/>
    <w:rsid w:val="00864ACA"/>
    <w:rsid w:val="00865576"/>
    <w:rsid w:val="00865AB6"/>
    <w:rsid w:val="008662C5"/>
    <w:rsid w:val="00866615"/>
    <w:rsid w:val="00866E3E"/>
    <w:rsid w:val="00867CEC"/>
    <w:rsid w:val="00871566"/>
    <w:rsid w:val="008716EE"/>
    <w:rsid w:val="008721E9"/>
    <w:rsid w:val="008724DB"/>
    <w:rsid w:val="008727D8"/>
    <w:rsid w:val="00872C11"/>
    <w:rsid w:val="00872C6D"/>
    <w:rsid w:val="00872F28"/>
    <w:rsid w:val="00873E35"/>
    <w:rsid w:val="00874409"/>
    <w:rsid w:val="0087472E"/>
    <w:rsid w:val="00874B8A"/>
    <w:rsid w:val="00875BFF"/>
    <w:rsid w:val="008766F0"/>
    <w:rsid w:val="0088014E"/>
    <w:rsid w:val="0088026E"/>
    <w:rsid w:val="008807D2"/>
    <w:rsid w:val="00880BEC"/>
    <w:rsid w:val="0088195E"/>
    <w:rsid w:val="00882755"/>
    <w:rsid w:val="008834D1"/>
    <w:rsid w:val="00884798"/>
    <w:rsid w:val="008853FE"/>
    <w:rsid w:val="0088669D"/>
    <w:rsid w:val="00886EE9"/>
    <w:rsid w:val="008870F4"/>
    <w:rsid w:val="00890A4B"/>
    <w:rsid w:val="008911F5"/>
    <w:rsid w:val="00891564"/>
    <w:rsid w:val="00891953"/>
    <w:rsid w:val="00892557"/>
    <w:rsid w:val="008925D4"/>
    <w:rsid w:val="00892673"/>
    <w:rsid w:val="008927A0"/>
    <w:rsid w:val="00894108"/>
    <w:rsid w:val="00894C99"/>
    <w:rsid w:val="00894ED2"/>
    <w:rsid w:val="0089500B"/>
    <w:rsid w:val="0089502E"/>
    <w:rsid w:val="00895429"/>
    <w:rsid w:val="00895497"/>
    <w:rsid w:val="00895E7C"/>
    <w:rsid w:val="008964E6"/>
    <w:rsid w:val="00896553"/>
    <w:rsid w:val="00896AEE"/>
    <w:rsid w:val="008970D2"/>
    <w:rsid w:val="00897453"/>
    <w:rsid w:val="00897655"/>
    <w:rsid w:val="00897A85"/>
    <w:rsid w:val="00897EC0"/>
    <w:rsid w:val="008A0684"/>
    <w:rsid w:val="008A06AA"/>
    <w:rsid w:val="008A0723"/>
    <w:rsid w:val="008A08EC"/>
    <w:rsid w:val="008A1669"/>
    <w:rsid w:val="008A166F"/>
    <w:rsid w:val="008A179E"/>
    <w:rsid w:val="008A17A2"/>
    <w:rsid w:val="008A22CD"/>
    <w:rsid w:val="008A2889"/>
    <w:rsid w:val="008A2F3A"/>
    <w:rsid w:val="008A4485"/>
    <w:rsid w:val="008A4B6B"/>
    <w:rsid w:val="008A4D07"/>
    <w:rsid w:val="008A4EED"/>
    <w:rsid w:val="008A58DC"/>
    <w:rsid w:val="008A594A"/>
    <w:rsid w:val="008A70B5"/>
    <w:rsid w:val="008A7AF9"/>
    <w:rsid w:val="008B0006"/>
    <w:rsid w:val="008B044F"/>
    <w:rsid w:val="008B0673"/>
    <w:rsid w:val="008B094A"/>
    <w:rsid w:val="008B1EA5"/>
    <w:rsid w:val="008B244B"/>
    <w:rsid w:val="008B2794"/>
    <w:rsid w:val="008B2B09"/>
    <w:rsid w:val="008B303C"/>
    <w:rsid w:val="008B3A40"/>
    <w:rsid w:val="008B3E02"/>
    <w:rsid w:val="008B434E"/>
    <w:rsid w:val="008B46F2"/>
    <w:rsid w:val="008B492A"/>
    <w:rsid w:val="008B4A7F"/>
    <w:rsid w:val="008B4E36"/>
    <w:rsid w:val="008B5344"/>
    <w:rsid w:val="008B5381"/>
    <w:rsid w:val="008B5C28"/>
    <w:rsid w:val="008B6DD7"/>
    <w:rsid w:val="008B72DB"/>
    <w:rsid w:val="008B7A51"/>
    <w:rsid w:val="008B7CB5"/>
    <w:rsid w:val="008C0534"/>
    <w:rsid w:val="008C069D"/>
    <w:rsid w:val="008C0C6C"/>
    <w:rsid w:val="008C103C"/>
    <w:rsid w:val="008C15D1"/>
    <w:rsid w:val="008C1FA1"/>
    <w:rsid w:val="008C24BB"/>
    <w:rsid w:val="008C263D"/>
    <w:rsid w:val="008C27F9"/>
    <w:rsid w:val="008C2955"/>
    <w:rsid w:val="008C2E3F"/>
    <w:rsid w:val="008C338E"/>
    <w:rsid w:val="008C4467"/>
    <w:rsid w:val="008C47CA"/>
    <w:rsid w:val="008C4A7B"/>
    <w:rsid w:val="008C4AD7"/>
    <w:rsid w:val="008C5399"/>
    <w:rsid w:val="008C582E"/>
    <w:rsid w:val="008C6478"/>
    <w:rsid w:val="008C6F1D"/>
    <w:rsid w:val="008C7680"/>
    <w:rsid w:val="008C7996"/>
    <w:rsid w:val="008C7AB2"/>
    <w:rsid w:val="008D0512"/>
    <w:rsid w:val="008D0843"/>
    <w:rsid w:val="008D0EA8"/>
    <w:rsid w:val="008D21BA"/>
    <w:rsid w:val="008D3C7D"/>
    <w:rsid w:val="008D3FB5"/>
    <w:rsid w:val="008D4330"/>
    <w:rsid w:val="008D4918"/>
    <w:rsid w:val="008D49FA"/>
    <w:rsid w:val="008D5590"/>
    <w:rsid w:val="008D6346"/>
    <w:rsid w:val="008D646A"/>
    <w:rsid w:val="008D7885"/>
    <w:rsid w:val="008D7DF6"/>
    <w:rsid w:val="008D7F38"/>
    <w:rsid w:val="008E0EC6"/>
    <w:rsid w:val="008E1B9A"/>
    <w:rsid w:val="008E2B7D"/>
    <w:rsid w:val="008E2C40"/>
    <w:rsid w:val="008E302A"/>
    <w:rsid w:val="008E4819"/>
    <w:rsid w:val="008E5422"/>
    <w:rsid w:val="008E5878"/>
    <w:rsid w:val="008E5C3B"/>
    <w:rsid w:val="008E5DD1"/>
    <w:rsid w:val="008E643E"/>
    <w:rsid w:val="008E646C"/>
    <w:rsid w:val="008E6CD4"/>
    <w:rsid w:val="008E7710"/>
    <w:rsid w:val="008F032C"/>
    <w:rsid w:val="008F0684"/>
    <w:rsid w:val="008F1A7A"/>
    <w:rsid w:val="008F219B"/>
    <w:rsid w:val="008F4BC9"/>
    <w:rsid w:val="008F4D57"/>
    <w:rsid w:val="008F4E08"/>
    <w:rsid w:val="008F502F"/>
    <w:rsid w:val="008F52D6"/>
    <w:rsid w:val="008F7567"/>
    <w:rsid w:val="008F75A0"/>
    <w:rsid w:val="008F79DC"/>
    <w:rsid w:val="008F7E93"/>
    <w:rsid w:val="00900648"/>
    <w:rsid w:val="00901292"/>
    <w:rsid w:val="00902AE3"/>
    <w:rsid w:val="00902F99"/>
    <w:rsid w:val="00902FA2"/>
    <w:rsid w:val="00903640"/>
    <w:rsid w:val="00903832"/>
    <w:rsid w:val="00903931"/>
    <w:rsid w:val="0090467E"/>
    <w:rsid w:val="0090512D"/>
    <w:rsid w:val="00905263"/>
    <w:rsid w:val="009058FE"/>
    <w:rsid w:val="0090601D"/>
    <w:rsid w:val="009061E1"/>
    <w:rsid w:val="009073A4"/>
    <w:rsid w:val="00911C9F"/>
    <w:rsid w:val="0091275E"/>
    <w:rsid w:val="00912ACD"/>
    <w:rsid w:val="00912BE1"/>
    <w:rsid w:val="00912D43"/>
    <w:rsid w:val="00912E48"/>
    <w:rsid w:val="00912F75"/>
    <w:rsid w:val="009135E0"/>
    <w:rsid w:val="00913CA8"/>
    <w:rsid w:val="00913FB5"/>
    <w:rsid w:val="0091443A"/>
    <w:rsid w:val="00914494"/>
    <w:rsid w:val="009145A2"/>
    <w:rsid w:val="009153F8"/>
    <w:rsid w:val="00915AE2"/>
    <w:rsid w:val="00916730"/>
    <w:rsid w:val="00916E05"/>
    <w:rsid w:val="009170F0"/>
    <w:rsid w:val="00917282"/>
    <w:rsid w:val="0091729D"/>
    <w:rsid w:val="0092229B"/>
    <w:rsid w:val="009225A8"/>
    <w:rsid w:val="009234D6"/>
    <w:rsid w:val="00924635"/>
    <w:rsid w:val="0092463A"/>
    <w:rsid w:val="00924AB7"/>
    <w:rsid w:val="0092569A"/>
    <w:rsid w:val="009258B1"/>
    <w:rsid w:val="00925CBB"/>
    <w:rsid w:val="00925F6E"/>
    <w:rsid w:val="009261AF"/>
    <w:rsid w:val="00926A4F"/>
    <w:rsid w:val="009271B6"/>
    <w:rsid w:val="009271E8"/>
    <w:rsid w:val="0092722D"/>
    <w:rsid w:val="009272AC"/>
    <w:rsid w:val="009276AC"/>
    <w:rsid w:val="009276B0"/>
    <w:rsid w:val="009279C2"/>
    <w:rsid w:val="00930299"/>
    <w:rsid w:val="009303A4"/>
    <w:rsid w:val="00931007"/>
    <w:rsid w:val="009312B1"/>
    <w:rsid w:val="00931989"/>
    <w:rsid w:val="009319F3"/>
    <w:rsid w:val="00931A50"/>
    <w:rsid w:val="00931AB5"/>
    <w:rsid w:val="0093361B"/>
    <w:rsid w:val="00933FAB"/>
    <w:rsid w:val="00934025"/>
    <w:rsid w:val="00934347"/>
    <w:rsid w:val="00934CC2"/>
    <w:rsid w:val="009355AB"/>
    <w:rsid w:val="009357A9"/>
    <w:rsid w:val="009358DC"/>
    <w:rsid w:val="00936768"/>
    <w:rsid w:val="00936A0C"/>
    <w:rsid w:val="0093713B"/>
    <w:rsid w:val="00937930"/>
    <w:rsid w:val="009379A4"/>
    <w:rsid w:val="009405CF"/>
    <w:rsid w:val="00940D03"/>
    <w:rsid w:val="00940F81"/>
    <w:rsid w:val="009413B3"/>
    <w:rsid w:val="00941434"/>
    <w:rsid w:val="009433F8"/>
    <w:rsid w:val="0094360E"/>
    <w:rsid w:val="00944BD1"/>
    <w:rsid w:val="00944F00"/>
    <w:rsid w:val="00944F99"/>
    <w:rsid w:val="0094542B"/>
    <w:rsid w:val="0094583B"/>
    <w:rsid w:val="00945B44"/>
    <w:rsid w:val="00946336"/>
    <w:rsid w:val="009467C1"/>
    <w:rsid w:val="00946E72"/>
    <w:rsid w:val="009475CD"/>
    <w:rsid w:val="00947657"/>
    <w:rsid w:val="00947D55"/>
    <w:rsid w:val="009501EF"/>
    <w:rsid w:val="009502ED"/>
    <w:rsid w:val="009506E5"/>
    <w:rsid w:val="00950A96"/>
    <w:rsid w:val="0095153A"/>
    <w:rsid w:val="009515DC"/>
    <w:rsid w:val="0095164B"/>
    <w:rsid w:val="009517FE"/>
    <w:rsid w:val="00951F6B"/>
    <w:rsid w:val="0095280D"/>
    <w:rsid w:val="00952C7A"/>
    <w:rsid w:val="00952D7D"/>
    <w:rsid w:val="009532D9"/>
    <w:rsid w:val="00953D32"/>
    <w:rsid w:val="009550F0"/>
    <w:rsid w:val="00955539"/>
    <w:rsid w:val="0095573C"/>
    <w:rsid w:val="00955DFB"/>
    <w:rsid w:val="009566F5"/>
    <w:rsid w:val="00960C71"/>
    <w:rsid w:val="00961298"/>
    <w:rsid w:val="00961D77"/>
    <w:rsid w:val="00962D0A"/>
    <w:rsid w:val="00962DA3"/>
    <w:rsid w:val="009649D2"/>
    <w:rsid w:val="00964E9A"/>
    <w:rsid w:val="00965D43"/>
    <w:rsid w:val="00965D4A"/>
    <w:rsid w:val="00965D5A"/>
    <w:rsid w:val="009662AF"/>
    <w:rsid w:val="00966617"/>
    <w:rsid w:val="00967612"/>
    <w:rsid w:val="009704C8"/>
    <w:rsid w:val="00970A65"/>
    <w:rsid w:val="00970F69"/>
    <w:rsid w:val="009715A5"/>
    <w:rsid w:val="00971634"/>
    <w:rsid w:val="0097163F"/>
    <w:rsid w:val="00971771"/>
    <w:rsid w:val="0097222A"/>
    <w:rsid w:val="009725CB"/>
    <w:rsid w:val="00972611"/>
    <w:rsid w:val="009732C1"/>
    <w:rsid w:val="00973FDF"/>
    <w:rsid w:val="00974290"/>
    <w:rsid w:val="00974EB6"/>
    <w:rsid w:val="0097570D"/>
    <w:rsid w:val="00975F38"/>
    <w:rsid w:val="00976178"/>
    <w:rsid w:val="00976290"/>
    <w:rsid w:val="0097671B"/>
    <w:rsid w:val="0098024A"/>
    <w:rsid w:val="009805C2"/>
    <w:rsid w:val="00980A07"/>
    <w:rsid w:val="00980BBE"/>
    <w:rsid w:val="00980D12"/>
    <w:rsid w:val="0098117D"/>
    <w:rsid w:val="009839D1"/>
    <w:rsid w:val="00984ED5"/>
    <w:rsid w:val="009855F8"/>
    <w:rsid w:val="009859F2"/>
    <w:rsid w:val="00985D3D"/>
    <w:rsid w:val="0098636D"/>
    <w:rsid w:val="00986519"/>
    <w:rsid w:val="0098658E"/>
    <w:rsid w:val="009876AC"/>
    <w:rsid w:val="00987F97"/>
    <w:rsid w:val="00987FAA"/>
    <w:rsid w:val="009906A7"/>
    <w:rsid w:val="00990D57"/>
    <w:rsid w:val="0099151B"/>
    <w:rsid w:val="00991712"/>
    <w:rsid w:val="00991A45"/>
    <w:rsid w:val="00991B6B"/>
    <w:rsid w:val="009926EB"/>
    <w:rsid w:val="009926F8"/>
    <w:rsid w:val="00992CB9"/>
    <w:rsid w:val="00994099"/>
    <w:rsid w:val="00995CB3"/>
    <w:rsid w:val="00995D93"/>
    <w:rsid w:val="00997ECA"/>
    <w:rsid w:val="00997F1E"/>
    <w:rsid w:val="009A004C"/>
    <w:rsid w:val="009A06D8"/>
    <w:rsid w:val="009A1CF9"/>
    <w:rsid w:val="009A1E35"/>
    <w:rsid w:val="009A25B9"/>
    <w:rsid w:val="009A26AD"/>
    <w:rsid w:val="009A2D84"/>
    <w:rsid w:val="009A351B"/>
    <w:rsid w:val="009A3B4E"/>
    <w:rsid w:val="009A3E9D"/>
    <w:rsid w:val="009A3FBA"/>
    <w:rsid w:val="009A517A"/>
    <w:rsid w:val="009A5278"/>
    <w:rsid w:val="009A5792"/>
    <w:rsid w:val="009A582F"/>
    <w:rsid w:val="009A60DD"/>
    <w:rsid w:val="009A6DDF"/>
    <w:rsid w:val="009A7368"/>
    <w:rsid w:val="009A7636"/>
    <w:rsid w:val="009A7B8A"/>
    <w:rsid w:val="009B090E"/>
    <w:rsid w:val="009B113B"/>
    <w:rsid w:val="009B127E"/>
    <w:rsid w:val="009B1B5E"/>
    <w:rsid w:val="009B1FA6"/>
    <w:rsid w:val="009B2F2F"/>
    <w:rsid w:val="009B401C"/>
    <w:rsid w:val="009B5168"/>
    <w:rsid w:val="009B55D5"/>
    <w:rsid w:val="009B59F3"/>
    <w:rsid w:val="009B5C96"/>
    <w:rsid w:val="009B61CF"/>
    <w:rsid w:val="009B61FF"/>
    <w:rsid w:val="009B6C0C"/>
    <w:rsid w:val="009B7448"/>
    <w:rsid w:val="009B7839"/>
    <w:rsid w:val="009B7C99"/>
    <w:rsid w:val="009B7E1A"/>
    <w:rsid w:val="009C0162"/>
    <w:rsid w:val="009C05FF"/>
    <w:rsid w:val="009C14D7"/>
    <w:rsid w:val="009C2CAF"/>
    <w:rsid w:val="009C2F43"/>
    <w:rsid w:val="009C3306"/>
    <w:rsid w:val="009C345F"/>
    <w:rsid w:val="009C3AE8"/>
    <w:rsid w:val="009C3D97"/>
    <w:rsid w:val="009C461C"/>
    <w:rsid w:val="009C4A1E"/>
    <w:rsid w:val="009C630D"/>
    <w:rsid w:val="009C68C3"/>
    <w:rsid w:val="009C77C7"/>
    <w:rsid w:val="009D1680"/>
    <w:rsid w:val="009D1F3B"/>
    <w:rsid w:val="009D27CD"/>
    <w:rsid w:val="009D3C30"/>
    <w:rsid w:val="009D438C"/>
    <w:rsid w:val="009D4493"/>
    <w:rsid w:val="009D4939"/>
    <w:rsid w:val="009D4962"/>
    <w:rsid w:val="009D517F"/>
    <w:rsid w:val="009D5702"/>
    <w:rsid w:val="009D634F"/>
    <w:rsid w:val="009D6648"/>
    <w:rsid w:val="009D66FC"/>
    <w:rsid w:val="009D74C3"/>
    <w:rsid w:val="009D7556"/>
    <w:rsid w:val="009D7AEA"/>
    <w:rsid w:val="009D7F87"/>
    <w:rsid w:val="009D7F9A"/>
    <w:rsid w:val="009E2AA6"/>
    <w:rsid w:val="009E3509"/>
    <w:rsid w:val="009E3667"/>
    <w:rsid w:val="009E3737"/>
    <w:rsid w:val="009E3839"/>
    <w:rsid w:val="009E3E6C"/>
    <w:rsid w:val="009E4395"/>
    <w:rsid w:val="009E4CC2"/>
    <w:rsid w:val="009E53C7"/>
    <w:rsid w:val="009E5769"/>
    <w:rsid w:val="009E5B51"/>
    <w:rsid w:val="009E5D14"/>
    <w:rsid w:val="009E5E40"/>
    <w:rsid w:val="009E6A53"/>
    <w:rsid w:val="009E6BCF"/>
    <w:rsid w:val="009E70E9"/>
    <w:rsid w:val="009E7A40"/>
    <w:rsid w:val="009E7E31"/>
    <w:rsid w:val="009F0176"/>
    <w:rsid w:val="009F1482"/>
    <w:rsid w:val="009F1573"/>
    <w:rsid w:val="009F22EF"/>
    <w:rsid w:val="009F2651"/>
    <w:rsid w:val="009F27FD"/>
    <w:rsid w:val="009F4788"/>
    <w:rsid w:val="009F48F4"/>
    <w:rsid w:val="009F4DB1"/>
    <w:rsid w:val="009F54DC"/>
    <w:rsid w:val="009F5558"/>
    <w:rsid w:val="009F5E45"/>
    <w:rsid w:val="009F5F70"/>
    <w:rsid w:val="009F5FA7"/>
    <w:rsid w:val="009F62E3"/>
    <w:rsid w:val="009F7079"/>
    <w:rsid w:val="009F7547"/>
    <w:rsid w:val="00A01524"/>
    <w:rsid w:val="00A0265D"/>
    <w:rsid w:val="00A02CBE"/>
    <w:rsid w:val="00A03529"/>
    <w:rsid w:val="00A039B2"/>
    <w:rsid w:val="00A03CB0"/>
    <w:rsid w:val="00A03D8A"/>
    <w:rsid w:val="00A04403"/>
    <w:rsid w:val="00A04A3C"/>
    <w:rsid w:val="00A04AD1"/>
    <w:rsid w:val="00A04EF6"/>
    <w:rsid w:val="00A05CFC"/>
    <w:rsid w:val="00A063AB"/>
    <w:rsid w:val="00A06445"/>
    <w:rsid w:val="00A06510"/>
    <w:rsid w:val="00A06784"/>
    <w:rsid w:val="00A06D53"/>
    <w:rsid w:val="00A06DCA"/>
    <w:rsid w:val="00A07567"/>
    <w:rsid w:val="00A10ABC"/>
    <w:rsid w:val="00A10B5B"/>
    <w:rsid w:val="00A11730"/>
    <w:rsid w:val="00A117B6"/>
    <w:rsid w:val="00A11E0D"/>
    <w:rsid w:val="00A12552"/>
    <w:rsid w:val="00A127CE"/>
    <w:rsid w:val="00A1284E"/>
    <w:rsid w:val="00A12DE0"/>
    <w:rsid w:val="00A12FCE"/>
    <w:rsid w:val="00A13EAE"/>
    <w:rsid w:val="00A1445B"/>
    <w:rsid w:val="00A14540"/>
    <w:rsid w:val="00A14661"/>
    <w:rsid w:val="00A14781"/>
    <w:rsid w:val="00A152CB"/>
    <w:rsid w:val="00A155FB"/>
    <w:rsid w:val="00A1601E"/>
    <w:rsid w:val="00A16335"/>
    <w:rsid w:val="00A1704F"/>
    <w:rsid w:val="00A174ED"/>
    <w:rsid w:val="00A20AAC"/>
    <w:rsid w:val="00A20E23"/>
    <w:rsid w:val="00A20E46"/>
    <w:rsid w:val="00A2109D"/>
    <w:rsid w:val="00A2128A"/>
    <w:rsid w:val="00A215A3"/>
    <w:rsid w:val="00A21BC5"/>
    <w:rsid w:val="00A22864"/>
    <w:rsid w:val="00A23FAE"/>
    <w:rsid w:val="00A2436A"/>
    <w:rsid w:val="00A24894"/>
    <w:rsid w:val="00A24DFB"/>
    <w:rsid w:val="00A24F08"/>
    <w:rsid w:val="00A25EB5"/>
    <w:rsid w:val="00A26ABF"/>
    <w:rsid w:val="00A26CBB"/>
    <w:rsid w:val="00A3035A"/>
    <w:rsid w:val="00A31ED1"/>
    <w:rsid w:val="00A3298B"/>
    <w:rsid w:val="00A32B49"/>
    <w:rsid w:val="00A32C87"/>
    <w:rsid w:val="00A32E88"/>
    <w:rsid w:val="00A33613"/>
    <w:rsid w:val="00A33B1F"/>
    <w:rsid w:val="00A33EEE"/>
    <w:rsid w:val="00A33F7E"/>
    <w:rsid w:val="00A3494E"/>
    <w:rsid w:val="00A35CD2"/>
    <w:rsid w:val="00A361FD"/>
    <w:rsid w:val="00A363F5"/>
    <w:rsid w:val="00A3695A"/>
    <w:rsid w:val="00A36FAC"/>
    <w:rsid w:val="00A3786F"/>
    <w:rsid w:val="00A40420"/>
    <w:rsid w:val="00A40C41"/>
    <w:rsid w:val="00A40D1F"/>
    <w:rsid w:val="00A41C81"/>
    <w:rsid w:val="00A44199"/>
    <w:rsid w:val="00A443C1"/>
    <w:rsid w:val="00A44524"/>
    <w:rsid w:val="00A44C36"/>
    <w:rsid w:val="00A44DC4"/>
    <w:rsid w:val="00A44F13"/>
    <w:rsid w:val="00A4518A"/>
    <w:rsid w:val="00A451AA"/>
    <w:rsid w:val="00A45205"/>
    <w:rsid w:val="00A4525C"/>
    <w:rsid w:val="00A452C6"/>
    <w:rsid w:val="00A45795"/>
    <w:rsid w:val="00A4581D"/>
    <w:rsid w:val="00A45E9F"/>
    <w:rsid w:val="00A477DA"/>
    <w:rsid w:val="00A47E9A"/>
    <w:rsid w:val="00A47ECF"/>
    <w:rsid w:val="00A50161"/>
    <w:rsid w:val="00A50EEC"/>
    <w:rsid w:val="00A51534"/>
    <w:rsid w:val="00A51BA5"/>
    <w:rsid w:val="00A51C11"/>
    <w:rsid w:val="00A51E45"/>
    <w:rsid w:val="00A52736"/>
    <w:rsid w:val="00A535C6"/>
    <w:rsid w:val="00A53742"/>
    <w:rsid w:val="00A53A8A"/>
    <w:rsid w:val="00A53D63"/>
    <w:rsid w:val="00A5402E"/>
    <w:rsid w:val="00A5477C"/>
    <w:rsid w:val="00A548D8"/>
    <w:rsid w:val="00A54D3D"/>
    <w:rsid w:val="00A54FAE"/>
    <w:rsid w:val="00A551D6"/>
    <w:rsid w:val="00A55B5A"/>
    <w:rsid w:val="00A55F92"/>
    <w:rsid w:val="00A5669C"/>
    <w:rsid w:val="00A56E7D"/>
    <w:rsid w:val="00A57546"/>
    <w:rsid w:val="00A5792F"/>
    <w:rsid w:val="00A60263"/>
    <w:rsid w:val="00A60C6B"/>
    <w:rsid w:val="00A62E98"/>
    <w:rsid w:val="00A63530"/>
    <w:rsid w:val="00A64026"/>
    <w:rsid w:val="00A64EF1"/>
    <w:rsid w:val="00A6502F"/>
    <w:rsid w:val="00A65386"/>
    <w:rsid w:val="00A65533"/>
    <w:rsid w:val="00A65785"/>
    <w:rsid w:val="00A6647B"/>
    <w:rsid w:val="00A66B5B"/>
    <w:rsid w:val="00A67C3E"/>
    <w:rsid w:val="00A70860"/>
    <w:rsid w:val="00A7126F"/>
    <w:rsid w:val="00A71DF0"/>
    <w:rsid w:val="00A7224D"/>
    <w:rsid w:val="00A728EB"/>
    <w:rsid w:val="00A73969"/>
    <w:rsid w:val="00A7551D"/>
    <w:rsid w:val="00A759B5"/>
    <w:rsid w:val="00A76861"/>
    <w:rsid w:val="00A7713E"/>
    <w:rsid w:val="00A77456"/>
    <w:rsid w:val="00A779DF"/>
    <w:rsid w:val="00A818ED"/>
    <w:rsid w:val="00A8218C"/>
    <w:rsid w:val="00A82710"/>
    <w:rsid w:val="00A82927"/>
    <w:rsid w:val="00A8337A"/>
    <w:rsid w:val="00A8380D"/>
    <w:rsid w:val="00A83B5D"/>
    <w:rsid w:val="00A84984"/>
    <w:rsid w:val="00A860E3"/>
    <w:rsid w:val="00A86573"/>
    <w:rsid w:val="00A87454"/>
    <w:rsid w:val="00A8763F"/>
    <w:rsid w:val="00A90E9D"/>
    <w:rsid w:val="00A91142"/>
    <w:rsid w:val="00A9150E"/>
    <w:rsid w:val="00A91A51"/>
    <w:rsid w:val="00A9209F"/>
    <w:rsid w:val="00A92EA8"/>
    <w:rsid w:val="00A932EE"/>
    <w:rsid w:val="00A93454"/>
    <w:rsid w:val="00A9380F"/>
    <w:rsid w:val="00A938DC"/>
    <w:rsid w:val="00A93AA7"/>
    <w:rsid w:val="00A93B8B"/>
    <w:rsid w:val="00A94077"/>
    <w:rsid w:val="00A9436A"/>
    <w:rsid w:val="00A9481D"/>
    <w:rsid w:val="00A94A3B"/>
    <w:rsid w:val="00A957D3"/>
    <w:rsid w:val="00A96320"/>
    <w:rsid w:val="00A96583"/>
    <w:rsid w:val="00A96945"/>
    <w:rsid w:val="00A96D1A"/>
    <w:rsid w:val="00A96D4A"/>
    <w:rsid w:val="00A97456"/>
    <w:rsid w:val="00A97D6D"/>
    <w:rsid w:val="00AA0689"/>
    <w:rsid w:val="00AA1414"/>
    <w:rsid w:val="00AA17AE"/>
    <w:rsid w:val="00AA1A2C"/>
    <w:rsid w:val="00AA1EC2"/>
    <w:rsid w:val="00AA2B18"/>
    <w:rsid w:val="00AA3674"/>
    <w:rsid w:val="00AA3958"/>
    <w:rsid w:val="00AA3BA1"/>
    <w:rsid w:val="00AA3F33"/>
    <w:rsid w:val="00AA459A"/>
    <w:rsid w:val="00AA5ABC"/>
    <w:rsid w:val="00AA5FD2"/>
    <w:rsid w:val="00AA66EC"/>
    <w:rsid w:val="00AA692F"/>
    <w:rsid w:val="00AA7409"/>
    <w:rsid w:val="00AA76B6"/>
    <w:rsid w:val="00AA7C14"/>
    <w:rsid w:val="00AA7D3D"/>
    <w:rsid w:val="00AB00E2"/>
    <w:rsid w:val="00AB0256"/>
    <w:rsid w:val="00AB0406"/>
    <w:rsid w:val="00AB1A1D"/>
    <w:rsid w:val="00AB280A"/>
    <w:rsid w:val="00AB29E6"/>
    <w:rsid w:val="00AB3887"/>
    <w:rsid w:val="00AB3EFF"/>
    <w:rsid w:val="00AB4226"/>
    <w:rsid w:val="00AB47CD"/>
    <w:rsid w:val="00AB60CF"/>
    <w:rsid w:val="00AB62A3"/>
    <w:rsid w:val="00AB781A"/>
    <w:rsid w:val="00AB7C1C"/>
    <w:rsid w:val="00AB7C5A"/>
    <w:rsid w:val="00AC03CB"/>
    <w:rsid w:val="00AC0B22"/>
    <w:rsid w:val="00AC13DC"/>
    <w:rsid w:val="00AC1A38"/>
    <w:rsid w:val="00AC1CE8"/>
    <w:rsid w:val="00AC2211"/>
    <w:rsid w:val="00AC2329"/>
    <w:rsid w:val="00AC27FF"/>
    <w:rsid w:val="00AC3185"/>
    <w:rsid w:val="00AC3969"/>
    <w:rsid w:val="00AC3CCE"/>
    <w:rsid w:val="00AC3FE7"/>
    <w:rsid w:val="00AC42F8"/>
    <w:rsid w:val="00AC46BF"/>
    <w:rsid w:val="00AC5179"/>
    <w:rsid w:val="00AC56DC"/>
    <w:rsid w:val="00AC5869"/>
    <w:rsid w:val="00AC7060"/>
    <w:rsid w:val="00AC7334"/>
    <w:rsid w:val="00AC765E"/>
    <w:rsid w:val="00AD13DF"/>
    <w:rsid w:val="00AD1793"/>
    <w:rsid w:val="00AD1A4F"/>
    <w:rsid w:val="00AD288B"/>
    <w:rsid w:val="00AD2C37"/>
    <w:rsid w:val="00AD2DFA"/>
    <w:rsid w:val="00AD43DC"/>
    <w:rsid w:val="00AD4E00"/>
    <w:rsid w:val="00AD51BA"/>
    <w:rsid w:val="00AD534E"/>
    <w:rsid w:val="00AD5357"/>
    <w:rsid w:val="00AD579D"/>
    <w:rsid w:val="00AD5D16"/>
    <w:rsid w:val="00AD6677"/>
    <w:rsid w:val="00AD6743"/>
    <w:rsid w:val="00AD6D97"/>
    <w:rsid w:val="00AE04AB"/>
    <w:rsid w:val="00AE11E2"/>
    <w:rsid w:val="00AE11FD"/>
    <w:rsid w:val="00AE1652"/>
    <w:rsid w:val="00AE17F1"/>
    <w:rsid w:val="00AE1A46"/>
    <w:rsid w:val="00AE1AC5"/>
    <w:rsid w:val="00AE20D4"/>
    <w:rsid w:val="00AE35CF"/>
    <w:rsid w:val="00AE3ABA"/>
    <w:rsid w:val="00AE3E60"/>
    <w:rsid w:val="00AE5FB3"/>
    <w:rsid w:val="00AE657E"/>
    <w:rsid w:val="00AE7376"/>
    <w:rsid w:val="00AE7AA8"/>
    <w:rsid w:val="00AF0A72"/>
    <w:rsid w:val="00AF0F5C"/>
    <w:rsid w:val="00AF16CA"/>
    <w:rsid w:val="00AF1907"/>
    <w:rsid w:val="00AF1E10"/>
    <w:rsid w:val="00AF205F"/>
    <w:rsid w:val="00AF2186"/>
    <w:rsid w:val="00AF307E"/>
    <w:rsid w:val="00AF3BF5"/>
    <w:rsid w:val="00AF413F"/>
    <w:rsid w:val="00AF4570"/>
    <w:rsid w:val="00AF5DAE"/>
    <w:rsid w:val="00AF5F7B"/>
    <w:rsid w:val="00AF6932"/>
    <w:rsid w:val="00AF7773"/>
    <w:rsid w:val="00AF7928"/>
    <w:rsid w:val="00AF7B27"/>
    <w:rsid w:val="00B00734"/>
    <w:rsid w:val="00B0084C"/>
    <w:rsid w:val="00B011BA"/>
    <w:rsid w:val="00B01604"/>
    <w:rsid w:val="00B01D38"/>
    <w:rsid w:val="00B020F9"/>
    <w:rsid w:val="00B02342"/>
    <w:rsid w:val="00B02F5D"/>
    <w:rsid w:val="00B03A28"/>
    <w:rsid w:val="00B03E07"/>
    <w:rsid w:val="00B04170"/>
    <w:rsid w:val="00B046B2"/>
    <w:rsid w:val="00B04B64"/>
    <w:rsid w:val="00B05092"/>
    <w:rsid w:val="00B0510F"/>
    <w:rsid w:val="00B056A8"/>
    <w:rsid w:val="00B0580F"/>
    <w:rsid w:val="00B05CD3"/>
    <w:rsid w:val="00B05D5F"/>
    <w:rsid w:val="00B060E1"/>
    <w:rsid w:val="00B06120"/>
    <w:rsid w:val="00B0636F"/>
    <w:rsid w:val="00B06DE1"/>
    <w:rsid w:val="00B072DF"/>
    <w:rsid w:val="00B07742"/>
    <w:rsid w:val="00B07AA8"/>
    <w:rsid w:val="00B11B03"/>
    <w:rsid w:val="00B1220B"/>
    <w:rsid w:val="00B12B5B"/>
    <w:rsid w:val="00B13866"/>
    <w:rsid w:val="00B142BB"/>
    <w:rsid w:val="00B14583"/>
    <w:rsid w:val="00B14709"/>
    <w:rsid w:val="00B14DD4"/>
    <w:rsid w:val="00B14ED7"/>
    <w:rsid w:val="00B14F72"/>
    <w:rsid w:val="00B15032"/>
    <w:rsid w:val="00B15B03"/>
    <w:rsid w:val="00B16245"/>
    <w:rsid w:val="00B16CE7"/>
    <w:rsid w:val="00B176DB"/>
    <w:rsid w:val="00B178C8"/>
    <w:rsid w:val="00B17F73"/>
    <w:rsid w:val="00B201DF"/>
    <w:rsid w:val="00B20B7E"/>
    <w:rsid w:val="00B217B2"/>
    <w:rsid w:val="00B21C03"/>
    <w:rsid w:val="00B221E6"/>
    <w:rsid w:val="00B22489"/>
    <w:rsid w:val="00B22B59"/>
    <w:rsid w:val="00B22ECD"/>
    <w:rsid w:val="00B233F8"/>
    <w:rsid w:val="00B23629"/>
    <w:rsid w:val="00B24300"/>
    <w:rsid w:val="00B24586"/>
    <w:rsid w:val="00B24614"/>
    <w:rsid w:val="00B2470F"/>
    <w:rsid w:val="00B2578C"/>
    <w:rsid w:val="00B26CAE"/>
    <w:rsid w:val="00B27FE8"/>
    <w:rsid w:val="00B3003A"/>
    <w:rsid w:val="00B30290"/>
    <w:rsid w:val="00B31C62"/>
    <w:rsid w:val="00B31D5A"/>
    <w:rsid w:val="00B31F45"/>
    <w:rsid w:val="00B31FB5"/>
    <w:rsid w:val="00B329B3"/>
    <w:rsid w:val="00B32F1B"/>
    <w:rsid w:val="00B33458"/>
    <w:rsid w:val="00B33513"/>
    <w:rsid w:val="00B340E2"/>
    <w:rsid w:val="00B341A1"/>
    <w:rsid w:val="00B3448D"/>
    <w:rsid w:val="00B3487E"/>
    <w:rsid w:val="00B34E2C"/>
    <w:rsid w:val="00B350F8"/>
    <w:rsid w:val="00B3556D"/>
    <w:rsid w:val="00B35840"/>
    <w:rsid w:val="00B3628F"/>
    <w:rsid w:val="00B371BE"/>
    <w:rsid w:val="00B37997"/>
    <w:rsid w:val="00B37BB8"/>
    <w:rsid w:val="00B4010A"/>
    <w:rsid w:val="00B4055B"/>
    <w:rsid w:val="00B4096D"/>
    <w:rsid w:val="00B4128B"/>
    <w:rsid w:val="00B41929"/>
    <w:rsid w:val="00B41DBB"/>
    <w:rsid w:val="00B42A8C"/>
    <w:rsid w:val="00B42C67"/>
    <w:rsid w:val="00B43217"/>
    <w:rsid w:val="00B43598"/>
    <w:rsid w:val="00B438BA"/>
    <w:rsid w:val="00B440DA"/>
    <w:rsid w:val="00B44917"/>
    <w:rsid w:val="00B44966"/>
    <w:rsid w:val="00B44E94"/>
    <w:rsid w:val="00B45C0F"/>
    <w:rsid w:val="00B461A4"/>
    <w:rsid w:val="00B46C6A"/>
    <w:rsid w:val="00B46CBE"/>
    <w:rsid w:val="00B474A5"/>
    <w:rsid w:val="00B516A0"/>
    <w:rsid w:val="00B516D4"/>
    <w:rsid w:val="00B51713"/>
    <w:rsid w:val="00B51AA8"/>
    <w:rsid w:val="00B52554"/>
    <w:rsid w:val="00B52AA6"/>
    <w:rsid w:val="00B52BF4"/>
    <w:rsid w:val="00B530DE"/>
    <w:rsid w:val="00B53C35"/>
    <w:rsid w:val="00B5414C"/>
    <w:rsid w:val="00B54814"/>
    <w:rsid w:val="00B557C8"/>
    <w:rsid w:val="00B55DCB"/>
    <w:rsid w:val="00B55F50"/>
    <w:rsid w:val="00B56339"/>
    <w:rsid w:val="00B563D7"/>
    <w:rsid w:val="00B5648E"/>
    <w:rsid w:val="00B570C2"/>
    <w:rsid w:val="00B575B8"/>
    <w:rsid w:val="00B57AE7"/>
    <w:rsid w:val="00B57C2C"/>
    <w:rsid w:val="00B60B8F"/>
    <w:rsid w:val="00B61665"/>
    <w:rsid w:val="00B61E02"/>
    <w:rsid w:val="00B6211E"/>
    <w:rsid w:val="00B63060"/>
    <w:rsid w:val="00B6324A"/>
    <w:rsid w:val="00B63954"/>
    <w:rsid w:val="00B63CA8"/>
    <w:rsid w:val="00B646C0"/>
    <w:rsid w:val="00B64E0C"/>
    <w:rsid w:val="00B659FD"/>
    <w:rsid w:val="00B65E9D"/>
    <w:rsid w:val="00B66974"/>
    <w:rsid w:val="00B66C10"/>
    <w:rsid w:val="00B674B6"/>
    <w:rsid w:val="00B67928"/>
    <w:rsid w:val="00B70BFE"/>
    <w:rsid w:val="00B736FA"/>
    <w:rsid w:val="00B73CF2"/>
    <w:rsid w:val="00B73D65"/>
    <w:rsid w:val="00B74105"/>
    <w:rsid w:val="00B74A71"/>
    <w:rsid w:val="00B75D1B"/>
    <w:rsid w:val="00B7690B"/>
    <w:rsid w:val="00B76F64"/>
    <w:rsid w:val="00B76FE9"/>
    <w:rsid w:val="00B7701F"/>
    <w:rsid w:val="00B7710C"/>
    <w:rsid w:val="00B77CE9"/>
    <w:rsid w:val="00B80747"/>
    <w:rsid w:val="00B808D8"/>
    <w:rsid w:val="00B8092C"/>
    <w:rsid w:val="00B80C2E"/>
    <w:rsid w:val="00B81132"/>
    <w:rsid w:val="00B81294"/>
    <w:rsid w:val="00B8164C"/>
    <w:rsid w:val="00B8192E"/>
    <w:rsid w:val="00B8218C"/>
    <w:rsid w:val="00B82371"/>
    <w:rsid w:val="00B83113"/>
    <w:rsid w:val="00B84795"/>
    <w:rsid w:val="00B84972"/>
    <w:rsid w:val="00B85739"/>
    <w:rsid w:val="00B86542"/>
    <w:rsid w:val="00B867DC"/>
    <w:rsid w:val="00B86BCF"/>
    <w:rsid w:val="00B871B4"/>
    <w:rsid w:val="00B8761B"/>
    <w:rsid w:val="00B879FA"/>
    <w:rsid w:val="00B87A7D"/>
    <w:rsid w:val="00B87D6C"/>
    <w:rsid w:val="00B903DA"/>
    <w:rsid w:val="00B91176"/>
    <w:rsid w:val="00B9129F"/>
    <w:rsid w:val="00B91409"/>
    <w:rsid w:val="00B9162F"/>
    <w:rsid w:val="00B917C5"/>
    <w:rsid w:val="00B92F9D"/>
    <w:rsid w:val="00B9349A"/>
    <w:rsid w:val="00B93D1E"/>
    <w:rsid w:val="00B93E68"/>
    <w:rsid w:val="00B9446D"/>
    <w:rsid w:val="00B954A7"/>
    <w:rsid w:val="00B95B3C"/>
    <w:rsid w:val="00B95F60"/>
    <w:rsid w:val="00B95FB7"/>
    <w:rsid w:val="00B970D3"/>
    <w:rsid w:val="00B97803"/>
    <w:rsid w:val="00B97B03"/>
    <w:rsid w:val="00BA0FE9"/>
    <w:rsid w:val="00BA1A1C"/>
    <w:rsid w:val="00BA205B"/>
    <w:rsid w:val="00BA23AB"/>
    <w:rsid w:val="00BA2875"/>
    <w:rsid w:val="00BA28EF"/>
    <w:rsid w:val="00BA3156"/>
    <w:rsid w:val="00BA321D"/>
    <w:rsid w:val="00BA36C4"/>
    <w:rsid w:val="00BA38B1"/>
    <w:rsid w:val="00BA3FB0"/>
    <w:rsid w:val="00BA4A21"/>
    <w:rsid w:val="00BA502F"/>
    <w:rsid w:val="00BA53B6"/>
    <w:rsid w:val="00BA5947"/>
    <w:rsid w:val="00BA698D"/>
    <w:rsid w:val="00BA7914"/>
    <w:rsid w:val="00BA7FCA"/>
    <w:rsid w:val="00BB0368"/>
    <w:rsid w:val="00BB1B0A"/>
    <w:rsid w:val="00BB2084"/>
    <w:rsid w:val="00BB26A3"/>
    <w:rsid w:val="00BB29DA"/>
    <w:rsid w:val="00BB37E8"/>
    <w:rsid w:val="00BB3886"/>
    <w:rsid w:val="00BB3C70"/>
    <w:rsid w:val="00BB3F39"/>
    <w:rsid w:val="00BB524D"/>
    <w:rsid w:val="00BB53A2"/>
    <w:rsid w:val="00BB5504"/>
    <w:rsid w:val="00BB5FD9"/>
    <w:rsid w:val="00BB60B3"/>
    <w:rsid w:val="00BB6C2B"/>
    <w:rsid w:val="00BB6D19"/>
    <w:rsid w:val="00BB6E46"/>
    <w:rsid w:val="00BB7447"/>
    <w:rsid w:val="00BB763E"/>
    <w:rsid w:val="00BB765B"/>
    <w:rsid w:val="00BB7B3A"/>
    <w:rsid w:val="00BB7C84"/>
    <w:rsid w:val="00BB7D26"/>
    <w:rsid w:val="00BC01C5"/>
    <w:rsid w:val="00BC0ED7"/>
    <w:rsid w:val="00BC0FD0"/>
    <w:rsid w:val="00BC162D"/>
    <w:rsid w:val="00BC213B"/>
    <w:rsid w:val="00BC279C"/>
    <w:rsid w:val="00BC28A0"/>
    <w:rsid w:val="00BC33DA"/>
    <w:rsid w:val="00BC3610"/>
    <w:rsid w:val="00BC4E99"/>
    <w:rsid w:val="00BC4EB1"/>
    <w:rsid w:val="00BC52B6"/>
    <w:rsid w:val="00BC5A4A"/>
    <w:rsid w:val="00BC65B6"/>
    <w:rsid w:val="00BC666A"/>
    <w:rsid w:val="00BC7067"/>
    <w:rsid w:val="00BC76E8"/>
    <w:rsid w:val="00BD1CC1"/>
    <w:rsid w:val="00BD1D72"/>
    <w:rsid w:val="00BD1D77"/>
    <w:rsid w:val="00BD35C0"/>
    <w:rsid w:val="00BD3647"/>
    <w:rsid w:val="00BD3BB2"/>
    <w:rsid w:val="00BD44C1"/>
    <w:rsid w:val="00BD4993"/>
    <w:rsid w:val="00BD4AF6"/>
    <w:rsid w:val="00BD53E5"/>
    <w:rsid w:val="00BD54FA"/>
    <w:rsid w:val="00BD5658"/>
    <w:rsid w:val="00BD5D84"/>
    <w:rsid w:val="00BD681C"/>
    <w:rsid w:val="00BD6CD3"/>
    <w:rsid w:val="00BD6CFC"/>
    <w:rsid w:val="00BD7750"/>
    <w:rsid w:val="00BE0484"/>
    <w:rsid w:val="00BE13CA"/>
    <w:rsid w:val="00BE19E8"/>
    <w:rsid w:val="00BE1C2C"/>
    <w:rsid w:val="00BE1FEE"/>
    <w:rsid w:val="00BE2C83"/>
    <w:rsid w:val="00BE39BD"/>
    <w:rsid w:val="00BE3F1D"/>
    <w:rsid w:val="00BE485C"/>
    <w:rsid w:val="00BE4A65"/>
    <w:rsid w:val="00BE5893"/>
    <w:rsid w:val="00BE5A44"/>
    <w:rsid w:val="00BE7713"/>
    <w:rsid w:val="00BF006C"/>
    <w:rsid w:val="00BF08DC"/>
    <w:rsid w:val="00BF09B4"/>
    <w:rsid w:val="00BF0C08"/>
    <w:rsid w:val="00BF18DC"/>
    <w:rsid w:val="00BF2429"/>
    <w:rsid w:val="00BF2D68"/>
    <w:rsid w:val="00BF30CD"/>
    <w:rsid w:val="00BF32BF"/>
    <w:rsid w:val="00BF3DE3"/>
    <w:rsid w:val="00BF3EE7"/>
    <w:rsid w:val="00BF40AE"/>
    <w:rsid w:val="00BF4BB7"/>
    <w:rsid w:val="00BF4D7C"/>
    <w:rsid w:val="00BF5650"/>
    <w:rsid w:val="00BF565F"/>
    <w:rsid w:val="00BF5F4D"/>
    <w:rsid w:val="00BF64F8"/>
    <w:rsid w:val="00BF7163"/>
    <w:rsid w:val="00BF7AAD"/>
    <w:rsid w:val="00BF7C2D"/>
    <w:rsid w:val="00C0062A"/>
    <w:rsid w:val="00C01B63"/>
    <w:rsid w:val="00C01DCE"/>
    <w:rsid w:val="00C022E7"/>
    <w:rsid w:val="00C02735"/>
    <w:rsid w:val="00C027B1"/>
    <w:rsid w:val="00C02ED0"/>
    <w:rsid w:val="00C03139"/>
    <w:rsid w:val="00C035FB"/>
    <w:rsid w:val="00C037BC"/>
    <w:rsid w:val="00C03C58"/>
    <w:rsid w:val="00C046C5"/>
    <w:rsid w:val="00C0475D"/>
    <w:rsid w:val="00C04820"/>
    <w:rsid w:val="00C04EDE"/>
    <w:rsid w:val="00C05163"/>
    <w:rsid w:val="00C05D3B"/>
    <w:rsid w:val="00C0650B"/>
    <w:rsid w:val="00C06555"/>
    <w:rsid w:val="00C065CF"/>
    <w:rsid w:val="00C0782B"/>
    <w:rsid w:val="00C10213"/>
    <w:rsid w:val="00C10317"/>
    <w:rsid w:val="00C107BE"/>
    <w:rsid w:val="00C11A7B"/>
    <w:rsid w:val="00C12341"/>
    <w:rsid w:val="00C1235C"/>
    <w:rsid w:val="00C12E83"/>
    <w:rsid w:val="00C1328A"/>
    <w:rsid w:val="00C13593"/>
    <w:rsid w:val="00C13A6A"/>
    <w:rsid w:val="00C1435E"/>
    <w:rsid w:val="00C146B6"/>
    <w:rsid w:val="00C147E6"/>
    <w:rsid w:val="00C14806"/>
    <w:rsid w:val="00C14B74"/>
    <w:rsid w:val="00C14CB5"/>
    <w:rsid w:val="00C14DC7"/>
    <w:rsid w:val="00C15138"/>
    <w:rsid w:val="00C159A2"/>
    <w:rsid w:val="00C15A44"/>
    <w:rsid w:val="00C16F08"/>
    <w:rsid w:val="00C20330"/>
    <w:rsid w:val="00C206EC"/>
    <w:rsid w:val="00C2073C"/>
    <w:rsid w:val="00C20A66"/>
    <w:rsid w:val="00C22C3E"/>
    <w:rsid w:val="00C237C7"/>
    <w:rsid w:val="00C23B0A"/>
    <w:rsid w:val="00C23EC3"/>
    <w:rsid w:val="00C24633"/>
    <w:rsid w:val="00C248BA"/>
    <w:rsid w:val="00C25075"/>
    <w:rsid w:val="00C258AD"/>
    <w:rsid w:val="00C25D42"/>
    <w:rsid w:val="00C26440"/>
    <w:rsid w:val="00C264C8"/>
    <w:rsid w:val="00C268CD"/>
    <w:rsid w:val="00C26AD3"/>
    <w:rsid w:val="00C26FAF"/>
    <w:rsid w:val="00C27142"/>
    <w:rsid w:val="00C27D18"/>
    <w:rsid w:val="00C303F4"/>
    <w:rsid w:val="00C308CB"/>
    <w:rsid w:val="00C31ADC"/>
    <w:rsid w:val="00C32CFD"/>
    <w:rsid w:val="00C336C3"/>
    <w:rsid w:val="00C33A54"/>
    <w:rsid w:val="00C34992"/>
    <w:rsid w:val="00C34C19"/>
    <w:rsid w:val="00C34EE0"/>
    <w:rsid w:val="00C350E2"/>
    <w:rsid w:val="00C35489"/>
    <w:rsid w:val="00C35BB5"/>
    <w:rsid w:val="00C35E9A"/>
    <w:rsid w:val="00C36081"/>
    <w:rsid w:val="00C36436"/>
    <w:rsid w:val="00C36D00"/>
    <w:rsid w:val="00C36DC3"/>
    <w:rsid w:val="00C36EF0"/>
    <w:rsid w:val="00C37164"/>
    <w:rsid w:val="00C37251"/>
    <w:rsid w:val="00C37EA0"/>
    <w:rsid w:val="00C4049A"/>
    <w:rsid w:val="00C4073D"/>
    <w:rsid w:val="00C40E51"/>
    <w:rsid w:val="00C41498"/>
    <w:rsid w:val="00C426D2"/>
    <w:rsid w:val="00C42CA0"/>
    <w:rsid w:val="00C43979"/>
    <w:rsid w:val="00C43D1A"/>
    <w:rsid w:val="00C45190"/>
    <w:rsid w:val="00C45C43"/>
    <w:rsid w:val="00C467AB"/>
    <w:rsid w:val="00C46B18"/>
    <w:rsid w:val="00C47256"/>
    <w:rsid w:val="00C51EC3"/>
    <w:rsid w:val="00C521BB"/>
    <w:rsid w:val="00C527C3"/>
    <w:rsid w:val="00C538AB"/>
    <w:rsid w:val="00C53B5B"/>
    <w:rsid w:val="00C5492F"/>
    <w:rsid w:val="00C5498C"/>
    <w:rsid w:val="00C55C68"/>
    <w:rsid w:val="00C55E67"/>
    <w:rsid w:val="00C55FBC"/>
    <w:rsid w:val="00C56CF7"/>
    <w:rsid w:val="00C56DB6"/>
    <w:rsid w:val="00C57EED"/>
    <w:rsid w:val="00C601CB"/>
    <w:rsid w:val="00C606E4"/>
    <w:rsid w:val="00C60908"/>
    <w:rsid w:val="00C60E6A"/>
    <w:rsid w:val="00C61015"/>
    <w:rsid w:val="00C6105A"/>
    <w:rsid w:val="00C610F5"/>
    <w:rsid w:val="00C615DD"/>
    <w:rsid w:val="00C617A4"/>
    <w:rsid w:val="00C62A72"/>
    <w:rsid w:val="00C63288"/>
    <w:rsid w:val="00C639A2"/>
    <w:rsid w:val="00C63DD7"/>
    <w:rsid w:val="00C645C5"/>
    <w:rsid w:val="00C64C91"/>
    <w:rsid w:val="00C65339"/>
    <w:rsid w:val="00C659A9"/>
    <w:rsid w:val="00C66B12"/>
    <w:rsid w:val="00C6715F"/>
    <w:rsid w:val="00C67298"/>
    <w:rsid w:val="00C67825"/>
    <w:rsid w:val="00C67A25"/>
    <w:rsid w:val="00C70471"/>
    <w:rsid w:val="00C70989"/>
    <w:rsid w:val="00C71222"/>
    <w:rsid w:val="00C71A30"/>
    <w:rsid w:val="00C71DC5"/>
    <w:rsid w:val="00C7457F"/>
    <w:rsid w:val="00C74805"/>
    <w:rsid w:val="00C7487B"/>
    <w:rsid w:val="00C755C6"/>
    <w:rsid w:val="00C755EA"/>
    <w:rsid w:val="00C761EC"/>
    <w:rsid w:val="00C76E40"/>
    <w:rsid w:val="00C76E97"/>
    <w:rsid w:val="00C76F28"/>
    <w:rsid w:val="00C77861"/>
    <w:rsid w:val="00C77E26"/>
    <w:rsid w:val="00C77F94"/>
    <w:rsid w:val="00C80AD4"/>
    <w:rsid w:val="00C80BD4"/>
    <w:rsid w:val="00C80C48"/>
    <w:rsid w:val="00C80F26"/>
    <w:rsid w:val="00C81235"/>
    <w:rsid w:val="00C814ED"/>
    <w:rsid w:val="00C819B4"/>
    <w:rsid w:val="00C81E4A"/>
    <w:rsid w:val="00C820F2"/>
    <w:rsid w:val="00C8289C"/>
    <w:rsid w:val="00C83083"/>
    <w:rsid w:val="00C8342C"/>
    <w:rsid w:val="00C840E2"/>
    <w:rsid w:val="00C85FD8"/>
    <w:rsid w:val="00C8682D"/>
    <w:rsid w:val="00C87929"/>
    <w:rsid w:val="00C9224E"/>
    <w:rsid w:val="00C92583"/>
    <w:rsid w:val="00C93A49"/>
    <w:rsid w:val="00C94401"/>
    <w:rsid w:val="00C94450"/>
    <w:rsid w:val="00C94687"/>
    <w:rsid w:val="00C95161"/>
    <w:rsid w:val="00C95665"/>
    <w:rsid w:val="00C958CB"/>
    <w:rsid w:val="00C9747D"/>
    <w:rsid w:val="00C97660"/>
    <w:rsid w:val="00C979DE"/>
    <w:rsid w:val="00C97D86"/>
    <w:rsid w:val="00C97FD9"/>
    <w:rsid w:val="00CA03CE"/>
    <w:rsid w:val="00CA1371"/>
    <w:rsid w:val="00CA1466"/>
    <w:rsid w:val="00CA187D"/>
    <w:rsid w:val="00CA1A0E"/>
    <w:rsid w:val="00CA20F0"/>
    <w:rsid w:val="00CA2910"/>
    <w:rsid w:val="00CA3105"/>
    <w:rsid w:val="00CA45EE"/>
    <w:rsid w:val="00CA4D25"/>
    <w:rsid w:val="00CA6C33"/>
    <w:rsid w:val="00CA7572"/>
    <w:rsid w:val="00CB01A4"/>
    <w:rsid w:val="00CB0AF8"/>
    <w:rsid w:val="00CB122B"/>
    <w:rsid w:val="00CB1A88"/>
    <w:rsid w:val="00CB1E04"/>
    <w:rsid w:val="00CB279D"/>
    <w:rsid w:val="00CB2AAA"/>
    <w:rsid w:val="00CB4276"/>
    <w:rsid w:val="00CB4597"/>
    <w:rsid w:val="00CB5AF5"/>
    <w:rsid w:val="00CB5CCB"/>
    <w:rsid w:val="00CB6C6D"/>
    <w:rsid w:val="00CB7119"/>
    <w:rsid w:val="00CB76D0"/>
    <w:rsid w:val="00CC01C9"/>
    <w:rsid w:val="00CC023E"/>
    <w:rsid w:val="00CC0666"/>
    <w:rsid w:val="00CC0B73"/>
    <w:rsid w:val="00CC0F4C"/>
    <w:rsid w:val="00CC1471"/>
    <w:rsid w:val="00CC1507"/>
    <w:rsid w:val="00CC1528"/>
    <w:rsid w:val="00CC1DC5"/>
    <w:rsid w:val="00CC2064"/>
    <w:rsid w:val="00CC25B5"/>
    <w:rsid w:val="00CC2CDA"/>
    <w:rsid w:val="00CC315D"/>
    <w:rsid w:val="00CC48C4"/>
    <w:rsid w:val="00CC51F9"/>
    <w:rsid w:val="00CC5443"/>
    <w:rsid w:val="00CC5DD3"/>
    <w:rsid w:val="00CC61A7"/>
    <w:rsid w:val="00CC61B2"/>
    <w:rsid w:val="00CC7341"/>
    <w:rsid w:val="00CC76C1"/>
    <w:rsid w:val="00CD026F"/>
    <w:rsid w:val="00CD03CC"/>
    <w:rsid w:val="00CD098D"/>
    <w:rsid w:val="00CD09FD"/>
    <w:rsid w:val="00CD0D79"/>
    <w:rsid w:val="00CD0E18"/>
    <w:rsid w:val="00CD16E6"/>
    <w:rsid w:val="00CD2A83"/>
    <w:rsid w:val="00CD2CB0"/>
    <w:rsid w:val="00CD3270"/>
    <w:rsid w:val="00CD3A45"/>
    <w:rsid w:val="00CD4BD0"/>
    <w:rsid w:val="00CD4E2C"/>
    <w:rsid w:val="00CD539F"/>
    <w:rsid w:val="00CD5DD1"/>
    <w:rsid w:val="00CD7324"/>
    <w:rsid w:val="00CD7330"/>
    <w:rsid w:val="00CD7CAC"/>
    <w:rsid w:val="00CD7E06"/>
    <w:rsid w:val="00CE0AFE"/>
    <w:rsid w:val="00CE25A4"/>
    <w:rsid w:val="00CE3776"/>
    <w:rsid w:val="00CE3B81"/>
    <w:rsid w:val="00CE3BFF"/>
    <w:rsid w:val="00CE42A7"/>
    <w:rsid w:val="00CE4BDC"/>
    <w:rsid w:val="00CE4D7A"/>
    <w:rsid w:val="00CE513F"/>
    <w:rsid w:val="00CE5CC5"/>
    <w:rsid w:val="00CE62A8"/>
    <w:rsid w:val="00CE6E00"/>
    <w:rsid w:val="00CE6F3C"/>
    <w:rsid w:val="00CE7317"/>
    <w:rsid w:val="00CE7698"/>
    <w:rsid w:val="00CE78EC"/>
    <w:rsid w:val="00CF0201"/>
    <w:rsid w:val="00CF0402"/>
    <w:rsid w:val="00CF17C2"/>
    <w:rsid w:val="00CF2956"/>
    <w:rsid w:val="00CF2A90"/>
    <w:rsid w:val="00CF3102"/>
    <w:rsid w:val="00CF3D0B"/>
    <w:rsid w:val="00CF4448"/>
    <w:rsid w:val="00CF45BD"/>
    <w:rsid w:val="00CF4B44"/>
    <w:rsid w:val="00CF54DD"/>
    <w:rsid w:val="00CF56AA"/>
    <w:rsid w:val="00CF59EF"/>
    <w:rsid w:val="00CF68ED"/>
    <w:rsid w:val="00CF73F0"/>
    <w:rsid w:val="00CF7559"/>
    <w:rsid w:val="00CF75BB"/>
    <w:rsid w:val="00CF7825"/>
    <w:rsid w:val="00CF7DD0"/>
    <w:rsid w:val="00D0016D"/>
    <w:rsid w:val="00D00F01"/>
    <w:rsid w:val="00D02628"/>
    <w:rsid w:val="00D0281A"/>
    <w:rsid w:val="00D03A51"/>
    <w:rsid w:val="00D03C63"/>
    <w:rsid w:val="00D0404B"/>
    <w:rsid w:val="00D04722"/>
    <w:rsid w:val="00D054CE"/>
    <w:rsid w:val="00D056F3"/>
    <w:rsid w:val="00D05EAA"/>
    <w:rsid w:val="00D05F3C"/>
    <w:rsid w:val="00D06F7B"/>
    <w:rsid w:val="00D07A35"/>
    <w:rsid w:val="00D07CAF"/>
    <w:rsid w:val="00D10E5F"/>
    <w:rsid w:val="00D113E7"/>
    <w:rsid w:val="00D11981"/>
    <w:rsid w:val="00D11EC6"/>
    <w:rsid w:val="00D12572"/>
    <w:rsid w:val="00D129EE"/>
    <w:rsid w:val="00D1510B"/>
    <w:rsid w:val="00D1559B"/>
    <w:rsid w:val="00D1721B"/>
    <w:rsid w:val="00D1741C"/>
    <w:rsid w:val="00D204A5"/>
    <w:rsid w:val="00D20906"/>
    <w:rsid w:val="00D21D03"/>
    <w:rsid w:val="00D226E7"/>
    <w:rsid w:val="00D22BA7"/>
    <w:rsid w:val="00D2303A"/>
    <w:rsid w:val="00D245D3"/>
    <w:rsid w:val="00D24CF5"/>
    <w:rsid w:val="00D25AAB"/>
    <w:rsid w:val="00D25EFA"/>
    <w:rsid w:val="00D25FDF"/>
    <w:rsid w:val="00D2612A"/>
    <w:rsid w:val="00D26EE2"/>
    <w:rsid w:val="00D27959"/>
    <w:rsid w:val="00D31382"/>
    <w:rsid w:val="00D31E08"/>
    <w:rsid w:val="00D32572"/>
    <w:rsid w:val="00D3260A"/>
    <w:rsid w:val="00D32AAE"/>
    <w:rsid w:val="00D34C29"/>
    <w:rsid w:val="00D35750"/>
    <w:rsid w:val="00D35C04"/>
    <w:rsid w:val="00D35D61"/>
    <w:rsid w:val="00D35F04"/>
    <w:rsid w:val="00D36009"/>
    <w:rsid w:val="00D36CF9"/>
    <w:rsid w:val="00D36FD5"/>
    <w:rsid w:val="00D37482"/>
    <w:rsid w:val="00D402A8"/>
    <w:rsid w:val="00D408D5"/>
    <w:rsid w:val="00D40FAC"/>
    <w:rsid w:val="00D42053"/>
    <w:rsid w:val="00D42964"/>
    <w:rsid w:val="00D42D9A"/>
    <w:rsid w:val="00D4338E"/>
    <w:rsid w:val="00D43760"/>
    <w:rsid w:val="00D43DED"/>
    <w:rsid w:val="00D43DFD"/>
    <w:rsid w:val="00D455ED"/>
    <w:rsid w:val="00D45CA4"/>
    <w:rsid w:val="00D45E13"/>
    <w:rsid w:val="00D464F8"/>
    <w:rsid w:val="00D47331"/>
    <w:rsid w:val="00D4756F"/>
    <w:rsid w:val="00D477E2"/>
    <w:rsid w:val="00D47A0A"/>
    <w:rsid w:val="00D47F62"/>
    <w:rsid w:val="00D50458"/>
    <w:rsid w:val="00D509B4"/>
    <w:rsid w:val="00D51519"/>
    <w:rsid w:val="00D518A8"/>
    <w:rsid w:val="00D519E8"/>
    <w:rsid w:val="00D51A1C"/>
    <w:rsid w:val="00D51C34"/>
    <w:rsid w:val="00D53785"/>
    <w:rsid w:val="00D540B0"/>
    <w:rsid w:val="00D540C4"/>
    <w:rsid w:val="00D54B34"/>
    <w:rsid w:val="00D5556F"/>
    <w:rsid w:val="00D55C51"/>
    <w:rsid w:val="00D56E83"/>
    <w:rsid w:val="00D56F92"/>
    <w:rsid w:val="00D57775"/>
    <w:rsid w:val="00D57844"/>
    <w:rsid w:val="00D5795B"/>
    <w:rsid w:val="00D57ECB"/>
    <w:rsid w:val="00D60070"/>
    <w:rsid w:val="00D62171"/>
    <w:rsid w:val="00D63BF8"/>
    <w:rsid w:val="00D646EE"/>
    <w:rsid w:val="00D64734"/>
    <w:rsid w:val="00D647F6"/>
    <w:rsid w:val="00D64CB5"/>
    <w:rsid w:val="00D65583"/>
    <w:rsid w:val="00D66AB6"/>
    <w:rsid w:val="00D66C9B"/>
    <w:rsid w:val="00D66D45"/>
    <w:rsid w:val="00D66DB3"/>
    <w:rsid w:val="00D66E14"/>
    <w:rsid w:val="00D677DF"/>
    <w:rsid w:val="00D679B2"/>
    <w:rsid w:val="00D67D8A"/>
    <w:rsid w:val="00D67F8D"/>
    <w:rsid w:val="00D7010C"/>
    <w:rsid w:val="00D7063C"/>
    <w:rsid w:val="00D70A0D"/>
    <w:rsid w:val="00D71B89"/>
    <w:rsid w:val="00D71D51"/>
    <w:rsid w:val="00D72C7C"/>
    <w:rsid w:val="00D73327"/>
    <w:rsid w:val="00D73333"/>
    <w:rsid w:val="00D7412C"/>
    <w:rsid w:val="00D775B7"/>
    <w:rsid w:val="00D7798B"/>
    <w:rsid w:val="00D8015C"/>
    <w:rsid w:val="00D80A9B"/>
    <w:rsid w:val="00D810CB"/>
    <w:rsid w:val="00D8168C"/>
    <w:rsid w:val="00D81A68"/>
    <w:rsid w:val="00D82FC3"/>
    <w:rsid w:val="00D838CD"/>
    <w:rsid w:val="00D83B13"/>
    <w:rsid w:val="00D8422B"/>
    <w:rsid w:val="00D84DCF"/>
    <w:rsid w:val="00D855FB"/>
    <w:rsid w:val="00D85847"/>
    <w:rsid w:val="00D861C1"/>
    <w:rsid w:val="00D86ECA"/>
    <w:rsid w:val="00D87995"/>
    <w:rsid w:val="00D9004C"/>
    <w:rsid w:val="00D906A1"/>
    <w:rsid w:val="00D90B12"/>
    <w:rsid w:val="00D916B9"/>
    <w:rsid w:val="00D91F90"/>
    <w:rsid w:val="00D91FDE"/>
    <w:rsid w:val="00D92222"/>
    <w:rsid w:val="00D9255D"/>
    <w:rsid w:val="00D92C73"/>
    <w:rsid w:val="00D93495"/>
    <w:rsid w:val="00D93C5A"/>
    <w:rsid w:val="00D94B94"/>
    <w:rsid w:val="00D94DF1"/>
    <w:rsid w:val="00D94E3F"/>
    <w:rsid w:val="00D955F1"/>
    <w:rsid w:val="00D95C6F"/>
    <w:rsid w:val="00D965BC"/>
    <w:rsid w:val="00D96F1E"/>
    <w:rsid w:val="00D96FB9"/>
    <w:rsid w:val="00D97132"/>
    <w:rsid w:val="00D979FD"/>
    <w:rsid w:val="00D97C93"/>
    <w:rsid w:val="00DA04B6"/>
    <w:rsid w:val="00DA0639"/>
    <w:rsid w:val="00DA06E5"/>
    <w:rsid w:val="00DA0970"/>
    <w:rsid w:val="00DA0E78"/>
    <w:rsid w:val="00DA0ED6"/>
    <w:rsid w:val="00DA1151"/>
    <w:rsid w:val="00DA1469"/>
    <w:rsid w:val="00DA1A54"/>
    <w:rsid w:val="00DA1CDD"/>
    <w:rsid w:val="00DA1DE2"/>
    <w:rsid w:val="00DA2080"/>
    <w:rsid w:val="00DA273D"/>
    <w:rsid w:val="00DA27F9"/>
    <w:rsid w:val="00DA3554"/>
    <w:rsid w:val="00DA35A0"/>
    <w:rsid w:val="00DA4B3D"/>
    <w:rsid w:val="00DA4B59"/>
    <w:rsid w:val="00DA4C23"/>
    <w:rsid w:val="00DA7227"/>
    <w:rsid w:val="00DA7465"/>
    <w:rsid w:val="00DA7B05"/>
    <w:rsid w:val="00DA7DD9"/>
    <w:rsid w:val="00DB030B"/>
    <w:rsid w:val="00DB05E9"/>
    <w:rsid w:val="00DB1000"/>
    <w:rsid w:val="00DB13D4"/>
    <w:rsid w:val="00DB1801"/>
    <w:rsid w:val="00DB22FA"/>
    <w:rsid w:val="00DB237A"/>
    <w:rsid w:val="00DB2B66"/>
    <w:rsid w:val="00DB2FEB"/>
    <w:rsid w:val="00DB3A80"/>
    <w:rsid w:val="00DB3C6E"/>
    <w:rsid w:val="00DB4423"/>
    <w:rsid w:val="00DB4754"/>
    <w:rsid w:val="00DB555C"/>
    <w:rsid w:val="00DB557F"/>
    <w:rsid w:val="00DB566F"/>
    <w:rsid w:val="00DB5A0F"/>
    <w:rsid w:val="00DB605C"/>
    <w:rsid w:val="00DB63EF"/>
    <w:rsid w:val="00DB707F"/>
    <w:rsid w:val="00DC02AB"/>
    <w:rsid w:val="00DC171E"/>
    <w:rsid w:val="00DC25B7"/>
    <w:rsid w:val="00DC2C55"/>
    <w:rsid w:val="00DC2DE8"/>
    <w:rsid w:val="00DC4089"/>
    <w:rsid w:val="00DC4806"/>
    <w:rsid w:val="00DC58E7"/>
    <w:rsid w:val="00DC5A4C"/>
    <w:rsid w:val="00DC67EA"/>
    <w:rsid w:val="00DC6D00"/>
    <w:rsid w:val="00DC7719"/>
    <w:rsid w:val="00DC77B9"/>
    <w:rsid w:val="00DC783F"/>
    <w:rsid w:val="00DC7B90"/>
    <w:rsid w:val="00DD050E"/>
    <w:rsid w:val="00DD0AF9"/>
    <w:rsid w:val="00DD0E83"/>
    <w:rsid w:val="00DD257F"/>
    <w:rsid w:val="00DD313E"/>
    <w:rsid w:val="00DD3954"/>
    <w:rsid w:val="00DD4A85"/>
    <w:rsid w:val="00DD5257"/>
    <w:rsid w:val="00DD5409"/>
    <w:rsid w:val="00DD6320"/>
    <w:rsid w:val="00DD6912"/>
    <w:rsid w:val="00DD7201"/>
    <w:rsid w:val="00DE0265"/>
    <w:rsid w:val="00DE0C7C"/>
    <w:rsid w:val="00DE0EDF"/>
    <w:rsid w:val="00DE0EE4"/>
    <w:rsid w:val="00DE180B"/>
    <w:rsid w:val="00DE3755"/>
    <w:rsid w:val="00DE3A7B"/>
    <w:rsid w:val="00DE3EFB"/>
    <w:rsid w:val="00DE3FD9"/>
    <w:rsid w:val="00DE4580"/>
    <w:rsid w:val="00DE5249"/>
    <w:rsid w:val="00DE5473"/>
    <w:rsid w:val="00DE5F72"/>
    <w:rsid w:val="00DE6EF1"/>
    <w:rsid w:val="00DE737A"/>
    <w:rsid w:val="00DE749A"/>
    <w:rsid w:val="00DE77B1"/>
    <w:rsid w:val="00DE7F55"/>
    <w:rsid w:val="00DE7F85"/>
    <w:rsid w:val="00DF09F9"/>
    <w:rsid w:val="00DF0A97"/>
    <w:rsid w:val="00DF131D"/>
    <w:rsid w:val="00DF166B"/>
    <w:rsid w:val="00DF1778"/>
    <w:rsid w:val="00DF1D01"/>
    <w:rsid w:val="00DF1D6C"/>
    <w:rsid w:val="00DF268B"/>
    <w:rsid w:val="00DF2B50"/>
    <w:rsid w:val="00DF41A4"/>
    <w:rsid w:val="00DF4C1E"/>
    <w:rsid w:val="00DF4ED8"/>
    <w:rsid w:val="00DF4F39"/>
    <w:rsid w:val="00DF504D"/>
    <w:rsid w:val="00DF530A"/>
    <w:rsid w:val="00DF5554"/>
    <w:rsid w:val="00DF613F"/>
    <w:rsid w:val="00DF637B"/>
    <w:rsid w:val="00DF6816"/>
    <w:rsid w:val="00DF70DA"/>
    <w:rsid w:val="00DF737A"/>
    <w:rsid w:val="00E002CF"/>
    <w:rsid w:val="00E0037E"/>
    <w:rsid w:val="00E003BD"/>
    <w:rsid w:val="00E00502"/>
    <w:rsid w:val="00E00692"/>
    <w:rsid w:val="00E00976"/>
    <w:rsid w:val="00E00CD4"/>
    <w:rsid w:val="00E01CB8"/>
    <w:rsid w:val="00E02281"/>
    <w:rsid w:val="00E02B5F"/>
    <w:rsid w:val="00E02FA4"/>
    <w:rsid w:val="00E02FDC"/>
    <w:rsid w:val="00E03C7A"/>
    <w:rsid w:val="00E0439D"/>
    <w:rsid w:val="00E0474E"/>
    <w:rsid w:val="00E056CB"/>
    <w:rsid w:val="00E05C35"/>
    <w:rsid w:val="00E05C4A"/>
    <w:rsid w:val="00E05DF7"/>
    <w:rsid w:val="00E07ED3"/>
    <w:rsid w:val="00E1047F"/>
    <w:rsid w:val="00E11FA9"/>
    <w:rsid w:val="00E123A5"/>
    <w:rsid w:val="00E12D36"/>
    <w:rsid w:val="00E12DD1"/>
    <w:rsid w:val="00E13C05"/>
    <w:rsid w:val="00E13EC7"/>
    <w:rsid w:val="00E14FD3"/>
    <w:rsid w:val="00E15512"/>
    <w:rsid w:val="00E1577B"/>
    <w:rsid w:val="00E1584C"/>
    <w:rsid w:val="00E179F9"/>
    <w:rsid w:val="00E2009D"/>
    <w:rsid w:val="00E2079B"/>
    <w:rsid w:val="00E209FD"/>
    <w:rsid w:val="00E20FEC"/>
    <w:rsid w:val="00E22B51"/>
    <w:rsid w:val="00E23050"/>
    <w:rsid w:val="00E2387A"/>
    <w:rsid w:val="00E23A15"/>
    <w:rsid w:val="00E24EA1"/>
    <w:rsid w:val="00E25A07"/>
    <w:rsid w:val="00E25A95"/>
    <w:rsid w:val="00E26C36"/>
    <w:rsid w:val="00E27FEC"/>
    <w:rsid w:val="00E30B73"/>
    <w:rsid w:val="00E30D3E"/>
    <w:rsid w:val="00E30EB9"/>
    <w:rsid w:val="00E3131D"/>
    <w:rsid w:val="00E31564"/>
    <w:rsid w:val="00E31CFA"/>
    <w:rsid w:val="00E32460"/>
    <w:rsid w:val="00E325F6"/>
    <w:rsid w:val="00E33760"/>
    <w:rsid w:val="00E337B6"/>
    <w:rsid w:val="00E33E0C"/>
    <w:rsid w:val="00E35054"/>
    <w:rsid w:val="00E359D7"/>
    <w:rsid w:val="00E35AE6"/>
    <w:rsid w:val="00E35BAC"/>
    <w:rsid w:val="00E3642F"/>
    <w:rsid w:val="00E36FFE"/>
    <w:rsid w:val="00E37130"/>
    <w:rsid w:val="00E37293"/>
    <w:rsid w:val="00E3787C"/>
    <w:rsid w:val="00E37EEB"/>
    <w:rsid w:val="00E4036F"/>
    <w:rsid w:val="00E406BD"/>
    <w:rsid w:val="00E40B32"/>
    <w:rsid w:val="00E4128D"/>
    <w:rsid w:val="00E419E6"/>
    <w:rsid w:val="00E41DAA"/>
    <w:rsid w:val="00E42A12"/>
    <w:rsid w:val="00E434D5"/>
    <w:rsid w:val="00E4386D"/>
    <w:rsid w:val="00E43A41"/>
    <w:rsid w:val="00E44430"/>
    <w:rsid w:val="00E444D2"/>
    <w:rsid w:val="00E44B29"/>
    <w:rsid w:val="00E455FF"/>
    <w:rsid w:val="00E45637"/>
    <w:rsid w:val="00E45B71"/>
    <w:rsid w:val="00E45C38"/>
    <w:rsid w:val="00E46019"/>
    <w:rsid w:val="00E46B63"/>
    <w:rsid w:val="00E46C50"/>
    <w:rsid w:val="00E4774E"/>
    <w:rsid w:val="00E50991"/>
    <w:rsid w:val="00E515E1"/>
    <w:rsid w:val="00E51DFF"/>
    <w:rsid w:val="00E5250C"/>
    <w:rsid w:val="00E52606"/>
    <w:rsid w:val="00E52C63"/>
    <w:rsid w:val="00E52CAD"/>
    <w:rsid w:val="00E52F96"/>
    <w:rsid w:val="00E53C5D"/>
    <w:rsid w:val="00E53FA6"/>
    <w:rsid w:val="00E5410B"/>
    <w:rsid w:val="00E544ED"/>
    <w:rsid w:val="00E546BA"/>
    <w:rsid w:val="00E5511D"/>
    <w:rsid w:val="00E55E7F"/>
    <w:rsid w:val="00E563B0"/>
    <w:rsid w:val="00E56683"/>
    <w:rsid w:val="00E56D2E"/>
    <w:rsid w:val="00E57128"/>
    <w:rsid w:val="00E572BC"/>
    <w:rsid w:val="00E607EB"/>
    <w:rsid w:val="00E60BC6"/>
    <w:rsid w:val="00E612DC"/>
    <w:rsid w:val="00E62C38"/>
    <w:rsid w:val="00E62E5B"/>
    <w:rsid w:val="00E63CC5"/>
    <w:rsid w:val="00E642F1"/>
    <w:rsid w:val="00E64742"/>
    <w:rsid w:val="00E65429"/>
    <w:rsid w:val="00E65843"/>
    <w:rsid w:val="00E65982"/>
    <w:rsid w:val="00E65C1F"/>
    <w:rsid w:val="00E66329"/>
    <w:rsid w:val="00E664C4"/>
    <w:rsid w:val="00E66610"/>
    <w:rsid w:val="00E66937"/>
    <w:rsid w:val="00E66F43"/>
    <w:rsid w:val="00E671AF"/>
    <w:rsid w:val="00E67200"/>
    <w:rsid w:val="00E67B24"/>
    <w:rsid w:val="00E706B1"/>
    <w:rsid w:val="00E70A3F"/>
    <w:rsid w:val="00E70A57"/>
    <w:rsid w:val="00E70F18"/>
    <w:rsid w:val="00E711A5"/>
    <w:rsid w:val="00E71236"/>
    <w:rsid w:val="00E7146B"/>
    <w:rsid w:val="00E7156B"/>
    <w:rsid w:val="00E717A6"/>
    <w:rsid w:val="00E71C0A"/>
    <w:rsid w:val="00E71F13"/>
    <w:rsid w:val="00E71F95"/>
    <w:rsid w:val="00E723E6"/>
    <w:rsid w:val="00E7247A"/>
    <w:rsid w:val="00E7271C"/>
    <w:rsid w:val="00E72F9C"/>
    <w:rsid w:val="00E730C8"/>
    <w:rsid w:val="00E732A1"/>
    <w:rsid w:val="00E73D49"/>
    <w:rsid w:val="00E73DB1"/>
    <w:rsid w:val="00E74346"/>
    <w:rsid w:val="00E7456C"/>
    <w:rsid w:val="00E74E45"/>
    <w:rsid w:val="00E750E3"/>
    <w:rsid w:val="00E75231"/>
    <w:rsid w:val="00E75D40"/>
    <w:rsid w:val="00E75E40"/>
    <w:rsid w:val="00E75E4C"/>
    <w:rsid w:val="00E76E97"/>
    <w:rsid w:val="00E7713D"/>
    <w:rsid w:val="00E77987"/>
    <w:rsid w:val="00E779B1"/>
    <w:rsid w:val="00E80FAF"/>
    <w:rsid w:val="00E81CFF"/>
    <w:rsid w:val="00E821B8"/>
    <w:rsid w:val="00E821EF"/>
    <w:rsid w:val="00E8314F"/>
    <w:rsid w:val="00E8432D"/>
    <w:rsid w:val="00E85161"/>
    <w:rsid w:val="00E8592A"/>
    <w:rsid w:val="00E85C2B"/>
    <w:rsid w:val="00E85EB8"/>
    <w:rsid w:val="00E86907"/>
    <w:rsid w:val="00E8720A"/>
    <w:rsid w:val="00E872B4"/>
    <w:rsid w:val="00E87912"/>
    <w:rsid w:val="00E905CB"/>
    <w:rsid w:val="00E909A6"/>
    <w:rsid w:val="00E90B42"/>
    <w:rsid w:val="00E90FD7"/>
    <w:rsid w:val="00E91561"/>
    <w:rsid w:val="00E93214"/>
    <w:rsid w:val="00E9341F"/>
    <w:rsid w:val="00E93606"/>
    <w:rsid w:val="00E93F64"/>
    <w:rsid w:val="00E94443"/>
    <w:rsid w:val="00E947FC"/>
    <w:rsid w:val="00E95899"/>
    <w:rsid w:val="00E95DB8"/>
    <w:rsid w:val="00E9638F"/>
    <w:rsid w:val="00E9724A"/>
    <w:rsid w:val="00E97CD8"/>
    <w:rsid w:val="00EA0A28"/>
    <w:rsid w:val="00EA1950"/>
    <w:rsid w:val="00EA1F2A"/>
    <w:rsid w:val="00EA2491"/>
    <w:rsid w:val="00EA2BC4"/>
    <w:rsid w:val="00EA2C8B"/>
    <w:rsid w:val="00EA2E85"/>
    <w:rsid w:val="00EA39DE"/>
    <w:rsid w:val="00EA4444"/>
    <w:rsid w:val="00EA472C"/>
    <w:rsid w:val="00EA54AC"/>
    <w:rsid w:val="00EA57D1"/>
    <w:rsid w:val="00EA5893"/>
    <w:rsid w:val="00EA6A6E"/>
    <w:rsid w:val="00EA6AF7"/>
    <w:rsid w:val="00EA7A32"/>
    <w:rsid w:val="00EA7B10"/>
    <w:rsid w:val="00EB0B94"/>
    <w:rsid w:val="00EB0FB8"/>
    <w:rsid w:val="00EB21F9"/>
    <w:rsid w:val="00EB24EF"/>
    <w:rsid w:val="00EB26E5"/>
    <w:rsid w:val="00EB28B9"/>
    <w:rsid w:val="00EB2D35"/>
    <w:rsid w:val="00EB2E3F"/>
    <w:rsid w:val="00EB31DE"/>
    <w:rsid w:val="00EB3524"/>
    <w:rsid w:val="00EB38FA"/>
    <w:rsid w:val="00EB5262"/>
    <w:rsid w:val="00EB54DA"/>
    <w:rsid w:val="00EB5AB4"/>
    <w:rsid w:val="00EB5D58"/>
    <w:rsid w:val="00EB63C8"/>
    <w:rsid w:val="00EB6652"/>
    <w:rsid w:val="00EB6F39"/>
    <w:rsid w:val="00EB7699"/>
    <w:rsid w:val="00EB7CF1"/>
    <w:rsid w:val="00EB7D99"/>
    <w:rsid w:val="00EC0A09"/>
    <w:rsid w:val="00EC0D7E"/>
    <w:rsid w:val="00EC1504"/>
    <w:rsid w:val="00EC15B7"/>
    <w:rsid w:val="00EC27BC"/>
    <w:rsid w:val="00EC28D5"/>
    <w:rsid w:val="00EC29E9"/>
    <w:rsid w:val="00EC2B25"/>
    <w:rsid w:val="00EC433F"/>
    <w:rsid w:val="00EC523D"/>
    <w:rsid w:val="00EC55A0"/>
    <w:rsid w:val="00EC5F63"/>
    <w:rsid w:val="00EC62E8"/>
    <w:rsid w:val="00EC6C30"/>
    <w:rsid w:val="00EC71DA"/>
    <w:rsid w:val="00EC756C"/>
    <w:rsid w:val="00EC75B6"/>
    <w:rsid w:val="00EC76F5"/>
    <w:rsid w:val="00EC7C8E"/>
    <w:rsid w:val="00ED0423"/>
    <w:rsid w:val="00ED062B"/>
    <w:rsid w:val="00ED161A"/>
    <w:rsid w:val="00ED1A3B"/>
    <w:rsid w:val="00ED21F1"/>
    <w:rsid w:val="00ED2C6D"/>
    <w:rsid w:val="00ED3722"/>
    <w:rsid w:val="00ED457E"/>
    <w:rsid w:val="00ED5019"/>
    <w:rsid w:val="00ED577E"/>
    <w:rsid w:val="00ED62C3"/>
    <w:rsid w:val="00ED66F6"/>
    <w:rsid w:val="00ED7000"/>
    <w:rsid w:val="00EE04A3"/>
    <w:rsid w:val="00EE0A89"/>
    <w:rsid w:val="00EE103F"/>
    <w:rsid w:val="00EE127E"/>
    <w:rsid w:val="00EE1A2B"/>
    <w:rsid w:val="00EE2298"/>
    <w:rsid w:val="00EE2666"/>
    <w:rsid w:val="00EE2747"/>
    <w:rsid w:val="00EE279F"/>
    <w:rsid w:val="00EE28E0"/>
    <w:rsid w:val="00EE2A68"/>
    <w:rsid w:val="00EE49DB"/>
    <w:rsid w:val="00EE4B1B"/>
    <w:rsid w:val="00EE5732"/>
    <w:rsid w:val="00EE57EB"/>
    <w:rsid w:val="00EE5F75"/>
    <w:rsid w:val="00EE67C4"/>
    <w:rsid w:val="00EE6B84"/>
    <w:rsid w:val="00EE7139"/>
    <w:rsid w:val="00EE78AF"/>
    <w:rsid w:val="00EF08B3"/>
    <w:rsid w:val="00EF201E"/>
    <w:rsid w:val="00EF20B8"/>
    <w:rsid w:val="00EF27BB"/>
    <w:rsid w:val="00EF321C"/>
    <w:rsid w:val="00EF50F2"/>
    <w:rsid w:val="00EF530A"/>
    <w:rsid w:val="00EF57B0"/>
    <w:rsid w:val="00EF5C44"/>
    <w:rsid w:val="00EF6E80"/>
    <w:rsid w:val="00EF6E91"/>
    <w:rsid w:val="00EF741E"/>
    <w:rsid w:val="00F006F1"/>
    <w:rsid w:val="00F0098B"/>
    <w:rsid w:val="00F02969"/>
    <w:rsid w:val="00F02D02"/>
    <w:rsid w:val="00F042CD"/>
    <w:rsid w:val="00F042DD"/>
    <w:rsid w:val="00F05076"/>
    <w:rsid w:val="00F0625F"/>
    <w:rsid w:val="00F06E49"/>
    <w:rsid w:val="00F074FE"/>
    <w:rsid w:val="00F1028D"/>
    <w:rsid w:val="00F10652"/>
    <w:rsid w:val="00F11873"/>
    <w:rsid w:val="00F120FC"/>
    <w:rsid w:val="00F12D82"/>
    <w:rsid w:val="00F13357"/>
    <w:rsid w:val="00F140F6"/>
    <w:rsid w:val="00F14459"/>
    <w:rsid w:val="00F1495A"/>
    <w:rsid w:val="00F14D0E"/>
    <w:rsid w:val="00F154DF"/>
    <w:rsid w:val="00F16B5C"/>
    <w:rsid w:val="00F16D11"/>
    <w:rsid w:val="00F16D90"/>
    <w:rsid w:val="00F173E7"/>
    <w:rsid w:val="00F1772B"/>
    <w:rsid w:val="00F2006E"/>
    <w:rsid w:val="00F2046E"/>
    <w:rsid w:val="00F20A1A"/>
    <w:rsid w:val="00F20AFC"/>
    <w:rsid w:val="00F20B75"/>
    <w:rsid w:val="00F20CF2"/>
    <w:rsid w:val="00F2103D"/>
    <w:rsid w:val="00F21D27"/>
    <w:rsid w:val="00F229F6"/>
    <w:rsid w:val="00F22B91"/>
    <w:rsid w:val="00F22DEC"/>
    <w:rsid w:val="00F22EA6"/>
    <w:rsid w:val="00F23867"/>
    <w:rsid w:val="00F247F2"/>
    <w:rsid w:val="00F24A17"/>
    <w:rsid w:val="00F24A4D"/>
    <w:rsid w:val="00F24D37"/>
    <w:rsid w:val="00F256F5"/>
    <w:rsid w:val="00F25A17"/>
    <w:rsid w:val="00F260F9"/>
    <w:rsid w:val="00F2707B"/>
    <w:rsid w:val="00F274B0"/>
    <w:rsid w:val="00F27C45"/>
    <w:rsid w:val="00F304C7"/>
    <w:rsid w:val="00F30F3A"/>
    <w:rsid w:val="00F31DD8"/>
    <w:rsid w:val="00F31E17"/>
    <w:rsid w:val="00F31ECE"/>
    <w:rsid w:val="00F32548"/>
    <w:rsid w:val="00F32BE7"/>
    <w:rsid w:val="00F33ADD"/>
    <w:rsid w:val="00F33BCA"/>
    <w:rsid w:val="00F33F9C"/>
    <w:rsid w:val="00F3426D"/>
    <w:rsid w:val="00F3568B"/>
    <w:rsid w:val="00F3592D"/>
    <w:rsid w:val="00F36166"/>
    <w:rsid w:val="00F37331"/>
    <w:rsid w:val="00F377DD"/>
    <w:rsid w:val="00F407B4"/>
    <w:rsid w:val="00F4113F"/>
    <w:rsid w:val="00F4161D"/>
    <w:rsid w:val="00F41FCE"/>
    <w:rsid w:val="00F422A4"/>
    <w:rsid w:val="00F4249D"/>
    <w:rsid w:val="00F42540"/>
    <w:rsid w:val="00F42812"/>
    <w:rsid w:val="00F4382A"/>
    <w:rsid w:val="00F43D34"/>
    <w:rsid w:val="00F44189"/>
    <w:rsid w:val="00F44435"/>
    <w:rsid w:val="00F4459C"/>
    <w:rsid w:val="00F44D45"/>
    <w:rsid w:val="00F44F60"/>
    <w:rsid w:val="00F4512D"/>
    <w:rsid w:val="00F4514B"/>
    <w:rsid w:val="00F45A33"/>
    <w:rsid w:val="00F46C54"/>
    <w:rsid w:val="00F47AE6"/>
    <w:rsid w:val="00F47E05"/>
    <w:rsid w:val="00F501C6"/>
    <w:rsid w:val="00F502C0"/>
    <w:rsid w:val="00F50C41"/>
    <w:rsid w:val="00F519E1"/>
    <w:rsid w:val="00F51C38"/>
    <w:rsid w:val="00F52B75"/>
    <w:rsid w:val="00F52FD6"/>
    <w:rsid w:val="00F53BBC"/>
    <w:rsid w:val="00F54260"/>
    <w:rsid w:val="00F54412"/>
    <w:rsid w:val="00F544B9"/>
    <w:rsid w:val="00F55B04"/>
    <w:rsid w:val="00F56903"/>
    <w:rsid w:val="00F56EB0"/>
    <w:rsid w:val="00F57486"/>
    <w:rsid w:val="00F5748F"/>
    <w:rsid w:val="00F5763D"/>
    <w:rsid w:val="00F5763E"/>
    <w:rsid w:val="00F60652"/>
    <w:rsid w:val="00F61AE1"/>
    <w:rsid w:val="00F61EFA"/>
    <w:rsid w:val="00F633F2"/>
    <w:rsid w:val="00F641AD"/>
    <w:rsid w:val="00F6545D"/>
    <w:rsid w:val="00F657F9"/>
    <w:rsid w:val="00F65C91"/>
    <w:rsid w:val="00F666B2"/>
    <w:rsid w:val="00F66F4D"/>
    <w:rsid w:val="00F67454"/>
    <w:rsid w:val="00F70CBD"/>
    <w:rsid w:val="00F70DEB"/>
    <w:rsid w:val="00F7114B"/>
    <w:rsid w:val="00F7194A"/>
    <w:rsid w:val="00F719D2"/>
    <w:rsid w:val="00F71FA1"/>
    <w:rsid w:val="00F72211"/>
    <w:rsid w:val="00F7231A"/>
    <w:rsid w:val="00F73AA3"/>
    <w:rsid w:val="00F73F52"/>
    <w:rsid w:val="00F7405C"/>
    <w:rsid w:val="00F7633E"/>
    <w:rsid w:val="00F76E9E"/>
    <w:rsid w:val="00F76EAA"/>
    <w:rsid w:val="00F77172"/>
    <w:rsid w:val="00F779CA"/>
    <w:rsid w:val="00F8041B"/>
    <w:rsid w:val="00F8067E"/>
    <w:rsid w:val="00F80BC6"/>
    <w:rsid w:val="00F82723"/>
    <w:rsid w:val="00F82AE6"/>
    <w:rsid w:val="00F82C17"/>
    <w:rsid w:val="00F82CAE"/>
    <w:rsid w:val="00F835AC"/>
    <w:rsid w:val="00F83ACF"/>
    <w:rsid w:val="00F83BE9"/>
    <w:rsid w:val="00F83DF6"/>
    <w:rsid w:val="00F8473B"/>
    <w:rsid w:val="00F847C3"/>
    <w:rsid w:val="00F848CB"/>
    <w:rsid w:val="00F84A52"/>
    <w:rsid w:val="00F85352"/>
    <w:rsid w:val="00F859F4"/>
    <w:rsid w:val="00F8677C"/>
    <w:rsid w:val="00F86825"/>
    <w:rsid w:val="00F87675"/>
    <w:rsid w:val="00F877F6"/>
    <w:rsid w:val="00F8787D"/>
    <w:rsid w:val="00F87A3A"/>
    <w:rsid w:val="00F90956"/>
    <w:rsid w:val="00F910E9"/>
    <w:rsid w:val="00F9146A"/>
    <w:rsid w:val="00F9228A"/>
    <w:rsid w:val="00F9245B"/>
    <w:rsid w:val="00F92CB9"/>
    <w:rsid w:val="00F92E10"/>
    <w:rsid w:val="00F93332"/>
    <w:rsid w:val="00F93DBC"/>
    <w:rsid w:val="00F94DEB"/>
    <w:rsid w:val="00F94F85"/>
    <w:rsid w:val="00F9645B"/>
    <w:rsid w:val="00F96885"/>
    <w:rsid w:val="00F968EA"/>
    <w:rsid w:val="00F97C6F"/>
    <w:rsid w:val="00FA09D7"/>
    <w:rsid w:val="00FA170A"/>
    <w:rsid w:val="00FA1AFB"/>
    <w:rsid w:val="00FA2452"/>
    <w:rsid w:val="00FA27BA"/>
    <w:rsid w:val="00FA310D"/>
    <w:rsid w:val="00FA32FE"/>
    <w:rsid w:val="00FA3641"/>
    <w:rsid w:val="00FA43BC"/>
    <w:rsid w:val="00FA45A7"/>
    <w:rsid w:val="00FA5B12"/>
    <w:rsid w:val="00FA5D3E"/>
    <w:rsid w:val="00FA656B"/>
    <w:rsid w:val="00FA68D1"/>
    <w:rsid w:val="00FA6C83"/>
    <w:rsid w:val="00FA72C4"/>
    <w:rsid w:val="00FA7A20"/>
    <w:rsid w:val="00FB0265"/>
    <w:rsid w:val="00FB0B88"/>
    <w:rsid w:val="00FB10D4"/>
    <w:rsid w:val="00FB1771"/>
    <w:rsid w:val="00FB1CAD"/>
    <w:rsid w:val="00FB2859"/>
    <w:rsid w:val="00FB2D61"/>
    <w:rsid w:val="00FB3DFF"/>
    <w:rsid w:val="00FB548C"/>
    <w:rsid w:val="00FB5F09"/>
    <w:rsid w:val="00FB60A6"/>
    <w:rsid w:val="00FB649D"/>
    <w:rsid w:val="00FC1069"/>
    <w:rsid w:val="00FC149B"/>
    <w:rsid w:val="00FC1752"/>
    <w:rsid w:val="00FC194B"/>
    <w:rsid w:val="00FC1CFF"/>
    <w:rsid w:val="00FC1F0B"/>
    <w:rsid w:val="00FC3500"/>
    <w:rsid w:val="00FC3530"/>
    <w:rsid w:val="00FC371E"/>
    <w:rsid w:val="00FC3891"/>
    <w:rsid w:val="00FC44E5"/>
    <w:rsid w:val="00FC4A4D"/>
    <w:rsid w:val="00FC4AF3"/>
    <w:rsid w:val="00FC4D9C"/>
    <w:rsid w:val="00FC61D8"/>
    <w:rsid w:val="00FC6726"/>
    <w:rsid w:val="00FC68BF"/>
    <w:rsid w:val="00FC7E13"/>
    <w:rsid w:val="00FC7EDC"/>
    <w:rsid w:val="00FD0979"/>
    <w:rsid w:val="00FD0A2D"/>
    <w:rsid w:val="00FD0D3B"/>
    <w:rsid w:val="00FD4478"/>
    <w:rsid w:val="00FD47FE"/>
    <w:rsid w:val="00FD53DF"/>
    <w:rsid w:val="00FD5652"/>
    <w:rsid w:val="00FD56E6"/>
    <w:rsid w:val="00FD58E3"/>
    <w:rsid w:val="00FD59F2"/>
    <w:rsid w:val="00FD65D9"/>
    <w:rsid w:val="00FD66F7"/>
    <w:rsid w:val="00FD682F"/>
    <w:rsid w:val="00FD6C5C"/>
    <w:rsid w:val="00FD716C"/>
    <w:rsid w:val="00FD75CC"/>
    <w:rsid w:val="00FE1EEA"/>
    <w:rsid w:val="00FE2237"/>
    <w:rsid w:val="00FE2418"/>
    <w:rsid w:val="00FE32D7"/>
    <w:rsid w:val="00FE3721"/>
    <w:rsid w:val="00FE37FA"/>
    <w:rsid w:val="00FE46E3"/>
    <w:rsid w:val="00FE57F5"/>
    <w:rsid w:val="00FE599E"/>
    <w:rsid w:val="00FE6F61"/>
    <w:rsid w:val="00FE7C7F"/>
    <w:rsid w:val="00FF00BB"/>
    <w:rsid w:val="00FF0461"/>
    <w:rsid w:val="00FF054C"/>
    <w:rsid w:val="00FF0E77"/>
    <w:rsid w:val="00FF193A"/>
    <w:rsid w:val="00FF1B7C"/>
    <w:rsid w:val="00FF22FB"/>
    <w:rsid w:val="00FF28BF"/>
    <w:rsid w:val="00FF2A0B"/>
    <w:rsid w:val="00FF2D24"/>
    <w:rsid w:val="00FF2EB2"/>
    <w:rsid w:val="00FF31F5"/>
    <w:rsid w:val="00FF3A63"/>
    <w:rsid w:val="00FF46E0"/>
    <w:rsid w:val="00FF547C"/>
    <w:rsid w:val="00FF6B73"/>
    <w:rsid w:val="00FF6E2C"/>
    <w:rsid w:val="00FF6E5C"/>
    <w:rsid w:val="00FF71C3"/>
    <w:rsid w:val="00FF7EF8"/>
    <w:rsid w:val="022745A0"/>
    <w:rsid w:val="02A464AF"/>
    <w:rsid w:val="034E5101"/>
    <w:rsid w:val="03741291"/>
    <w:rsid w:val="042A49BB"/>
    <w:rsid w:val="05257DE5"/>
    <w:rsid w:val="056C533E"/>
    <w:rsid w:val="057F1035"/>
    <w:rsid w:val="06562220"/>
    <w:rsid w:val="06BC58E5"/>
    <w:rsid w:val="0733411E"/>
    <w:rsid w:val="083C293C"/>
    <w:rsid w:val="094C5896"/>
    <w:rsid w:val="0952686E"/>
    <w:rsid w:val="099E44B9"/>
    <w:rsid w:val="09D74144"/>
    <w:rsid w:val="0A650C83"/>
    <w:rsid w:val="0B1A4DBA"/>
    <w:rsid w:val="0BB93BEF"/>
    <w:rsid w:val="0D260613"/>
    <w:rsid w:val="0DAE4FB0"/>
    <w:rsid w:val="0DC12C6F"/>
    <w:rsid w:val="0E3C1CFB"/>
    <w:rsid w:val="0E7540EB"/>
    <w:rsid w:val="103C20C5"/>
    <w:rsid w:val="11060F47"/>
    <w:rsid w:val="114F7170"/>
    <w:rsid w:val="117D0437"/>
    <w:rsid w:val="11FF0EBC"/>
    <w:rsid w:val="121C0D71"/>
    <w:rsid w:val="13757537"/>
    <w:rsid w:val="14074B59"/>
    <w:rsid w:val="14327D30"/>
    <w:rsid w:val="156813EF"/>
    <w:rsid w:val="15B77F66"/>
    <w:rsid w:val="160416FD"/>
    <w:rsid w:val="16A3500D"/>
    <w:rsid w:val="17675839"/>
    <w:rsid w:val="17BB38C8"/>
    <w:rsid w:val="17D411F6"/>
    <w:rsid w:val="17E845CC"/>
    <w:rsid w:val="188D119D"/>
    <w:rsid w:val="18E10538"/>
    <w:rsid w:val="18F93403"/>
    <w:rsid w:val="19495773"/>
    <w:rsid w:val="19F04727"/>
    <w:rsid w:val="1AA262DC"/>
    <w:rsid w:val="1B0E18DE"/>
    <w:rsid w:val="1CB05C7A"/>
    <w:rsid w:val="1DD0555F"/>
    <w:rsid w:val="1E075D31"/>
    <w:rsid w:val="1E197963"/>
    <w:rsid w:val="1F165060"/>
    <w:rsid w:val="1F2E7FA7"/>
    <w:rsid w:val="1F607AF6"/>
    <w:rsid w:val="1F9E45C4"/>
    <w:rsid w:val="203B62B7"/>
    <w:rsid w:val="20BC4F1C"/>
    <w:rsid w:val="213173B9"/>
    <w:rsid w:val="21490F71"/>
    <w:rsid w:val="218872DA"/>
    <w:rsid w:val="218F3216"/>
    <w:rsid w:val="22737F8A"/>
    <w:rsid w:val="23F3183F"/>
    <w:rsid w:val="24211E24"/>
    <w:rsid w:val="248A15BB"/>
    <w:rsid w:val="24F829C8"/>
    <w:rsid w:val="25357778"/>
    <w:rsid w:val="26230EA8"/>
    <w:rsid w:val="26823DBB"/>
    <w:rsid w:val="26936DEC"/>
    <w:rsid w:val="27223D2C"/>
    <w:rsid w:val="272D1A6A"/>
    <w:rsid w:val="27952750"/>
    <w:rsid w:val="27AA6B16"/>
    <w:rsid w:val="285B3B0A"/>
    <w:rsid w:val="28F813CA"/>
    <w:rsid w:val="2929681F"/>
    <w:rsid w:val="296E79F1"/>
    <w:rsid w:val="2A3C6EB3"/>
    <w:rsid w:val="2B4A209F"/>
    <w:rsid w:val="2C493B09"/>
    <w:rsid w:val="2CF42A63"/>
    <w:rsid w:val="2D4517E6"/>
    <w:rsid w:val="2E695209"/>
    <w:rsid w:val="2EFA733D"/>
    <w:rsid w:val="2F7E39FF"/>
    <w:rsid w:val="2FC55B9D"/>
    <w:rsid w:val="3088423E"/>
    <w:rsid w:val="30B31E99"/>
    <w:rsid w:val="30B96EF9"/>
    <w:rsid w:val="30D07FA5"/>
    <w:rsid w:val="312E53A7"/>
    <w:rsid w:val="31AB19F5"/>
    <w:rsid w:val="32103D59"/>
    <w:rsid w:val="32643FD4"/>
    <w:rsid w:val="32935C1D"/>
    <w:rsid w:val="32AA7EC4"/>
    <w:rsid w:val="33F86270"/>
    <w:rsid w:val="340F73E6"/>
    <w:rsid w:val="34695BBC"/>
    <w:rsid w:val="34847DD4"/>
    <w:rsid w:val="35FC48CB"/>
    <w:rsid w:val="363267BB"/>
    <w:rsid w:val="36B97ADD"/>
    <w:rsid w:val="370451FC"/>
    <w:rsid w:val="37FD542B"/>
    <w:rsid w:val="383733B0"/>
    <w:rsid w:val="3851125B"/>
    <w:rsid w:val="387E60D5"/>
    <w:rsid w:val="38BD221F"/>
    <w:rsid w:val="39786887"/>
    <w:rsid w:val="3A1F234D"/>
    <w:rsid w:val="3A570AA3"/>
    <w:rsid w:val="3BF02833"/>
    <w:rsid w:val="3BF1248A"/>
    <w:rsid w:val="3BF21AC7"/>
    <w:rsid w:val="3C7419D1"/>
    <w:rsid w:val="3CA12C30"/>
    <w:rsid w:val="3CE0796D"/>
    <w:rsid w:val="3DBE071F"/>
    <w:rsid w:val="3DD5344F"/>
    <w:rsid w:val="3DE36134"/>
    <w:rsid w:val="3E33432C"/>
    <w:rsid w:val="3E497961"/>
    <w:rsid w:val="3E5D232A"/>
    <w:rsid w:val="3EB70235"/>
    <w:rsid w:val="3F05646B"/>
    <w:rsid w:val="3F1A4AAA"/>
    <w:rsid w:val="3F1E2F47"/>
    <w:rsid w:val="3F2F63A4"/>
    <w:rsid w:val="3FA97382"/>
    <w:rsid w:val="403F1053"/>
    <w:rsid w:val="415E6538"/>
    <w:rsid w:val="41715B61"/>
    <w:rsid w:val="42985759"/>
    <w:rsid w:val="42EB7271"/>
    <w:rsid w:val="43BC5E5E"/>
    <w:rsid w:val="43C57AC2"/>
    <w:rsid w:val="441445A5"/>
    <w:rsid w:val="442B2E3C"/>
    <w:rsid w:val="44B9151A"/>
    <w:rsid w:val="44C646BA"/>
    <w:rsid w:val="4597723C"/>
    <w:rsid w:val="45BD0F5F"/>
    <w:rsid w:val="460A698B"/>
    <w:rsid w:val="46431B88"/>
    <w:rsid w:val="464C5C8A"/>
    <w:rsid w:val="466C4B8B"/>
    <w:rsid w:val="467C1557"/>
    <w:rsid w:val="475950F1"/>
    <w:rsid w:val="4778588C"/>
    <w:rsid w:val="47C84024"/>
    <w:rsid w:val="47F832DC"/>
    <w:rsid w:val="483C0471"/>
    <w:rsid w:val="48406FA3"/>
    <w:rsid w:val="48894D7A"/>
    <w:rsid w:val="4A0550BC"/>
    <w:rsid w:val="4A6F3D98"/>
    <w:rsid w:val="4AFE3C4A"/>
    <w:rsid w:val="4B550C98"/>
    <w:rsid w:val="4B6C4CC7"/>
    <w:rsid w:val="4B7576F8"/>
    <w:rsid w:val="4B777639"/>
    <w:rsid w:val="4C0A4047"/>
    <w:rsid w:val="4C207F8B"/>
    <w:rsid w:val="4C2E1330"/>
    <w:rsid w:val="4C450B45"/>
    <w:rsid w:val="4CAE783D"/>
    <w:rsid w:val="4CD37C3F"/>
    <w:rsid w:val="4E2634BF"/>
    <w:rsid w:val="4E3B3EF4"/>
    <w:rsid w:val="4ED15F08"/>
    <w:rsid w:val="4F385221"/>
    <w:rsid w:val="4F8D236E"/>
    <w:rsid w:val="504A4D77"/>
    <w:rsid w:val="50A1014B"/>
    <w:rsid w:val="50DE19FF"/>
    <w:rsid w:val="52225C90"/>
    <w:rsid w:val="52253DB2"/>
    <w:rsid w:val="526828D5"/>
    <w:rsid w:val="53041EA4"/>
    <w:rsid w:val="5359507A"/>
    <w:rsid w:val="537A68E4"/>
    <w:rsid w:val="538D77CC"/>
    <w:rsid w:val="54040192"/>
    <w:rsid w:val="54331A41"/>
    <w:rsid w:val="54F75FEC"/>
    <w:rsid w:val="55B160F8"/>
    <w:rsid w:val="55BD2CCA"/>
    <w:rsid w:val="567C0ACC"/>
    <w:rsid w:val="56A86DBC"/>
    <w:rsid w:val="572841C2"/>
    <w:rsid w:val="57D83E10"/>
    <w:rsid w:val="58242BB1"/>
    <w:rsid w:val="59142C25"/>
    <w:rsid w:val="594A21B8"/>
    <w:rsid w:val="599E5E1E"/>
    <w:rsid w:val="59BE0F4B"/>
    <w:rsid w:val="59EA4667"/>
    <w:rsid w:val="5A4B7070"/>
    <w:rsid w:val="5A555DDB"/>
    <w:rsid w:val="5AA532B9"/>
    <w:rsid w:val="5ABD6F4C"/>
    <w:rsid w:val="5AD20125"/>
    <w:rsid w:val="5AE84EED"/>
    <w:rsid w:val="5B5F4D28"/>
    <w:rsid w:val="5BAD62BB"/>
    <w:rsid w:val="5CA130DC"/>
    <w:rsid w:val="5D1D693C"/>
    <w:rsid w:val="5D2F55D3"/>
    <w:rsid w:val="622F6EC6"/>
    <w:rsid w:val="623D31CE"/>
    <w:rsid w:val="62856942"/>
    <w:rsid w:val="63621685"/>
    <w:rsid w:val="640B2E77"/>
    <w:rsid w:val="643E149E"/>
    <w:rsid w:val="64BB6425"/>
    <w:rsid w:val="65160F27"/>
    <w:rsid w:val="651C687D"/>
    <w:rsid w:val="65E17231"/>
    <w:rsid w:val="6629174D"/>
    <w:rsid w:val="66754416"/>
    <w:rsid w:val="6695000B"/>
    <w:rsid w:val="66C57C55"/>
    <w:rsid w:val="67472418"/>
    <w:rsid w:val="67535405"/>
    <w:rsid w:val="67B10BD0"/>
    <w:rsid w:val="67C577E1"/>
    <w:rsid w:val="686673F9"/>
    <w:rsid w:val="68897DFB"/>
    <w:rsid w:val="68B32117"/>
    <w:rsid w:val="697C05C7"/>
    <w:rsid w:val="697D4CE0"/>
    <w:rsid w:val="69EB1E27"/>
    <w:rsid w:val="6A5D721F"/>
    <w:rsid w:val="6ACE59A0"/>
    <w:rsid w:val="6B373847"/>
    <w:rsid w:val="6B4B024C"/>
    <w:rsid w:val="6B554A60"/>
    <w:rsid w:val="6BBD539F"/>
    <w:rsid w:val="6C203025"/>
    <w:rsid w:val="6C8E2B5A"/>
    <w:rsid w:val="6D175FAA"/>
    <w:rsid w:val="6DB004B4"/>
    <w:rsid w:val="6DFE57FA"/>
    <w:rsid w:val="6EDD79F7"/>
    <w:rsid w:val="6F0A4A64"/>
    <w:rsid w:val="6F655B31"/>
    <w:rsid w:val="70297E02"/>
    <w:rsid w:val="70597ECA"/>
    <w:rsid w:val="71CC0A0F"/>
    <w:rsid w:val="71EA3503"/>
    <w:rsid w:val="72A2344E"/>
    <w:rsid w:val="7359692B"/>
    <w:rsid w:val="744409A7"/>
    <w:rsid w:val="746E5736"/>
    <w:rsid w:val="7479109F"/>
    <w:rsid w:val="75FD58C2"/>
    <w:rsid w:val="76E063E5"/>
    <w:rsid w:val="772549AA"/>
    <w:rsid w:val="777509E8"/>
    <w:rsid w:val="779A31FE"/>
    <w:rsid w:val="77E365C8"/>
    <w:rsid w:val="78EC62CF"/>
    <w:rsid w:val="78FE11C1"/>
    <w:rsid w:val="792376E1"/>
    <w:rsid w:val="79241C72"/>
    <w:rsid w:val="79C0032F"/>
    <w:rsid w:val="79C603AF"/>
    <w:rsid w:val="7ADE3D33"/>
    <w:rsid w:val="7AF272FC"/>
    <w:rsid w:val="7B714D2C"/>
    <w:rsid w:val="7B8437E3"/>
    <w:rsid w:val="7CB73744"/>
    <w:rsid w:val="7D137B15"/>
    <w:rsid w:val="7D6E470D"/>
    <w:rsid w:val="7D8C2E23"/>
    <w:rsid w:val="7DE22A43"/>
    <w:rsid w:val="7DE64079"/>
    <w:rsid w:val="7FA9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99" w:semiHidden="0" w:name="caption"/>
    <w:lsdException w:uiPriority="0" w:name="table of figures"/>
    <w:lsdException w:qFormat="1" w:unhideWhenUsed="0" w:uiPriority="99" w:name="envelope address"/>
    <w:lsdException w:qFormat="1" w:unhideWhenUsed="0" w:uiPriority="99" w:name="envelope return"/>
    <w:lsdException w:uiPriority="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0" w:name="endnote reference"/>
    <w:lsdException w:uiPriority="0" w:name="endnote text"/>
    <w:lsdException w:qFormat="1" w:unhideWhenUsed="0" w:uiPriority="99" w:name="table of authorities"/>
    <w:lsdException w:uiPriority="0" w:name="macro"/>
    <w:lsdException w:qFormat="1" w:unhideWhenUsed="0" w:uiPriority="99" w:name="toa heading"/>
    <w:lsdException w:qFormat="1" w:unhideWhenUsed="0" w:uiPriority="99" w:semiHidden="0" w:name="List"/>
    <w:lsdException w:qFormat="1" w:unhideWhenUsed="0" w:uiPriority="99" w:name="List Bullet"/>
    <w:lsdException w:qFormat="1" w:unhideWhenUsed="0" w:uiPriority="99"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name="List Bullet 2"/>
    <w:lsdException w:qFormat="1" w:unhideWhenUsed="0" w:uiPriority="99" w:name="List Bullet 3"/>
    <w:lsdException w:qFormat="1" w:unhideWhenUsed="0" w:uiPriority="99" w:name="List Bullet 4"/>
    <w:lsdException w:qFormat="1" w:unhideWhenUsed="0" w:uiPriority="99" w:name="List Bullet 5"/>
    <w:lsdException w:qFormat="1" w:unhideWhenUsed="0" w:uiPriority="99" w:name="List Number 2"/>
    <w:lsdException w:qFormat="1" w:unhideWhenUsed="0" w:uiPriority="99" w:name="List Number 3"/>
    <w:lsdException w:qFormat="1" w:unhideWhenUsed="0" w:uiPriority="99" w:name="List Number 4"/>
    <w:lsdException w:qFormat="1" w:unhideWhenUsed="0" w:uiPriority="99" w:name="List Number 5"/>
    <w:lsdException w:qFormat="1" w:unhideWhenUsed="0" w:uiPriority="10" w:semiHidden="0" w:name="Title"/>
    <w:lsdException w:qFormat="1" w:unhideWhenUsed="0" w:uiPriority="99"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name="List Continue 5"/>
    <w:lsdException w:qFormat="1" w:unhideWhenUsed="0" w:uiPriority="99" w:name="Message Header"/>
    <w:lsdException w:qFormat="1" w:unhideWhenUsed="0" w:uiPriority="11" w:semiHidden="0" w:name="Subtitle"/>
    <w:lsdException w:qFormat="1" w:unhideWhenUsed="0" w:uiPriority="99" w:name="Salutation"/>
    <w:lsdException w:qFormat="1" w:unhideWhenUsed="0" w:uiPriority="99" w:semiHidden="0" w:name="Date"/>
    <w:lsdException w:qFormat="1" w:unhideWhenUsed="0" w:uiPriority="99" w:semiHidden="0" w:name="Body Text First Indent"/>
    <w:lsdException w:qFormat="1" w:unhideWhenUsed="0" w:uiPriority="99" w:name="Body Text First Indent 2"/>
    <w:lsdException w:qFormat="1" w:unhideWhenUsed="0"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name="E-mail Signature"/>
    <w:lsdException w:qFormat="1" w:unhideWhenUsed="0" w:uiPriority="0" w:semiHidden="0" w:name="Normal (Web)"/>
    <w:lsdException w:qFormat="1" w:unhideWhenUsed="0" w:uiPriority="99" w:name="HTML Acronym"/>
    <w:lsdException w:qFormat="1" w:unhideWhenUsed="0" w:uiPriority="99" w:name="HTML Address"/>
    <w:lsdException w:qFormat="1" w:unhideWhenUsed="0" w:uiPriority="99" w:name="HTML Cite"/>
    <w:lsdException w:qFormat="1" w:unhideWhenUsed="0" w:uiPriority="99" w:name="HTML Code"/>
    <w:lsdException w:qFormat="1" w:unhideWhenUsed="0" w:uiPriority="99" w:name="HTML Definition"/>
    <w:lsdException w:qFormat="1" w:unhideWhenUsed="0" w:uiPriority="99" w:name="HTML Keyboard"/>
    <w:lsdException w:qFormat="1" w:unhideWhenUsed="0" w:uiPriority="99" w:name="HTML Preformatted"/>
    <w:lsdException w:qFormat="1" w:unhideWhenUsed="0" w:uiPriority="99" w:name="HTML Sample"/>
    <w:lsdException w:qFormat="1" w:unhideWhenUsed="0" w:uiPriority="99" w:name="HTML Typewriter"/>
    <w:lsdException w:qFormat="1" w:unhideWhenUsed="0" w:uiPriority="99" w:name="HTML Variable"/>
    <w:lsdException w:qFormat="1" w:uiPriority="99" w:name="Normal Table"/>
    <w:lsdException w:qFormat="1" w:unhideWhenUsed="0" w:uiPriority="99" w:name="annotation subject"/>
    <w:lsdException w:qFormat="1" w:unhideWhenUsed="0" w:uiPriority="99" w:name="Table Simple 1"/>
    <w:lsdException w:qFormat="1" w:unhideWhenUsed="0" w:uiPriority="99" w:name="Table Simple 2"/>
    <w:lsdException w:qFormat="1" w:unhideWhenUsed="0" w:uiPriority="99" w:name="Table Simple 3"/>
    <w:lsdException w:qFormat="1" w:unhideWhenUsed="0" w:uiPriority="99" w:name="Table Classic 1"/>
    <w:lsdException w:qFormat="1" w:unhideWhenUsed="0" w:uiPriority="99" w:name="Table Classic 2"/>
    <w:lsdException w:qFormat="1" w:unhideWhenUsed="0" w:uiPriority="99" w:name="Table Classic 3"/>
    <w:lsdException w:qFormat="1" w:unhideWhenUsed="0" w:uiPriority="99" w:name="Table Classic 4"/>
    <w:lsdException w:qFormat="1" w:unhideWhenUsed="0" w:uiPriority="99" w:name="Table Colorful 1"/>
    <w:lsdException w:qFormat="1" w:unhideWhenUsed="0" w:uiPriority="99" w:name="Table Colorful 2"/>
    <w:lsdException w:qFormat="1" w:unhideWhenUsed="0" w:uiPriority="99" w:name="Table Colorful 3"/>
    <w:lsdException w:qFormat="1" w:unhideWhenUsed="0" w:uiPriority="99" w:name="Table Columns 1"/>
    <w:lsdException w:qFormat="1" w:unhideWhenUsed="0" w:uiPriority="99" w:name="Table Columns 2"/>
    <w:lsdException w:qFormat="1" w:unhideWhenUsed="0" w:uiPriority="99" w:name="Table Columns 3"/>
    <w:lsdException w:qFormat="1" w:unhideWhenUsed="0" w:uiPriority="99" w:name="Table Columns 4"/>
    <w:lsdException w:qFormat="1" w:unhideWhenUsed="0" w:uiPriority="99" w:name="Table Columns 5"/>
    <w:lsdException w:qFormat="1" w:unhideWhenUsed="0" w:uiPriority="99" w:name="Table Grid 1"/>
    <w:lsdException w:qFormat="1" w:unhideWhenUsed="0" w:uiPriority="99" w:name="Table Grid 2"/>
    <w:lsdException w:qFormat="1" w:unhideWhenUsed="0" w:uiPriority="99" w:name="Table Grid 3"/>
    <w:lsdException w:qFormat="1" w:unhideWhenUsed="0" w:uiPriority="99" w:name="Table Grid 4"/>
    <w:lsdException w:qFormat="1" w:unhideWhenUsed="0" w:uiPriority="99" w:name="Table Grid 5"/>
    <w:lsdException w:qFormat="1" w:unhideWhenUsed="0" w:uiPriority="99" w:name="Table Grid 6"/>
    <w:lsdException w:qFormat="1" w:unhideWhenUsed="0" w:uiPriority="99" w:name="Table Grid 7"/>
    <w:lsdException w:qFormat="1" w:unhideWhenUsed="0" w:uiPriority="99" w:name="Table Grid 8"/>
    <w:lsdException w:qFormat="1" w:unhideWhenUsed="0" w:uiPriority="99" w:name="Table List 1"/>
    <w:lsdException w:qFormat="1" w:unhideWhenUsed="0" w:uiPriority="99" w:name="Table List 2"/>
    <w:lsdException w:qFormat="1" w:unhideWhenUsed="0" w:uiPriority="99" w:name="Table List 3"/>
    <w:lsdException w:qFormat="1" w:unhideWhenUsed="0" w:uiPriority="99" w:name="Table List 4"/>
    <w:lsdException w:qFormat="1" w:unhideWhenUsed="0" w:uiPriority="99" w:name="Table List 5"/>
    <w:lsdException w:qFormat="1" w:unhideWhenUsed="0" w:uiPriority="99" w:name="Table List 6"/>
    <w:lsdException w:qFormat="1" w:unhideWhenUsed="0" w:uiPriority="99" w:name="Table List 7"/>
    <w:lsdException w:qFormat="1" w:unhideWhenUsed="0" w:uiPriority="99" w:name="Table List 8"/>
    <w:lsdException w:qFormat="1" w:unhideWhenUsed="0" w:uiPriority="99" w:name="Table 3D effects 1"/>
    <w:lsdException w:qFormat="1" w:unhideWhenUsed="0" w:uiPriority="99" w:name="Table 3D effects 2"/>
    <w:lsdException w:qFormat="1" w:unhideWhenUsed="0" w:uiPriority="99" w:name="Table 3D effects 3"/>
    <w:lsdException w:qFormat="1" w:unhideWhenUsed="0" w:uiPriority="99" w:name="Table Contemporary"/>
    <w:lsdException w:qFormat="1" w:unhideWhenUsed="0" w:uiPriority="99" w:name="Table Elegant"/>
    <w:lsdException w:qFormat="1" w:unhideWhenUsed="0" w:uiPriority="99" w:name="Table Professional"/>
    <w:lsdException w:qFormat="1" w:unhideWhenUsed="0" w:uiPriority="99" w:name="Table Subtle 1"/>
    <w:lsdException w:qFormat="1" w:unhideWhenUsed="0" w:uiPriority="99" w:name="Table Subtle 2"/>
    <w:lsdException w:qFormat="1" w:unhideWhenUsed="0" w:uiPriority="99" w:name="Table Web 1"/>
    <w:lsdException w:qFormat="1" w:unhideWhenUsed="0" w:uiPriority="99" w:name="Table Web 2"/>
    <w:lsdException w:qFormat="1" w:unhideWhenUsed="0" w:uiPriority="99" w:name="Table Web 3"/>
    <w:lsdException w:qFormat="1" w:unhideWhenUsed="0" w:uiPriority="99" w:semiHidden="0" w:name="Balloon Text"/>
    <w:lsdException w:qFormat="1" w:unhideWhenUsed="0" w:uiPriority="99" w:name="Table Grid"/>
    <w:lsdException w:qFormat="1" w:unhideWhenUsed="0"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38"/>
    <w:qFormat/>
    <w:uiPriority w:val="99"/>
    <w:pPr>
      <w:keepNext/>
      <w:keepLines/>
      <w:spacing w:before="340" w:after="330" w:line="578" w:lineRule="auto"/>
      <w:outlineLvl w:val="0"/>
    </w:pPr>
    <w:rPr>
      <w:b/>
      <w:bCs/>
      <w:kern w:val="44"/>
      <w:sz w:val="44"/>
      <w:szCs w:val="44"/>
    </w:rPr>
  </w:style>
  <w:style w:type="paragraph" w:styleId="5">
    <w:name w:val="heading 2"/>
    <w:basedOn w:val="1"/>
    <w:next w:val="6"/>
    <w:link w:val="136"/>
    <w:qFormat/>
    <w:uiPriority w:val="99"/>
    <w:pPr>
      <w:keepNext/>
      <w:keepLines/>
      <w:spacing w:before="260" w:after="260" w:line="416" w:lineRule="auto"/>
      <w:outlineLvl w:val="1"/>
    </w:pPr>
    <w:rPr>
      <w:rFonts w:ascii="Arial" w:hAnsi="Arial" w:eastAsia="黑体"/>
      <w:b/>
      <w:bCs/>
      <w:kern w:val="0"/>
      <w:sz w:val="32"/>
      <w:szCs w:val="32"/>
    </w:rPr>
  </w:style>
  <w:style w:type="paragraph" w:styleId="7">
    <w:name w:val="heading 3"/>
    <w:basedOn w:val="1"/>
    <w:next w:val="1"/>
    <w:link w:val="140"/>
    <w:qFormat/>
    <w:uiPriority w:val="99"/>
    <w:pPr>
      <w:keepNext/>
      <w:keepLines/>
      <w:spacing w:before="260" w:after="260" w:line="416" w:lineRule="auto"/>
      <w:outlineLvl w:val="2"/>
    </w:pPr>
    <w:rPr>
      <w:b/>
      <w:bCs/>
      <w:kern w:val="0"/>
      <w:sz w:val="32"/>
      <w:szCs w:val="32"/>
    </w:rPr>
  </w:style>
  <w:style w:type="paragraph" w:styleId="8">
    <w:name w:val="heading 4"/>
    <w:basedOn w:val="1"/>
    <w:next w:val="1"/>
    <w:link w:val="141"/>
    <w:qFormat/>
    <w:uiPriority w:val="99"/>
    <w:pPr>
      <w:keepNext/>
      <w:keepLines/>
      <w:spacing w:before="280" w:after="290" w:line="376" w:lineRule="auto"/>
      <w:outlineLvl w:val="3"/>
    </w:pPr>
    <w:rPr>
      <w:rFonts w:ascii="Arial" w:hAnsi="Arial" w:eastAsia="黑体"/>
      <w:b/>
      <w:bCs/>
      <w:kern w:val="0"/>
      <w:sz w:val="28"/>
      <w:szCs w:val="28"/>
    </w:rPr>
  </w:style>
  <w:style w:type="paragraph" w:styleId="9">
    <w:name w:val="heading 5"/>
    <w:basedOn w:val="1"/>
    <w:next w:val="1"/>
    <w:link w:val="142"/>
    <w:qFormat/>
    <w:uiPriority w:val="99"/>
    <w:pPr>
      <w:keepNext/>
      <w:keepLines/>
      <w:spacing w:before="280" w:after="290" w:line="376" w:lineRule="auto"/>
      <w:outlineLvl w:val="4"/>
    </w:pPr>
    <w:rPr>
      <w:b/>
      <w:bCs/>
      <w:kern w:val="0"/>
      <w:sz w:val="28"/>
      <w:szCs w:val="28"/>
    </w:rPr>
  </w:style>
  <w:style w:type="paragraph" w:styleId="10">
    <w:name w:val="heading 6"/>
    <w:basedOn w:val="1"/>
    <w:next w:val="1"/>
    <w:link w:val="143"/>
    <w:qFormat/>
    <w:uiPriority w:val="99"/>
    <w:pPr>
      <w:keepNext/>
      <w:keepLines/>
      <w:spacing w:before="240" w:after="64" w:line="320" w:lineRule="auto"/>
      <w:outlineLvl w:val="5"/>
    </w:pPr>
    <w:rPr>
      <w:rFonts w:ascii="Arial" w:hAnsi="Arial" w:eastAsia="黑体"/>
      <w:b/>
      <w:bCs/>
      <w:kern w:val="0"/>
      <w:sz w:val="20"/>
      <w:szCs w:val="20"/>
    </w:rPr>
  </w:style>
  <w:style w:type="paragraph" w:styleId="11">
    <w:name w:val="heading 7"/>
    <w:basedOn w:val="1"/>
    <w:next w:val="1"/>
    <w:link w:val="144"/>
    <w:qFormat/>
    <w:uiPriority w:val="9"/>
    <w:pPr>
      <w:keepNext/>
      <w:keepLines/>
      <w:spacing w:before="240" w:after="64" w:line="320" w:lineRule="auto"/>
      <w:jc w:val="left"/>
      <w:outlineLvl w:val="6"/>
    </w:pPr>
    <w:rPr>
      <w:b/>
      <w:bCs/>
      <w:kern w:val="0"/>
      <w:sz w:val="24"/>
    </w:rPr>
  </w:style>
  <w:style w:type="paragraph" w:styleId="12">
    <w:name w:val="heading 8"/>
    <w:basedOn w:val="1"/>
    <w:next w:val="1"/>
    <w:link w:val="145"/>
    <w:qFormat/>
    <w:uiPriority w:val="9"/>
    <w:pPr>
      <w:keepNext/>
      <w:keepLines/>
      <w:tabs>
        <w:tab w:val="left" w:pos="1440"/>
      </w:tabs>
      <w:adjustRightInd w:val="0"/>
      <w:spacing w:line="360" w:lineRule="atLeast"/>
      <w:ind w:left="1440" w:hanging="1440"/>
      <w:outlineLvl w:val="7"/>
    </w:pPr>
    <w:rPr>
      <w:rFonts w:ascii="Cambria" w:hAnsi="Cambria"/>
      <w:kern w:val="0"/>
      <w:sz w:val="24"/>
    </w:rPr>
  </w:style>
  <w:style w:type="paragraph" w:styleId="13">
    <w:name w:val="heading 9"/>
    <w:basedOn w:val="1"/>
    <w:next w:val="1"/>
    <w:link w:val="146"/>
    <w:qFormat/>
    <w:uiPriority w:val="9"/>
    <w:pPr>
      <w:keepNext/>
      <w:keepLines/>
      <w:tabs>
        <w:tab w:val="left" w:pos="1584"/>
      </w:tabs>
      <w:adjustRightInd w:val="0"/>
      <w:spacing w:line="360" w:lineRule="atLeast"/>
      <w:ind w:left="1584" w:hanging="1584"/>
      <w:outlineLvl w:val="8"/>
    </w:pPr>
    <w:rPr>
      <w:rFonts w:ascii="Cambria" w:hAnsi="Cambria"/>
      <w:kern w:val="0"/>
      <w:sz w:val="20"/>
      <w:szCs w:val="21"/>
    </w:rPr>
  </w:style>
  <w:style w:type="character" w:default="1" w:styleId="120">
    <w:name w:val="Default Paragraph Font"/>
    <w:semiHidden/>
    <w:unhideWhenUsed/>
    <w:qFormat/>
    <w:uiPriority w:val="1"/>
  </w:style>
  <w:style w:type="table" w:default="1" w:styleId="7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54"/>
    <w:qFormat/>
    <w:uiPriority w:val="99"/>
    <w:pPr>
      <w:spacing w:after="120"/>
    </w:pPr>
    <w:rPr>
      <w:kern w:val="0"/>
      <w:sz w:val="20"/>
    </w:rPr>
  </w:style>
  <w:style w:type="paragraph" w:styleId="3">
    <w:name w:val="Body Text 2"/>
    <w:basedOn w:val="1"/>
    <w:link w:val="166"/>
    <w:qFormat/>
    <w:uiPriority w:val="99"/>
    <w:rPr>
      <w:kern w:val="0"/>
      <w:sz w:val="20"/>
    </w:rPr>
  </w:style>
  <w:style w:type="paragraph" w:styleId="6">
    <w:name w:val="Normal Indent"/>
    <w:basedOn w:val="1"/>
    <w:link w:val="139"/>
    <w:qFormat/>
    <w:uiPriority w:val="99"/>
    <w:pPr>
      <w:ind w:firstLine="420" w:firstLineChars="200"/>
    </w:pPr>
    <w:rPr>
      <w:kern w:val="0"/>
      <w:szCs w:val="20"/>
    </w:rPr>
  </w:style>
  <w:style w:type="paragraph" w:styleId="14">
    <w:name w:val="List 3"/>
    <w:basedOn w:val="1"/>
    <w:qFormat/>
    <w:uiPriority w:val="99"/>
    <w:pPr>
      <w:ind w:left="100" w:leftChars="400" w:hanging="200" w:hangingChars="200"/>
    </w:pPr>
  </w:style>
  <w:style w:type="paragraph" w:styleId="15">
    <w:name w:val="toc 7"/>
    <w:basedOn w:val="1"/>
    <w:next w:val="1"/>
    <w:semiHidden/>
    <w:qFormat/>
    <w:uiPriority w:val="99"/>
    <w:pPr>
      <w:ind w:left="1260"/>
      <w:jc w:val="left"/>
    </w:pPr>
    <w:rPr>
      <w:sz w:val="18"/>
      <w:szCs w:val="18"/>
    </w:rPr>
  </w:style>
  <w:style w:type="paragraph" w:styleId="16">
    <w:name w:val="List Number 2"/>
    <w:basedOn w:val="1"/>
    <w:semiHidden/>
    <w:qFormat/>
    <w:uiPriority w:val="99"/>
    <w:pPr>
      <w:tabs>
        <w:tab w:val="left" w:pos="780"/>
      </w:tabs>
      <w:spacing w:after="200" w:line="276" w:lineRule="auto"/>
      <w:ind w:left="780" w:leftChars="200" w:hanging="360" w:hangingChars="200"/>
      <w:jc w:val="left"/>
    </w:pPr>
    <w:rPr>
      <w:rFonts w:ascii="Calibri" w:hAnsi="Calibri"/>
      <w:kern w:val="0"/>
      <w:sz w:val="22"/>
      <w:szCs w:val="22"/>
      <w:lang w:eastAsia="en-US"/>
    </w:rPr>
  </w:style>
  <w:style w:type="paragraph" w:styleId="17">
    <w:name w:val="table of authorities"/>
    <w:basedOn w:val="1"/>
    <w:next w:val="1"/>
    <w:semiHidden/>
    <w:qFormat/>
    <w:uiPriority w:val="99"/>
    <w:pPr>
      <w:spacing w:after="200" w:line="276" w:lineRule="auto"/>
      <w:ind w:left="420" w:leftChars="200"/>
      <w:jc w:val="left"/>
    </w:pPr>
    <w:rPr>
      <w:rFonts w:ascii="Calibri" w:hAnsi="Calibri"/>
      <w:kern w:val="0"/>
      <w:sz w:val="22"/>
      <w:szCs w:val="22"/>
      <w:lang w:eastAsia="en-US"/>
    </w:rPr>
  </w:style>
  <w:style w:type="paragraph" w:styleId="18">
    <w:name w:val="Note Heading"/>
    <w:basedOn w:val="1"/>
    <w:next w:val="1"/>
    <w:link w:val="147"/>
    <w:semiHidden/>
    <w:qFormat/>
    <w:uiPriority w:val="0"/>
    <w:pPr>
      <w:spacing w:after="200" w:line="276" w:lineRule="auto"/>
      <w:jc w:val="center"/>
    </w:pPr>
    <w:rPr>
      <w:kern w:val="0"/>
      <w:sz w:val="20"/>
    </w:rPr>
  </w:style>
  <w:style w:type="paragraph" w:styleId="19">
    <w:name w:val="List Bullet 4"/>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20">
    <w:name w:val="E-mail Signature"/>
    <w:basedOn w:val="1"/>
    <w:link w:val="148"/>
    <w:semiHidden/>
    <w:qFormat/>
    <w:uiPriority w:val="99"/>
    <w:pPr>
      <w:spacing w:after="200" w:line="276" w:lineRule="auto"/>
      <w:jc w:val="left"/>
    </w:pPr>
    <w:rPr>
      <w:kern w:val="0"/>
      <w:sz w:val="20"/>
    </w:rPr>
  </w:style>
  <w:style w:type="paragraph" w:styleId="21">
    <w:name w:val="List Number"/>
    <w:basedOn w:val="1"/>
    <w:semiHidden/>
    <w:qFormat/>
    <w:uiPriority w:val="99"/>
    <w:pPr>
      <w:tabs>
        <w:tab w:val="left" w:pos="360"/>
      </w:tabs>
      <w:spacing w:after="200" w:line="276" w:lineRule="auto"/>
      <w:ind w:left="360" w:hanging="360" w:hangingChars="200"/>
      <w:jc w:val="left"/>
    </w:pPr>
    <w:rPr>
      <w:rFonts w:ascii="Calibri" w:hAnsi="Calibri"/>
      <w:kern w:val="0"/>
      <w:sz w:val="22"/>
      <w:szCs w:val="22"/>
      <w:lang w:eastAsia="en-US"/>
    </w:rPr>
  </w:style>
  <w:style w:type="paragraph" w:styleId="22">
    <w:name w:val="caption"/>
    <w:basedOn w:val="1"/>
    <w:next w:val="1"/>
    <w:qFormat/>
    <w:uiPriority w:val="99"/>
    <w:pPr>
      <w:spacing w:before="152" w:after="160"/>
    </w:pPr>
    <w:rPr>
      <w:rFonts w:ascii="Arial" w:hAnsi="Arial" w:eastAsia="黑体" w:cs="Arial"/>
      <w:sz w:val="20"/>
      <w:szCs w:val="20"/>
    </w:rPr>
  </w:style>
  <w:style w:type="paragraph" w:styleId="23">
    <w:name w:val="List Bullet"/>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24">
    <w:name w:val="envelope address"/>
    <w:basedOn w:val="1"/>
    <w:semiHidden/>
    <w:qFormat/>
    <w:uiPriority w:val="99"/>
    <w:pPr>
      <w:framePr w:w="7920" w:h="1980" w:hRule="exact" w:hSpace="180" w:wrap="around" w:vAnchor="margin" w:hAnchor="page" w:xAlign="center" w:yAlign="bottom"/>
      <w:snapToGrid w:val="0"/>
      <w:spacing w:after="200" w:line="276" w:lineRule="auto"/>
      <w:ind w:left="100" w:leftChars="1400"/>
      <w:jc w:val="left"/>
    </w:pPr>
    <w:rPr>
      <w:rFonts w:ascii="Arial" w:hAnsi="Arial" w:cs="Arial"/>
      <w:kern w:val="0"/>
      <w:sz w:val="24"/>
      <w:lang w:eastAsia="en-US"/>
    </w:rPr>
  </w:style>
  <w:style w:type="paragraph" w:styleId="25">
    <w:name w:val="Document Map"/>
    <w:basedOn w:val="1"/>
    <w:link w:val="149"/>
    <w:semiHidden/>
    <w:qFormat/>
    <w:uiPriority w:val="99"/>
    <w:pPr>
      <w:shd w:val="clear" w:color="auto" w:fill="000080"/>
    </w:pPr>
    <w:rPr>
      <w:kern w:val="0"/>
      <w:sz w:val="16"/>
      <w:szCs w:val="16"/>
    </w:rPr>
  </w:style>
  <w:style w:type="paragraph" w:styleId="26">
    <w:name w:val="toa heading"/>
    <w:basedOn w:val="1"/>
    <w:next w:val="1"/>
    <w:semiHidden/>
    <w:qFormat/>
    <w:uiPriority w:val="99"/>
    <w:pPr>
      <w:spacing w:before="120"/>
    </w:pPr>
    <w:rPr>
      <w:rFonts w:ascii="Arial" w:hAnsi="Arial"/>
      <w:sz w:val="24"/>
      <w:szCs w:val="20"/>
    </w:rPr>
  </w:style>
  <w:style w:type="paragraph" w:styleId="27">
    <w:name w:val="annotation text"/>
    <w:basedOn w:val="1"/>
    <w:link w:val="150"/>
    <w:qFormat/>
    <w:uiPriority w:val="99"/>
    <w:pPr>
      <w:spacing w:after="200" w:line="276" w:lineRule="auto"/>
      <w:jc w:val="left"/>
    </w:pPr>
    <w:rPr>
      <w:kern w:val="0"/>
      <w:sz w:val="20"/>
    </w:rPr>
  </w:style>
  <w:style w:type="paragraph" w:styleId="28">
    <w:name w:val="Salutation"/>
    <w:basedOn w:val="1"/>
    <w:next w:val="1"/>
    <w:link w:val="151"/>
    <w:semiHidden/>
    <w:qFormat/>
    <w:uiPriority w:val="99"/>
    <w:pPr>
      <w:spacing w:after="200" w:line="276" w:lineRule="auto"/>
      <w:jc w:val="left"/>
    </w:pPr>
    <w:rPr>
      <w:kern w:val="0"/>
      <w:sz w:val="20"/>
    </w:rPr>
  </w:style>
  <w:style w:type="paragraph" w:styleId="29">
    <w:name w:val="Body Text 3"/>
    <w:basedOn w:val="1"/>
    <w:link w:val="152"/>
    <w:qFormat/>
    <w:uiPriority w:val="99"/>
    <w:rPr>
      <w:kern w:val="0"/>
      <w:sz w:val="16"/>
      <w:szCs w:val="16"/>
    </w:rPr>
  </w:style>
  <w:style w:type="paragraph" w:styleId="30">
    <w:name w:val="Closing"/>
    <w:basedOn w:val="1"/>
    <w:link w:val="153"/>
    <w:semiHidden/>
    <w:qFormat/>
    <w:uiPriority w:val="99"/>
    <w:pPr>
      <w:spacing w:after="200" w:line="276" w:lineRule="auto"/>
      <w:ind w:left="100" w:leftChars="2100"/>
      <w:jc w:val="left"/>
    </w:pPr>
    <w:rPr>
      <w:kern w:val="0"/>
      <w:sz w:val="20"/>
    </w:rPr>
  </w:style>
  <w:style w:type="paragraph" w:styleId="31">
    <w:name w:val="List Bullet 3"/>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32">
    <w:name w:val="Body Text Indent"/>
    <w:basedOn w:val="1"/>
    <w:link w:val="155"/>
    <w:qFormat/>
    <w:uiPriority w:val="99"/>
    <w:pPr>
      <w:spacing w:line="500" w:lineRule="exact"/>
      <w:ind w:left="1588" w:leftChars="832" w:firstLine="433" w:firstLineChars="196"/>
    </w:pPr>
    <w:rPr>
      <w:kern w:val="0"/>
      <w:sz w:val="20"/>
    </w:rPr>
  </w:style>
  <w:style w:type="paragraph" w:styleId="33">
    <w:name w:val="List Number 3"/>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34">
    <w:name w:val="List 2"/>
    <w:basedOn w:val="1"/>
    <w:qFormat/>
    <w:uiPriority w:val="99"/>
    <w:pPr>
      <w:ind w:left="100" w:leftChars="200" w:hanging="200" w:hangingChars="200"/>
    </w:pPr>
  </w:style>
  <w:style w:type="paragraph" w:styleId="35">
    <w:name w:val="List Continue"/>
    <w:basedOn w:val="1"/>
    <w:qFormat/>
    <w:uiPriority w:val="99"/>
    <w:pPr>
      <w:spacing w:after="120"/>
      <w:ind w:left="420" w:leftChars="200"/>
    </w:pPr>
  </w:style>
  <w:style w:type="paragraph" w:styleId="36">
    <w:name w:val="Block Text"/>
    <w:basedOn w:val="1"/>
    <w:semiHidden/>
    <w:qFormat/>
    <w:uiPriority w:val="99"/>
    <w:pPr>
      <w:spacing w:after="120" w:line="276" w:lineRule="auto"/>
      <w:ind w:left="1440" w:leftChars="700" w:right="1440" w:rightChars="700"/>
      <w:jc w:val="left"/>
    </w:pPr>
    <w:rPr>
      <w:rFonts w:ascii="Calibri" w:hAnsi="Calibri"/>
      <w:kern w:val="0"/>
      <w:sz w:val="22"/>
      <w:szCs w:val="22"/>
      <w:lang w:eastAsia="en-US"/>
    </w:rPr>
  </w:style>
  <w:style w:type="paragraph" w:styleId="37">
    <w:name w:val="List Bullet 2"/>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38">
    <w:name w:val="HTML Address"/>
    <w:basedOn w:val="1"/>
    <w:link w:val="156"/>
    <w:semiHidden/>
    <w:qFormat/>
    <w:uiPriority w:val="99"/>
    <w:pPr>
      <w:spacing w:after="200" w:line="276" w:lineRule="auto"/>
      <w:jc w:val="left"/>
    </w:pPr>
    <w:rPr>
      <w:i/>
      <w:iCs/>
      <w:kern w:val="0"/>
      <w:sz w:val="20"/>
    </w:rPr>
  </w:style>
  <w:style w:type="paragraph" w:styleId="39">
    <w:name w:val="index 4"/>
    <w:basedOn w:val="1"/>
    <w:next w:val="1"/>
    <w:qFormat/>
    <w:uiPriority w:val="0"/>
    <w:pPr>
      <w:ind w:left="428" w:firstLine="140"/>
    </w:pPr>
    <w:rPr>
      <w:rFonts w:eastAsia="华文仿宋"/>
      <w:sz w:val="28"/>
    </w:rPr>
  </w:style>
  <w:style w:type="paragraph" w:styleId="40">
    <w:name w:val="toc 5"/>
    <w:basedOn w:val="1"/>
    <w:next w:val="1"/>
    <w:semiHidden/>
    <w:qFormat/>
    <w:uiPriority w:val="99"/>
    <w:pPr>
      <w:ind w:left="840"/>
      <w:jc w:val="left"/>
    </w:pPr>
    <w:rPr>
      <w:sz w:val="18"/>
      <w:szCs w:val="18"/>
    </w:rPr>
  </w:style>
  <w:style w:type="paragraph" w:styleId="41">
    <w:name w:val="toc 3"/>
    <w:basedOn w:val="1"/>
    <w:next w:val="1"/>
    <w:qFormat/>
    <w:uiPriority w:val="39"/>
    <w:pPr>
      <w:ind w:left="420"/>
      <w:jc w:val="left"/>
    </w:pPr>
    <w:rPr>
      <w:i/>
      <w:iCs/>
      <w:sz w:val="20"/>
      <w:szCs w:val="20"/>
    </w:rPr>
  </w:style>
  <w:style w:type="paragraph" w:styleId="42">
    <w:name w:val="Plain Text"/>
    <w:basedOn w:val="1"/>
    <w:link w:val="157"/>
    <w:qFormat/>
    <w:uiPriority w:val="99"/>
    <w:rPr>
      <w:rFonts w:ascii="宋体" w:hAnsi="Courier New"/>
      <w:kern w:val="0"/>
      <w:sz w:val="20"/>
      <w:szCs w:val="21"/>
    </w:rPr>
  </w:style>
  <w:style w:type="paragraph" w:styleId="43">
    <w:name w:val="List Bullet 5"/>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44">
    <w:name w:val="List Number 4"/>
    <w:basedOn w:val="1"/>
    <w:semiHidden/>
    <w:qFormat/>
    <w:uiPriority w:val="99"/>
    <w:pPr>
      <w:numPr>
        <w:ilvl w:val="0"/>
        <w:numId w:val="1"/>
      </w:numPr>
      <w:spacing w:after="200" w:line="276" w:lineRule="auto"/>
      <w:jc w:val="left"/>
    </w:pPr>
    <w:rPr>
      <w:rFonts w:ascii="Calibri" w:hAnsi="Calibri"/>
      <w:kern w:val="0"/>
      <w:sz w:val="22"/>
      <w:szCs w:val="22"/>
      <w:lang w:eastAsia="en-US"/>
    </w:rPr>
  </w:style>
  <w:style w:type="paragraph" w:styleId="45">
    <w:name w:val="toc 8"/>
    <w:basedOn w:val="1"/>
    <w:next w:val="1"/>
    <w:semiHidden/>
    <w:qFormat/>
    <w:uiPriority w:val="99"/>
    <w:pPr>
      <w:ind w:left="1470"/>
      <w:jc w:val="left"/>
    </w:pPr>
    <w:rPr>
      <w:sz w:val="18"/>
      <w:szCs w:val="18"/>
    </w:rPr>
  </w:style>
  <w:style w:type="paragraph" w:styleId="46">
    <w:name w:val="Date"/>
    <w:basedOn w:val="1"/>
    <w:next w:val="1"/>
    <w:link w:val="158"/>
    <w:qFormat/>
    <w:uiPriority w:val="99"/>
    <w:pPr>
      <w:ind w:left="100" w:leftChars="2500"/>
    </w:pPr>
    <w:rPr>
      <w:kern w:val="0"/>
      <w:sz w:val="20"/>
    </w:rPr>
  </w:style>
  <w:style w:type="paragraph" w:styleId="47">
    <w:name w:val="Body Text Indent 2"/>
    <w:basedOn w:val="1"/>
    <w:link w:val="159"/>
    <w:qFormat/>
    <w:uiPriority w:val="99"/>
    <w:pPr>
      <w:spacing w:line="500" w:lineRule="exact"/>
      <w:ind w:firstLine="442" w:firstLineChars="200"/>
    </w:pPr>
    <w:rPr>
      <w:kern w:val="0"/>
      <w:sz w:val="20"/>
    </w:rPr>
  </w:style>
  <w:style w:type="paragraph" w:styleId="48">
    <w:name w:val="List Continue 5"/>
    <w:basedOn w:val="1"/>
    <w:semiHidden/>
    <w:qFormat/>
    <w:uiPriority w:val="99"/>
    <w:pPr>
      <w:spacing w:after="120" w:line="276" w:lineRule="auto"/>
      <w:ind w:left="2100" w:leftChars="1000"/>
      <w:jc w:val="left"/>
    </w:pPr>
    <w:rPr>
      <w:rFonts w:ascii="Calibri" w:hAnsi="Calibri"/>
      <w:kern w:val="0"/>
      <w:sz w:val="22"/>
      <w:szCs w:val="22"/>
      <w:lang w:eastAsia="en-US"/>
    </w:rPr>
  </w:style>
  <w:style w:type="paragraph" w:styleId="49">
    <w:name w:val="Balloon Text"/>
    <w:basedOn w:val="1"/>
    <w:link w:val="160"/>
    <w:qFormat/>
    <w:uiPriority w:val="99"/>
    <w:rPr>
      <w:kern w:val="0"/>
      <w:sz w:val="16"/>
      <w:szCs w:val="16"/>
    </w:rPr>
  </w:style>
  <w:style w:type="paragraph" w:styleId="50">
    <w:name w:val="footer"/>
    <w:basedOn w:val="1"/>
    <w:link w:val="161"/>
    <w:qFormat/>
    <w:uiPriority w:val="99"/>
    <w:pPr>
      <w:tabs>
        <w:tab w:val="center" w:pos="4153"/>
        <w:tab w:val="right" w:pos="8306"/>
      </w:tabs>
      <w:snapToGrid w:val="0"/>
      <w:jc w:val="left"/>
    </w:pPr>
    <w:rPr>
      <w:kern w:val="0"/>
      <w:sz w:val="18"/>
      <w:szCs w:val="18"/>
    </w:rPr>
  </w:style>
  <w:style w:type="paragraph" w:styleId="51">
    <w:name w:val="envelope return"/>
    <w:basedOn w:val="1"/>
    <w:semiHidden/>
    <w:qFormat/>
    <w:uiPriority w:val="99"/>
    <w:pPr>
      <w:snapToGrid w:val="0"/>
      <w:spacing w:after="200" w:line="276" w:lineRule="auto"/>
      <w:jc w:val="left"/>
    </w:pPr>
    <w:rPr>
      <w:rFonts w:ascii="Arial" w:hAnsi="Arial" w:cs="Arial"/>
      <w:kern w:val="0"/>
      <w:sz w:val="22"/>
      <w:szCs w:val="22"/>
      <w:lang w:eastAsia="en-US"/>
    </w:rPr>
  </w:style>
  <w:style w:type="paragraph" w:styleId="52">
    <w:name w:val="header"/>
    <w:basedOn w:val="1"/>
    <w:link w:val="162"/>
    <w:qFormat/>
    <w:uiPriority w:val="99"/>
    <w:pPr>
      <w:pBdr>
        <w:bottom w:val="single" w:color="auto" w:sz="6" w:space="1"/>
      </w:pBdr>
      <w:tabs>
        <w:tab w:val="center" w:pos="4153"/>
        <w:tab w:val="right" w:pos="8306"/>
      </w:tabs>
      <w:snapToGrid w:val="0"/>
      <w:jc w:val="center"/>
    </w:pPr>
    <w:rPr>
      <w:kern w:val="0"/>
      <w:sz w:val="18"/>
      <w:szCs w:val="18"/>
    </w:rPr>
  </w:style>
  <w:style w:type="paragraph" w:styleId="53">
    <w:name w:val="Signature"/>
    <w:basedOn w:val="1"/>
    <w:link w:val="163"/>
    <w:qFormat/>
    <w:uiPriority w:val="99"/>
    <w:pPr>
      <w:ind w:left="100" w:leftChars="2100"/>
    </w:pPr>
    <w:rPr>
      <w:kern w:val="0"/>
      <w:sz w:val="20"/>
    </w:rPr>
  </w:style>
  <w:style w:type="paragraph" w:styleId="54">
    <w:name w:val="toc 1"/>
    <w:basedOn w:val="1"/>
    <w:next w:val="1"/>
    <w:qFormat/>
    <w:uiPriority w:val="39"/>
    <w:pPr>
      <w:spacing w:before="120" w:after="120"/>
      <w:jc w:val="left"/>
    </w:pPr>
    <w:rPr>
      <w:b/>
      <w:bCs/>
      <w:caps/>
      <w:sz w:val="20"/>
      <w:szCs w:val="20"/>
    </w:rPr>
  </w:style>
  <w:style w:type="paragraph" w:styleId="55">
    <w:name w:val="List Continue 4"/>
    <w:basedOn w:val="1"/>
    <w:qFormat/>
    <w:uiPriority w:val="99"/>
    <w:pPr>
      <w:spacing w:after="120"/>
      <w:ind w:left="1680" w:leftChars="800"/>
    </w:pPr>
  </w:style>
  <w:style w:type="paragraph" w:styleId="56">
    <w:name w:val="toc 4"/>
    <w:basedOn w:val="1"/>
    <w:next w:val="1"/>
    <w:semiHidden/>
    <w:qFormat/>
    <w:uiPriority w:val="99"/>
    <w:pPr>
      <w:ind w:left="630"/>
      <w:jc w:val="left"/>
    </w:pPr>
    <w:rPr>
      <w:sz w:val="18"/>
      <w:szCs w:val="18"/>
    </w:rPr>
  </w:style>
  <w:style w:type="paragraph" w:styleId="57">
    <w:name w:val="Subtitle"/>
    <w:basedOn w:val="1"/>
    <w:link w:val="164"/>
    <w:qFormat/>
    <w:uiPriority w:val="11"/>
    <w:pPr>
      <w:spacing w:before="240" w:after="60" w:line="312" w:lineRule="auto"/>
      <w:jc w:val="center"/>
      <w:outlineLvl w:val="1"/>
    </w:pPr>
    <w:rPr>
      <w:rFonts w:ascii="Cambria" w:hAnsi="Cambria"/>
      <w:b/>
      <w:bCs/>
      <w:kern w:val="28"/>
      <w:sz w:val="32"/>
      <w:szCs w:val="32"/>
    </w:rPr>
  </w:style>
  <w:style w:type="paragraph" w:styleId="58">
    <w:name w:val="List Number 5"/>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59">
    <w:name w:val="List"/>
    <w:basedOn w:val="1"/>
    <w:qFormat/>
    <w:uiPriority w:val="99"/>
    <w:pPr>
      <w:ind w:left="200" w:hanging="200" w:hangingChars="200"/>
    </w:pPr>
  </w:style>
  <w:style w:type="paragraph" w:styleId="60">
    <w:name w:val="toc 6"/>
    <w:basedOn w:val="1"/>
    <w:next w:val="1"/>
    <w:semiHidden/>
    <w:qFormat/>
    <w:uiPriority w:val="99"/>
    <w:pPr>
      <w:ind w:left="1050"/>
      <w:jc w:val="left"/>
    </w:pPr>
    <w:rPr>
      <w:sz w:val="18"/>
      <w:szCs w:val="18"/>
    </w:rPr>
  </w:style>
  <w:style w:type="paragraph" w:styleId="61">
    <w:name w:val="List 5"/>
    <w:basedOn w:val="1"/>
    <w:qFormat/>
    <w:uiPriority w:val="99"/>
    <w:pPr>
      <w:ind w:left="100" w:leftChars="800" w:hanging="200" w:hangingChars="200"/>
    </w:pPr>
  </w:style>
  <w:style w:type="paragraph" w:styleId="62">
    <w:name w:val="Body Text Indent 3"/>
    <w:basedOn w:val="1"/>
    <w:link w:val="165"/>
    <w:qFormat/>
    <w:uiPriority w:val="99"/>
    <w:pPr>
      <w:tabs>
        <w:tab w:val="left" w:pos="1134"/>
        <w:tab w:val="left" w:pos="5481"/>
        <w:tab w:val="left" w:pos="5859"/>
      </w:tabs>
      <w:spacing w:line="500" w:lineRule="exact"/>
      <w:ind w:firstLine="8275" w:firstLineChars="1200"/>
    </w:pPr>
    <w:rPr>
      <w:kern w:val="0"/>
      <w:sz w:val="16"/>
      <w:szCs w:val="16"/>
    </w:rPr>
  </w:style>
  <w:style w:type="paragraph" w:styleId="63">
    <w:name w:val="toc 2"/>
    <w:basedOn w:val="1"/>
    <w:next w:val="1"/>
    <w:qFormat/>
    <w:uiPriority w:val="39"/>
    <w:pPr>
      <w:tabs>
        <w:tab w:val="right" w:leader="dot" w:pos="8597"/>
      </w:tabs>
      <w:spacing w:line="360" w:lineRule="auto"/>
      <w:ind w:left="210"/>
      <w:jc w:val="left"/>
    </w:pPr>
    <w:rPr>
      <w:smallCaps/>
      <w:sz w:val="20"/>
      <w:szCs w:val="20"/>
    </w:rPr>
  </w:style>
  <w:style w:type="paragraph" w:styleId="64">
    <w:name w:val="toc 9"/>
    <w:basedOn w:val="1"/>
    <w:next w:val="1"/>
    <w:semiHidden/>
    <w:qFormat/>
    <w:uiPriority w:val="99"/>
    <w:pPr>
      <w:ind w:left="1680"/>
      <w:jc w:val="left"/>
    </w:pPr>
    <w:rPr>
      <w:sz w:val="18"/>
      <w:szCs w:val="18"/>
    </w:rPr>
  </w:style>
  <w:style w:type="paragraph" w:styleId="65">
    <w:name w:val="List 4"/>
    <w:basedOn w:val="1"/>
    <w:qFormat/>
    <w:uiPriority w:val="99"/>
    <w:pPr>
      <w:ind w:left="100" w:leftChars="600" w:hanging="200" w:hangingChars="200"/>
    </w:pPr>
  </w:style>
  <w:style w:type="paragraph" w:styleId="66">
    <w:name w:val="List Continue 2"/>
    <w:basedOn w:val="1"/>
    <w:qFormat/>
    <w:uiPriority w:val="99"/>
    <w:pPr>
      <w:spacing w:after="120"/>
      <w:ind w:left="840" w:leftChars="400"/>
    </w:pPr>
  </w:style>
  <w:style w:type="paragraph" w:styleId="67">
    <w:name w:val="Message Header"/>
    <w:basedOn w:val="1"/>
    <w:link w:val="167"/>
    <w:semiHidden/>
    <w:qFormat/>
    <w:uiPriority w:val="99"/>
    <w:pPr>
      <w:pBdr>
        <w:top w:val="single" w:color="auto" w:sz="6" w:space="1"/>
        <w:left w:val="single" w:color="auto" w:sz="6" w:space="1"/>
        <w:bottom w:val="single" w:color="auto" w:sz="6" w:space="1"/>
        <w:right w:val="single" w:color="auto" w:sz="6" w:space="1"/>
      </w:pBdr>
      <w:shd w:val="pct20" w:color="auto" w:fill="auto"/>
      <w:spacing w:after="200" w:line="276" w:lineRule="auto"/>
      <w:ind w:left="1080" w:leftChars="500" w:hanging="1080" w:hangingChars="500"/>
      <w:jc w:val="left"/>
    </w:pPr>
    <w:rPr>
      <w:rFonts w:ascii="Cambria" w:hAnsi="Cambria"/>
      <w:kern w:val="0"/>
      <w:sz w:val="24"/>
    </w:rPr>
  </w:style>
  <w:style w:type="paragraph" w:styleId="68">
    <w:name w:val="HTML Preformatted"/>
    <w:basedOn w:val="1"/>
    <w:link w:val="168"/>
    <w:semiHidden/>
    <w:qFormat/>
    <w:uiPriority w:val="99"/>
    <w:pPr>
      <w:spacing w:after="200" w:line="276" w:lineRule="auto"/>
      <w:jc w:val="left"/>
    </w:pPr>
    <w:rPr>
      <w:rFonts w:ascii="Courier New" w:hAnsi="Courier New"/>
      <w:kern w:val="0"/>
      <w:sz w:val="20"/>
      <w:szCs w:val="20"/>
    </w:rPr>
  </w:style>
  <w:style w:type="paragraph" w:styleId="6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0">
    <w:name w:val="List Continue 3"/>
    <w:basedOn w:val="1"/>
    <w:qFormat/>
    <w:uiPriority w:val="99"/>
    <w:pPr>
      <w:spacing w:after="120"/>
      <w:ind w:left="1260" w:leftChars="600"/>
    </w:pPr>
  </w:style>
  <w:style w:type="paragraph" w:styleId="71">
    <w:name w:val="Title"/>
    <w:basedOn w:val="1"/>
    <w:link w:val="169"/>
    <w:qFormat/>
    <w:uiPriority w:val="10"/>
    <w:pPr>
      <w:spacing w:before="240" w:after="60" w:line="276" w:lineRule="auto"/>
      <w:jc w:val="center"/>
      <w:outlineLvl w:val="0"/>
    </w:pPr>
    <w:rPr>
      <w:rFonts w:ascii="Cambria" w:hAnsi="Cambria"/>
      <w:b/>
      <w:bCs/>
      <w:kern w:val="0"/>
      <w:sz w:val="32"/>
      <w:szCs w:val="32"/>
    </w:rPr>
  </w:style>
  <w:style w:type="paragraph" w:styleId="72">
    <w:name w:val="annotation subject"/>
    <w:basedOn w:val="27"/>
    <w:next w:val="27"/>
    <w:link w:val="170"/>
    <w:semiHidden/>
    <w:qFormat/>
    <w:uiPriority w:val="99"/>
    <w:pPr>
      <w:spacing w:after="0" w:line="240" w:lineRule="auto"/>
    </w:pPr>
    <w:rPr>
      <w:rFonts w:ascii="Calibri" w:hAnsi="Calibri"/>
      <w:b/>
      <w:bCs/>
      <w:sz w:val="22"/>
      <w:lang w:eastAsia="en-US"/>
    </w:rPr>
  </w:style>
  <w:style w:type="paragraph" w:styleId="73">
    <w:name w:val="Body Text First Indent"/>
    <w:basedOn w:val="2"/>
    <w:link w:val="171"/>
    <w:qFormat/>
    <w:uiPriority w:val="99"/>
    <w:pPr>
      <w:spacing w:line="400" w:lineRule="exact"/>
      <w:ind w:firstLine="200" w:firstLineChars="200"/>
    </w:pPr>
    <w:rPr>
      <w:sz w:val="21"/>
    </w:rPr>
  </w:style>
  <w:style w:type="paragraph" w:styleId="74">
    <w:name w:val="Body Text First Indent 2"/>
    <w:basedOn w:val="32"/>
    <w:link w:val="172"/>
    <w:semiHidden/>
    <w:qFormat/>
    <w:uiPriority w:val="99"/>
    <w:pPr>
      <w:spacing w:after="120" w:line="276" w:lineRule="auto"/>
      <w:ind w:left="420" w:leftChars="200" w:firstLine="420" w:firstLineChars="200"/>
      <w:jc w:val="left"/>
    </w:pPr>
  </w:style>
  <w:style w:type="table" w:styleId="76">
    <w:name w:val="Table Grid"/>
    <w:basedOn w:val="75"/>
    <w:semiHidden/>
    <w:qFormat/>
    <w:uiPriority w:val="99"/>
    <w:pPr>
      <w:widowControl w:val="0"/>
      <w:spacing w:after="200" w:line="276" w:lineRule="auto"/>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7">
    <w:name w:val="Table Theme"/>
    <w:basedOn w:val="75"/>
    <w:semiHidden/>
    <w:qFormat/>
    <w:uiPriority w:val="99"/>
    <w:pPr>
      <w:widowControl w:val="0"/>
      <w:spacing w:after="200" w:line="276" w:lineRule="auto"/>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8">
    <w:name w:val="Table Colorful 1"/>
    <w:basedOn w:val="75"/>
    <w:semiHidden/>
    <w:qFormat/>
    <w:uiPriority w:val="99"/>
    <w:pPr>
      <w:widowControl w:val="0"/>
      <w:spacing w:after="200" w:line="276" w:lineRule="auto"/>
    </w:pPr>
    <w:rPr>
      <w:rFonts w:ascii="Calibri" w:hAnsi="Calibri"/>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op w:val="nil"/>
          <w:left w:val="nil"/>
          <w:bottom w:val="nil"/>
          <w:right w:val="nil"/>
          <w:insideH w:val="nil"/>
          <w:insideV w:val="nil"/>
          <w:tl2br w:val="nil"/>
          <w:tr2bl w:val="nil"/>
        </w:tcBorders>
        <w:shd w:val="solid" w:color="000000" w:fill="FFFFFF"/>
      </w:tcPr>
    </w:tblStylePr>
    <w:tblStylePr w:type="firstCol">
      <w:rPr>
        <w:rFonts w:cs="Times New Roman"/>
        <w:b/>
        <w:bCs/>
        <w:i/>
        <w:iCs/>
      </w:rPr>
      <w:tblPr/>
      <w:tcPr>
        <w:tcBorders>
          <w:top w:val="nil"/>
          <w:left w:val="nil"/>
          <w:bottom w:val="nil"/>
          <w:right w:val="nil"/>
          <w:insideH w:val="nil"/>
          <w:insideV w:val="nil"/>
          <w:tl2br w:val="nil"/>
          <w:tr2bl w:val="nil"/>
        </w:tcBorders>
        <w:shd w:val="solid" w:color="000080" w:fill="FFFFFF"/>
      </w:tcPr>
    </w:tblStylePr>
    <w:tblStylePr w:type="nwCell">
      <w:rPr>
        <w:rFonts w:cs="Times New Roman"/>
      </w:rPr>
      <w:tblPr/>
      <w:tcPr>
        <w:tcBorders>
          <w:top w:val="nil"/>
          <w:left w:val="nil"/>
          <w:bottom w:val="nil"/>
          <w:right w:val="nil"/>
          <w:insideH w:val="nil"/>
          <w:insideV w:val="nil"/>
          <w:tl2br w:val="nil"/>
          <w:tr2bl w:val="nil"/>
        </w:tcBorders>
        <w:shd w:val="solid" w:color="00000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79">
    <w:name w:val="Table Colorful 2"/>
    <w:basedOn w:val="75"/>
    <w:semiHidden/>
    <w:qFormat/>
    <w:uiPriority w:val="99"/>
    <w:pPr>
      <w:widowControl w:val="0"/>
      <w:spacing w:after="200" w:line="276" w:lineRule="auto"/>
    </w:pPr>
    <w:rPr>
      <w:rFonts w:ascii="Calibri" w:hAnsi="Calibri"/>
    </w:rPr>
    <w:tblPr>
      <w:tblBorders>
        <w:bottom w:val="single" w:color="000000" w:sz="12" w:space="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rFonts w:cs="Times New Roman"/>
        <w:b/>
        <w:bCs/>
        <w:i/>
        <w:iCs/>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shd w:val="solid" w:color="C0C0C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80">
    <w:name w:val="Table Colorful 3"/>
    <w:basedOn w:val="75"/>
    <w:semiHidden/>
    <w:qFormat/>
    <w:uiPriority w:val="99"/>
    <w:pPr>
      <w:widowControl w:val="0"/>
      <w:spacing w:after="200" w:line="276" w:lineRule="auto"/>
    </w:pPr>
    <w:rPr>
      <w:rFonts w:ascii="Calibri" w:hAnsi="Calibri"/>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rPr>
        <w:rFonts w:cs="Times New Roman"/>
      </w:rPr>
      <w:tblPr/>
      <w:tcPr>
        <w:tcBorders>
          <w:top w:val="nil"/>
          <w:left w:val="nil"/>
          <w:bottom w:val="single" w:color="000000" w:sz="6" w:space="0"/>
          <w:right w:val="nil"/>
          <w:insideH w:val="nil"/>
          <w:insideV w:val="nil"/>
          <w:tl2br w:val="nil"/>
          <w:tr2bl w:val="nil"/>
        </w:tcBorders>
        <w:shd w:val="solid" w:color="008080" w:fill="FFFFFF"/>
      </w:tcPr>
    </w:tblStylePr>
    <w:tblStylePr w:type="firstCol">
      <w:rPr>
        <w:rFonts w:cs="Times New Roman"/>
      </w:rPr>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1">
    <w:name w:val="Table Elegant"/>
    <w:basedOn w:val="75"/>
    <w:semiHidden/>
    <w:qFormat/>
    <w:uiPriority w:val="99"/>
    <w:pPr>
      <w:widowControl w:val="0"/>
      <w:spacing w:after="200" w:line="276" w:lineRule="auto"/>
    </w:pPr>
    <w:rPr>
      <w:rFonts w:ascii="Calibri" w:hAnsi="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82">
    <w:name w:val="Table Classic 1"/>
    <w:basedOn w:val="75"/>
    <w:semiHidden/>
    <w:qFormat/>
    <w:uiPriority w:val="99"/>
    <w:pPr>
      <w:widowControl w:val="0"/>
      <w:spacing w:after="200" w:line="276" w:lineRule="auto"/>
    </w:pPr>
    <w:rPr>
      <w:rFonts w:ascii="Calibri" w:hAnsi="Calibri"/>
    </w:rPr>
    <w:tblPr>
      <w:tblBorders>
        <w:top w:val="single" w:color="000000" w:sz="12" w:space="0"/>
        <w:bottom w:val="single" w:color="000000" w:sz="12" w:space="0"/>
      </w:tblBorders>
      <w:tblCellMar>
        <w:top w:w="0" w:type="dxa"/>
        <w:left w:w="108" w:type="dxa"/>
        <w:bottom w:w="0" w:type="dxa"/>
        <w:right w:w="108" w:type="dxa"/>
      </w:tblCellMar>
    </w:tblPr>
    <w:tblStylePr w:type="firstRow">
      <w:rPr>
        <w:rFonts w:cs="Times New Roman"/>
        <w:i/>
        <w:iCs/>
      </w:rPr>
      <w:tblPr/>
      <w:tcPr>
        <w:tcBorders>
          <w:top w:val="nil"/>
          <w:left w:val="nil"/>
          <w:bottom w:val="single" w:color="000000" w:sz="6" w:space="0"/>
          <w:right w:val="nil"/>
          <w:insideH w:val="nil"/>
          <w:insideV w:val="nil"/>
          <w:tl2br w:val="nil"/>
          <w:tr2bl w:val="nil"/>
        </w:tcBorders>
      </w:tcPr>
    </w:tblStylePr>
    <w:tblStylePr w:type="lastRow">
      <w:rPr>
        <w:rFonts w:cs="Times New Roman"/>
        <w:color w:val="auto"/>
      </w:rPr>
      <w:tblPr/>
      <w:tcPr>
        <w:tcBorders>
          <w:top w:val="single" w:color="000000" w:sz="6" w:space="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000000" w:sz="6" w:space="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83">
    <w:name w:val="Table Classic 2"/>
    <w:basedOn w:val="75"/>
    <w:semiHidden/>
    <w:qFormat/>
    <w:uiPriority w:val="99"/>
    <w:pPr>
      <w:widowControl w:val="0"/>
      <w:spacing w:after="200" w:line="276" w:lineRule="auto"/>
    </w:pPr>
    <w:rPr>
      <w:rFonts w:ascii="Calibri" w:hAnsi="Calibri"/>
    </w:rPr>
    <w:tblPr>
      <w:tblBorders>
        <w:top w:val="single" w:color="000000" w:sz="12" w:space="0"/>
        <w:bottom w:val="single" w:color="000000" w:sz="12" w:space="0"/>
      </w:tblBorders>
      <w:tblCellMar>
        <w:top w:w="0" w:type="dxa"/>
        <w:left w:w="108" w:type="dxa"/>
        <w:bottom w:w="0" w:type="dxa"/>
        <w:right w:w="108" w:type="dxa"/>
      </w:tblCellMar>
    </w:tblPr>
    <w:tblStylePr w:type="firstRow">
      <w:rPr>
        <w:rFonts w:cs="Times New Roman"/>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rPr>
        <w:rFonts w:cs="Times New Roman"/>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84">
    <w:name w:val="Table Classic 3"/>
    <w:basedOn w:val="75"/>
    <w:semiHidden/>
    <w:qFormat/>
    <w:uiPriority w:val="99"/>
    <w:pPr>
      <w:widowControl w:val="0"/>
      <w:spacing w:after="200" w:line="276" w:lineRule="auto"/>
    </w:pPr>
    <w:rPr>
      <w:rFonts w:ascii="Calibri" w:hAnsi="Calibri"/>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rFonts w:cs="Times New Roman"/>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rFonts w:cs="Times New Roman"/>
        <w:b/>
        <w:bCs/>
        <w:color w:val="000000"/>
      </w:rPr>
      <w:tblPr/>
      <w:tcPr>
        <w:tcBorders>
          <w:top w:val="nil"/>
          <w:left w:val="nil"/>
          <w:bottom w:val="nil"/>
          <w:right w:val="nil"/>
          <w:insideH w:val="nil"/>
          <w:insideV w:val="nil"/>
          <w:tl2br w:val="nil"/>
          <w:tr2bl w:val="nil"/>
        </w:tcBorders>
      </w:tcPr>
    </w:tblStylePr>
  </w:style>
  <w:style w:type="table" w:styleId="85">
    <w:name w:val="Table Classic 4"/>
    <w:basedOn w:val="75"/>
    <w:semiHidden/>
    <w:qFormat/>
    <w:uiPriority w:val="99"/>
    <w:pPr>
      <w:widowControl w:val="0"/>
      <w:spacing w:after="200" w:line="276" w:lineRule="auto"/>
    </w:pPr>
    <w:rPr>
      <w:rFonts w:ascii="Calibri" w:hAnsi="Calibri"/>
    </w:r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blStylePr w:type="firstRow">
      <w:rPr>
        <w:rFonts w:cs="Times New Roman"/>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rFonts w:cs="Times New Roman"/>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86">
    <w:name w:val="Table Simple 1"/>
    <w:basedOn w:val="75"/>
    <w:semiHidden/>
    <w:qFormat/>
    <w:uiPriority w:val="99"/>
    <w:pPr>
      <w:widowControl w:val="0"/>
      <w:spacing w:after="200" w:line="276" w:lineRule="auto"/>
    </w:pPr>
    <w:rPr>
      <w:rFonts w:ascii="Calibri" w:hAnsi="Calibri"/>
    </w:rPr>
    <w:tblPr>
      <w:tblBorders>
        <w:top w:val="single" w:color="008000" w:sz="12" w:space="0"/>
        <w:bottom w:val="single" w:color="008000" w:sz="12" w:space="0"/>
      </w:tblBorders>
      <w:tblCellMar>
        <w:top w:w="0" w:type="dxa"/>
        <w:left w:w="108" w:type="dxa"/>
        <w:bottom w:w="0" w:type="dxa"/>
        <w:right w:w="108" w:type="dxa"/>
      </w:tblCellMar>
    </w:tblPr>
    <w:tblStylePr w:type="firstRow">
      <w:rPr>
        <w:rFonts w:cs="Times New Roman"/>
      </w:rPr>
      <w:tblPr/>
      <w:tcPr>
        <w:tcBorders>
          <w:top w:val="nil"/>
          <w:left w:val="nil"/>
          <w:bottom w:val="single" w:color="008000" w:sz="6" w:space="0"/>
          <w:right w:val="nil"/>
          <w:insideH w:val="nil"/>
          <w:insideV w:val="nil"/>
          <w:tl2br w:val="nil"/>
          <w:tr2bl w:val="nil"/>
        </w:tcBorders>
      </w:tcPr>
    </w:tblStylePr>
    <w:tblStylePr w:type="lastRow">
      <w:rPr>
        <w:rFonts w:cs="Times New Roman"/>
      </w:rPr>
      <w:tblPr/>
      <w:tcPr>
        <w:tcBorders>
          <w:top w:val="single" w:color="008000" w:sz="6" w:space="0"/>
          <w:left w:val="nil"/>
          <w:bottom w:val="nil"/>
          <w:right w:val="nil"/>
          <w:insideH w:val="nil"/>
          <w:insideV w:val="nil"/>
          <w:tl2br w:val="nil"/>
          <w:tr2bl w:val="nil"/>
        </w:tcBorders>
      </w:tcPr>
    </w:tblStylePr>
  </w:style>
  <w:style w:type="table" w:styleId="87">
    <w:name w:val="Table Simple 2"/>
    <w:basedOn w:val="75"/>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blStylePr w:type="firstRow">
      <w:rPr>
        <w:rFonts w:cs="Times New Roman"/>
        <w:b/>
        <w:bCs/>
      </w:rPr>
      <w:tblPr/>
      <w:tcPr>
        <w:tcBorders>
          <w:top w:val="nil"/>
          <w:left w:val="nil"/>
          <w:bottom w:val="single" w:color="000000" w:sz="12" w:space="0"/>
          <w:right w:val="nil"/>
          <w:insideH w:val="nil"/>
          <w:insideV w:val="nil"/>
          <w:tl2br w:val="nil"/>
          <w:tr2bl w:val="nil"/>
        </w:tcBorders>
      </w:tcPr>
    </w:tblStylePr>
    <w:tblStylePr w:type="lastRow">
      <w:rPr>
        <w:rFonts w:cs="Times New Roman"/>
        <w:b/>
        <w:bCs/>
        <w:color w:val="auto"/>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color="000000" w:sz="12" w:space="0"/>
          <w:insideH w:val="nil"/>
          <w:insideV w:val="nil"/>
          <w:tl2br w:val="nil"/>
          <w:tr2bl w:val="nil"/>
        </w:tcBorders>
      </w:tcPr>
    </w:tblStylePr>
    <w:tblStylePr w:type="lastCol">
      <w:rPr>
        <w:rFonts w:cs="Times New Roman"/>
        <w:b/>
        <w:bCs/>
      </w:rPr>
      <w:tblPr/>
      <w:tcPr>
        <w:tcBorders>
          <w:top w:val="nil"/>
          <w:left w:val="single" w:color="000000" w:sz="6" w:space="0"/>
          <w:bottom w:val="nil"/>
          <w:right w:val="nil"/>
          <w:insideH w:val="nil"/>
          <w:insideV w:val="nil"/>
          <w:tl2br w:val="nil"/>
          <w:tr2bl w:val="nil"/>
        </w:tcBorders>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88">
    <w:name w:val="Table Simple 3"/>
    <w:basedOn w:val="75"/>
    <w:semiHidden/>
    <w:qFormat/>
    <w:uiPriority w:val="99"/>
    <w:pPr>
      <w:widowControl w:val="0"/>
      <w:spacing w:after="200" w:line="276" w:lineRule="auto"/>
    </w:pPr>
    <w:rPr>
      <w:rFonts w:ascii="Calibri" w:hAnsi="Calibri"/>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9">
    <w:name w:val="Table Subtle 1"/>
    <w:basedOn w:val="75"/>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blStylePr w:type="firstRow">
      <w:rPr>
        <w:rFonts w:cs="Times New Roman"/>
      </w:rPr>
      <w:tblPr/>
      <w:tcPr>
        <w:tcBorders>
          <w:top w:val="single" w:color="000000" w:sz="6" w:space="0"/>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shd w:val="pct25" w:color="800080" w:fill="FFFFFF"/>
      </w:tcPr>
    </w:tblStylePr>
    <w:tblStylePr w:type="firstCol">
      <w:rPr>
        <w:rFonts w:cs="Times New Roman"/>
      </w:rPr>
      <w:tblPr/>
      <w:tcPr>
        <w:tcBorders>
          <w:top w:val="nil"/>
          <w:left w:val="nil"/>
          <w:bottom w:val="nil"/>
          <w:right w:val="single" w:color="000000" w:sz="12" w:space="0"/>
          <w:insideH w:val="nil"/>
          <w:insideV w:val="nil"/>
          <w:tl2br w:val="nil"/>
          <w:tr2bl w:val="nil"/>
        </w:tcBorders>
      </w:tcPr>
    </w:tblStylePr>
    <w:tblStylePr w:type="lastCol">
      <w:rPr>
        <w:rFonts w:cs="Times New Roman"/>
      </w:rPr>
      <w:tblPr/>
      <w:tcPr>
        <w:tcBorders>
          <w:top w:val="nil"/>
          <w:left w:val="single" w:color="000000" w:sz="12" w:space="0"/>
          <w:bottom w:val="nil"/>
          <w:right w:val="nil"/>
          <w:insideH w:val="nil"/>
          <w:insideV w:val="nil"/>
          <w:tl2br w:val="nil"/>
          <w:tr2bl w:val="nil"/>
        </w:tcBorders>
      </w:tcPr>
    </w:tblStylePr>
    <w:tblStylePr w:type="band1Horz">
      <w:rPr>
        <w:rFonts w:cs="Times New Roman"/>
      </w:rPr>
      <w:tblPr/>
      <w:tcPr>
        <w:tcBorders>
          <w:top w:val="nil"/>
          <w:left w:val="nil"/>
          <w:bottom w:val="single" w:color="000000" w:sz="6" w:space="0"/>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0">
    <w:name w:val="Table Subtle 2"/>
    <w:basedOn w:val="75"/>
    <w:semiHidden/>
    <w:qFormat/>
    <w:uiPriority w:val="99"/>
    <w:pPr>
      <w:widowControl w:val="0"/>
      <w:spacing w:after="200" w:line="276" w:lineRule="auto"/>
    </w:pPr>
    <w:rPr>
      <w:rFonts w:ascii="Calibri" w:hAnsi="Calibri"/>
    </w:rPr>
    <w:tblPr>
      <w:tblBorders>
        <w:left w:val="single" w:color="000000" w:sz="6" w:space="0"/>
        <w:right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000000" w:sz="12" w:space="0"/>
          <w:insideH w:val="nil"/>
          <w:insideV w:val="nil"/>
          <w:tl2br w:val="nil"/>
          <w:tr2bl w:val="nil"/>
        </w:tcBorders>
        <w:shd w:val="pct25" w:color="008000" w:fill="FFFFFF"/>
      </w:tcPr>
    </w:tblStylePr>
    <w:tblStylePr w:type="lastCol">
      <w:rPr>
        <w:rFonts w:cs="Times New Roman"/>
      </w:rPr>
      <w:tblPr/>
      <w:tcPr>
        <w:tcBorders>
          <w:top w:val="nil"/>
          <w:left w:val="single" w:color="000000" w:sz="12" w:space="0"/>
          <w:bottom w:val="nil"/>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1">
    <w:name w:val="Table 3D effects 1"/>
    <w:basedOn w:val="75"/>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top w:val="nil"/>
          <w:left w:val="nil"/>
          <w:bottom w:val="single" w:color="808080" w:sz="6" w:space="0"/>
          <w:right w:val="nil"/>
          <w:insideH w:val="nil"/>
          <w:insideV w:val="nil"/>
          <w:tl2br w:val="nil"/>
          <w:tr2bl w:val="nil"/>
        </w:tcBorders>
      </w:tcPr>
    </w:tblStylePr>
    <w:tblStylePr w:type="lastRow">
      <w:rPr>
        <w:rFonts w:cs="Times New Roman"/>
      </w:rPr>
      <w:tblPr/>
      <w:tcPr>
        <w:tcBorders>
          <w:top w:val="single" w:color="FFFFFF"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color="808080" w:sz="6" w:space="0"/>
          <w:insideH w:val="nil"/>
          <w:insideV w:val="nil"/>
          <w:tl2br w:val="nil"/>
          <w:tr2bl w:val="nil"/>
        </w:tcBorders>
      </w:tcPr>
    </w:tblStylePr>
    <w:tblStylePr w:type="lastCol">
      <w:rPr>
        <w:rFonts w:cs="Times New Roman"/>
      </w:rPr>
      <w:tblPr/>
      <w:tcPr>
        <w:tcBorders>
          <w:top w:val="nil"/>
          <w:left w:val="single" w:color="FFFFFF" w:sz="6" w:space="0"/>
          <w:bottom w:val="nil"/>
          <w:right w:val="nil"/>
          <w:insideH w:val="nil"/>
          <w:insideV w:val="nil"/>
          <w:tl2br w:val="nil"/>
          <w:tr2bl w:val="nil"/>
        </w:tcBorders>
      </w:tcPr>
    </w:tblStylePr>
    <w:tblStylePr w:type="neCell">
      <w:rPr>
        <w:rFonts w:cs="Times New Roman"/>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tcPr>
    </w:tblStylePr>
    <w:tblStylePr w:type="seCell">
      <w:rPr>
        <w:rFonts w:cs="Times New Roman"/>
      </w:rPr>
      <w:tblPr/>
      <w:tcPr>
        <w:tcBorders>
          <w:top w:val="nil"/>
          <w:left w:val="nil"/>
          <w:bottom w:val="nil"/>
          <w:right w:val="nil"/>
          <w:insideH w:val="nil"/>
          <w:insideV w:val="nil"/>
          <w:tl2br w:val="nil"/>
          <w:tr2bl w:val="nil"/>
        </w:tcBorders>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92">
    <w:name w:val="Table 3D effects 2"/>
    <w:basedOn w:val="75"/>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cPr>
      <w:shd w:val="solid" w:color="C0C0C0" w:fill="FFFFFF"/>
    </w:tcPr>
    <w:tblStylePr w:type="firstRow">
      <w:rPr>
        <w:rFonts w:cs="Times New Roman"/>
        <w:b/>
        <w:bCs/>
      </w:rPr>
      <w:tblPr/>
      <w:tcPr>
        <w:tcBorders>
          <w:top w:val="nil"/>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808080" w:sz="6" w:space="0"/>
          <w:insideH w:val="nil"/>
          <w:insideV w:val="nil"/>
          <w:tl2br w:val="nil"/>
          <w:tr2bl w:val="nil"/>
        </w:tcBorders>
      </w:tcPr>
    </w:tblStylePr>
    <w:tblStylePr w:type="lastCol">
      <w:rPr>
        <w:rFonts w:cs="Times New Roman"/>
      </w:rPr>
      <w:tblPr/>
      <w:tcPr>
        <w:tcBorders>
          <w:top w:val="nil"/>
          <w:left w:val="nil"/>
          <w:bottom w:val="nil"/>
          <w:right w:val="single" w:color="FFFFFF" w:sz="6" w:space="0"/>
          <w:insideH w:val="nil"/>
          <w:insideV w:val="nil"/>
          <w:tl2br w:val="nil"/>
          <w:tr2bl w:val="nil"/>
        </w:tcBorders>
      </w:tcPr>
    </w:tblStylePr>
    <w:tblStylePr w:type="band1Horz">
      <w:rPr>
        <w:rFonts w:cs="Times New Roman"/>
      </w:rPr>
      <w:tblPr/>
      <w:tcPr>
        <w:tcBorders>
          <w:top w:val="single" w:color="808080" w:sz="6" w:space="0"/>
          <w:left w:val="nil"/>
          <w:bottom w:val="single" w:color="FFFFFF" w:sz="6" w:space="0"/>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3">
    <w:name w:val="Table 3D effects 3"/>
    <w:basedOn w:val="75"/>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blStylePr w:type="firstRow">
      <w:rPr>
        <w:rFonts w:cs="Times New Roman"/>
        <w:b/>
        <w:bCs/>
      </w:rPr>
      <w:tblPr/>
      <w:tcPr>
        <w:tcBorders>
          <w:top w:val="nil"/>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808080" w:sz="6" w:space="0"/>
          <w:insideH w:val="nil"/>
          <w:insideV w:val="nil"/>
          <w:tl2br w:val="nil"/>
          <w:tr2bl w:val="nil"/>
        </w:tcBorders>
      </w:tcPr>
    </w:tblStylePr>
    <w:tblStylePr w:type="lastCol">
      <w:rPr>
        <w:rFonts w:cs="Times New Roman"/>
      </w:rPr>
      <w:tblPr/>
      <w:tcPr>
        <w:tcBorders>
          <w:top w:val="nil"/>
          <w:left w:val="nil"/>
          <w:bottom w:val="nil"/>
          <w:right w:val="single" w:color="FFFFFF" w:sz="6" w:space="0"/>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color="808080" w:sz="6" w:space="0"/>
          <w:left w:val="nil"/>
          <w:bottom w:val="single" w:color="FFFFFF" w:sz="6" w:space="0"/>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4">
    <w:name w:val="Table List 1"/>
    <w:basedOn w:val="75"/>
    <w:semiHidden/>
    <w:qFormat/>
    <w:uiPriority w:val="99"/>
    <w:pPr>
      <w:widowControl w:val="0"/>
      <w:spacing w:after="200" w:line="276" w:lineRule="auto"/>
    </w:pPr>
    <w:rPr>
      <w:rFonts w:ascii="Calibri" w:hAnsi="Calibri"/>
    </w:r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rFonts w:cs="Times New Roman"/>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rPr>
        <w:rFonts w:cs="Times New Roman"/>
      </w:rPr>
      <w:tbl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solid" w:color="C0C0C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5">
    <w:name w:val="Table List 2"/>
    <w:basedOn w:val="75"/>
    <w:semiHidden/>
    <w:qFormat/>
    <w:uiPriority w:val="99"/>
    <w:pPr>
      <w:widowControl w:val="0"/>
      <w:spacing w:after="200" w:line="276" w:lineRule="auto"/>
    </w:pPr>
    <w:rPr>
      <w:rFonts w:ascii="Calibri" w:hAnsi="Calibri"/>
    </w:rPr>
    <w:tblPr>
      <w:tblBorders>
        <w:bottom w:val="single" w:color="808080" w:sz="12"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rPr>
        <w:rFonts w:cs="Times New Roman"/>
      </w:rPr>
      <w:tbl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FF0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6">
    <w:name w:val="Table List 3"/>
    <w:basedOn w:val="75"/>
    <w:semiHidden/>
    <w:qFormat/>
    <w:uiPriority w:val="99"/>
    <w:pPr>
      <w:widowControl w:val="0"/>
      <w:spacing w:after="200" w:line="276" w:lineRule="auto"/>
    </w:pPr>
    <w:rPr>
      <w:rFonts w:ascii="Calibri" w:hAnsi="Calibri"/>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styleId="97">
    <w:name w:val="Table List 4"/>
    <w:basedOn w:val="75"/>
    <w:semiHidden/>
    <w:qFormat/>
    <w:uiPriority w:val="99"/>
    <w:pPr>
      <w:widowControl w:val="0"/>
      <w:spacing w:after="200" w:line="276" w:lineRule="auto"/>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98">
    <w:name w:val="Table List 5"/>
    <w:basedOn w:val="75"/>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single" w:color="000000" w:sz="12" w:space="0"/>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style>
  <w:style w:type="table" w:styleId="99">
    <w:name w:val="Table List 6"/>
    <w:basedOn w:val="75"/>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rFonts w:cs="Times New Roman"/>
        <w:b/>
        <w:bCs/>
      </w:rPr>
      <w:tblPr/>
      <w:tcPr>
        <w:tcBorders>
          <w:top w:val="nil"/>
          <w:left w:val="nil"/>
          <w:bottom w:val="single" w:color="000000" w:sz="12" w:space="0"/>
          <w:right w:val="nil"/>
          <w:insideH w:val="nil"/>
          <w:insideV w:val="nil"/>
          <w:tl2br w:val="nil"/>
          <w:tr2bl w:val="nil"/>
        </w:tcBorders>
      </w:tcPr>
    </w:tblStylePr>
    <w:tblStylePr w:type="firstCol">
      <w:rPr>
        <w:rFonts w:cs="Times New Roman"/>
        <w:b/>
        <w:bCs/>
      </w:rPr>
      <w:tblPr/>
      <w:tcPr>
        <w:tcBorders>
          <w:top w:val="nil"/>
          <w:left w:val="nil"/>
          <w:bottom w:val="nil"/>
          <w:right w:val="single" w:color="000000" w:sz="12" w:space="0"/>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shd w:val="pct25" w:color="000000" w:fill="FFFFFF"/>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00">
    <w:name w:val="Table List 7"/>
    <w:basedOn w:val="75"/>
    <w:semiHidden/>
    <w:qFormat/>
    <w:uiPriority w:val="99"/>
    <w:pPr>
      <w:widowControl w:val="0"/>
      <w:spacing w:after="200" w:line="276" w:lineRule="auto"/>
    </w:pPr>
    <w:rPr>
      <w:rFonts w:ascii="Calibri" w:hAnsi="Calibri"/>
    </w:r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rFonts w:cs="Times New Roman"/>
        <w:b/>
        <w:bCs/>
      </w:rPr>
      <w:tblPr/>
      <w:tcPr>
        <w:tcBorders>
          <w:top w:val="single" w:color="008000" w:sz="12"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0000" w:fill="FFFFFF"/>
      </w:tcPr>
    </w:tblStylePr>
    <w:tblStylePr w:type="band2Horz">
      <w:rPr>
        <w:rFonts w:cs="Times New Roman"/>
      </w:rPr>
      <w:tblPr/>
      <w:tcPr>
        <w:tcBorders>
          <w:top w:val="nil"/>
          <w:left w:val="nil"/>
          <w:bottom w:val="nil"/>
          <w:right w:val="nil"/>
          <w:insideH w:val="nil"/>
          <w:insideV w:val="nil"/>
          <w:tl2br w:val="nil"/>
          <w:tr2bl w:val="nil"/>
        </w:tcBorders>
        <w:shd w:val="pct25" w:color="FFFF00" w:fill="FFFFFF"/>
      </w:tcPr>
    </w:tblStylePr>
  </w:style>
  <w:style w:type="table" w:styleId="101">
    <w:name w:val="Table List 8"/>
    <w:basedOn w:val="75"/>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rFonts w:cs="Times New Roman"/>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rFonts w:cs="Times New Roman"/>
        <w:b/>
        <w:bCs/>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5" w:color="FFFF00" w:fill="FFFFFF"/>
      </w:tcPr>
    </w:tblStylePr>
    <w:tblStylePr w:type="band2Horz">
      <w:rPr>
        <w:rFonts w:cs="Times New Roman"/>
      </w:rPr>
      <w:tblPr/>
      <w:tcPr>
        <w:tcBorders>
          <w:top w:val="nil"/>
          <w:left w:val="nil"/>
          <w:bottom w:val="nil"/>
          <w:right w:val="nil"/>
          <w:insideH w:val="nil"/>
          <w:insideV w:val="nil"/>
          <w:tl2br w:val="nil"/>
          <w:tr2bl w:val="nil"/>
        </w:tcBorders>
        <w:shd w:val="pct50" w:color="FF0000" w:fill="FFFFFF"/>
      </w:tcPr>
    </w:tblStylePr>
    <w:tblStylePr w:type="nwCell">
      <w:rPr>
        <w:rFonts w:cs="Times New Roman"/>
      </w:rPr>
      <w:tblPr/>
      <w:tcPr>
        <w:tcBorders>
          <w:top w:val="nil"/>
          <w:left w:val="nil"/>
          <w:bottom w:val="nil"/>
          <w:right w:val="nil"/>
          <w:insideH w:val="nil"/>
          <w:insideV w:val="nil"/>
          <w:tl2br w:val="single" w:color="auto" w:sz="6" w:space="0"/>
          <w:tr2bl w:val="nil"/>
        </w:tcBorders>
      </w:tcPr>
    </w:tblStylePr>
  </w:style>
  <w:style w:type="table" w:styleId="102">
    <w:name w:val="Table Contemporary"/>
    <w:basedOn w:val="75"/>
    <w:semiHidden/>
    <w:qFormat/>
    <w:uiPriority w:val="99"/>
    <w:pPr>
      <w:widowControl w:val="0"/>
      <w:spacing w:after="200" w:line="276" w:lineRule="auto"/>
    </w:pPr>
    <w:rPr>
      <w:rFonts w:ascii="Calibri" w:hAnsi="Calibri"/>
    </w:rPr>
    <w:tblPr>
      <w:tblBorders>
        <w:insideH w:val="single" w:color="FFFFFF" w:sz="18" w:space="0"/>
        <w:insideV w:val="single" w:color="FFFFFF" w:sz="18"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styleId="103">
    <w:name w:val="Table Columns 1"/>
    <w:basedOn w:val="75"/>
    <w:semiHidden/>
    <w:qFormat/>
    <w:uiPriority w:val="99"/>
    <w:pPr>
      <w:widowControl w:val="0"/>
      <w:spacing w:after="200" w:line="276" w:lineRule="auto"/>
    </w:pPr>
    <w:rPr>
      <w:rFonts w:ascii="Calibri" w:hAnsi="Calibri"/>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blPr/>
      <w:tcPr>
        <w:tcBorders>
          <w:top w:val="nil"/>
          <w:left w:val="nil"/>
          <w:bottom w:val="double" w:color="000000" w:sz="6" w:space="0"/>
          <w:right w:val="nil"/>
          <w:insideH w:val="nil"/>
          <w:insideV w:val="nil"/>
          <w:tl2br w:val="nil"/>
          <w:tr2bl w:val="nil"/>
        </w:tcBorders>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104">
    <w:name w:val="Table Columns 2"/>
    <w:basedOn w:val="75"/>
    <w:semiHidden/>
    <w:qFormat/>
    <w:uiPriority w:val="99"/>
    <w:pPr>
      <w:widowControl w:val="0"/>
      <w:spacing w:after="200" w:line="276" w:lineRule="auto"/>
    </w:pPr>
    <w:rPr>
      <w:rFonts w:ascii="Calibri" w:hAnsi="Calibri"/>
      <w:b/>
      <w:bCs/>
    </w:rPr>
    <w:tblPr>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color w:val="00000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105">
    <w:name w:val="Table Columns 3"/>
    <w:basedOn w:val="75"/>
    <w:semiHidden/>
    <w:qFormat/>
    <w:uiPriority w:val="99"/>
    <w:pPr>
      <w:widowControl w:val="0"/>
      <w:spacing w:after="200" w:line="276" w:lineRule="auto"/>
    </w:pPr>
    <w:rPr>
      <w:rFonts w:ascii="Calibri" w:hAnsi="Calibri"/>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single" w:color="000080" w:sz="6" w:space="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op w:val="nil"/>
          <w:left w:val="nil"/>
          <w:bottom w:val="nil"/>
          <w:right w:val="nil"/>
          <w:insideH w:val="nil"/>
          <w:insideV w:val="nil"/>
          <w:tl2br w:val="nil"/>
          <w:tr2bl w:val="nil"/>
        </w:tcBorders>
      </w:tcPr>
    </w:tblStylePr>
  </w:style>
  <w:style w:type="table" w:styleId="106">
    <w:name w:val="Table Columns 4"/>
    <w:basedOn w:val="75"/>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107">
    <w:name w:val="Table Columns 5"/>
    <w:basedOn w:val="75"/>
    <w:semiHidden/>
    <w:qFormat/>
    <w:uiPriority w:val="99"/>
    <w:pPr>
      <w:widowControl w:val="0"/>
      <w:spacing w:after="200" w:line="276" w:lineRule="auto"/>
    </w:pPr>
    <w:rPr>
      <w:rFonts w:ascii="Calibri" w:hAnsi="Calibri"/>
    </w:r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rFonts w:cs="Times New Roman"/>
        <w:b/>
        <w:bCs/>
        <w:i/>
        <w:iCs/>
      </w:rPr>
      <w:tblPr/>
      <w:tcPr>
        <w:tcBorders>
          <w:top w:val="nil"/>
          <w:left w:val="nil"/>
          <w:bottom w:val="single" w:color="808080" w:sz="6" w:space="0"/>
          <w:right w:val="nil"/>
          <w:insideH w:val="nil"/>
          <w:insideV w:val="nil"/>
          <w:tl2br w:val="nil"/>
          <w:tr2bl w:val="nil"/>
        </w:tcBorders>
      </w:tcPr>
    </w:tblStylePr>
    <w:tblStylePr w:type="lastRow">
      <w:rPr>
        <w:rFonts w:cs="Times New Roman"/>
        <w:b/>
        <w:bCs/>
      </w:rPr>
      <w:tblPr/>
      <w:tcPr>
        <w:tcBorders>
          <w:top w:val="single" w:color="80808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8">
    <w:name w:val="Table Grid 1"/>
    <w:basedOn w:val="75"/>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09">
    <w:name w:val="Table Grid 2"/>
    <w:basedOn w:val="75"/>
    <w:semiHidden/>
    <w:qFormat/>
    <w:uiPriority w:val="99"/>
    <w:pPr>
      <w:widowControl w:val="0"/>
      <w:spacing w:after="200" w:line="276" w:lineRule="auto"/>
    </w:pPr>
    <w:rPr>
      <w:rFonts w:ascii="Calibri" w:hAnsi="Calibri"/>
    </w:rPr>
    <w:tblPr>
      <w:tblBorders>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nil"/>
          <w:right w:val="nil"/>
          <w:insideH w:val="nil"/>
          <w:insideV w:val="nil"/>
          <w:tl2br w:val="nil"/>
          <w:tr2bl w:val="nil"/>
        </w:tcBorders>
      </w:tcPr>
    </w:tblStylePr>
    <w:tblStylePr w:type="lastRow">
      <w:rPr>
        <w:rFonts w:cs="Times New Roman"/>
        <w:b/>
        <w:bCs/>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style>
  <w:style w:type="table" w:styleId="110">
    <w:name w:val="Table Grid 3"/>
    <w:basedOn w:val="75"/>
    <w:semiHidden/>
    <w:qFormat/>
    <w:uiPriority w:val="99"/>
    <w:pPr>
      <w:widowControl w:val="0"/>
      <w:spacing w:after="200" w:line="276" w:lineRule="auto"/>
    </w:pPr>
    <w:rPr>
      <w:rFonts w:ascii="Calibri" w:hAnsi="Calibri"/>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1">
    <w:name w:val="Table Grid 4"/>
    <w:basedOn w:val="75"/>
    <w:semiHidden/>
    <w:qFormat/>
    <w:uiPriority w:val="99"/>
    <w:pPr>
      <w:widowControl w:val="0"/>
      <w:spacing w:after="200" w:line="276" w:lineRule="auto"/>
    </w:pPr>
    <w:rPr>
      <w:rFonts w:ascii="Calibri" w:hAnsi="Calibri"/>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rFonts w:cs="Times New Roman"/>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112">
    <w:name w:val="Table Grid 5"/>
    <w:basedOn w:val="75"/>
    <w:semiHidden/>
    <w:qFormat/>
    <w:uiPriority w:val="99"/>
    <w:pPr>
      <w:widowControl w:val="0"/>
      <w:spacing w:after="200" w:line="276" w:lineRule="auto"/>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3">
    <w:name w:val="Table Grid 6"/>
    <w:basedOn w:val="75"/>
    <w:semiHidden/>
    <w:qFormat/>
    <w:uiPriority w:val="99"/>
    <w:pPr>
      <w:widowControl w:val="0"/>
      <w:spacing w:after="200" w:line="276" w:lineRule="auto"/>
    </w:pPr>
    <w:rPr>
      <w:rFonts w:ascii="Calibri" w:hAnsi="Calibri"/>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single" w:color="000000" w:sz="6" w:space="0"/>
          <w:right w:val="nil"/>
          <w:insideH w:val="nil"/>
          <w:insideV w:val="nil"/>
          <w:tl2br w:val="nil"/>
          <w:tr2bl w:val="nil"/>
        </w:tcBorders>
      </w:tcPr>
    </w:tblStylePr>
    <w:tblStylePr w:type="lastRow">
      <w:rPr>
        <w:rFonts w:cs="Times New Roman"/>
        <w:color w:val="auto"/>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4">
    <w:name w:val="Table Grid 7"/>
    <w:basedOn w:val="75"/>
    <w:semiHidden/>
    <w:qFormat/>
    <w:uiPriority w:val="99"/>
    <w:pPr>
      <w:widowControl w:val="0"/>
      <w:spacing w:after="200" w:line="276" w:lineRule="auto"/>
    </w:pPr>
    <w:rPr>
      <w:rFonts w:ascii="Calibri" w:hAnsi="Calibri"/>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val="0"/>
        <w:bCs w:val="0"/>
      </w:rPr>
      <w:tblPr/>
      <w:tcPr>
        <w:tcBorders>
          <w:top w:val="nil"/>
          <w:left w:val="nil"/>
          <w:bottom w:val="single" w:color="000000" w:sz="12" w:space="0"/>
          <w:right w:val="nil"/>
          <w:insideH w:val="nil"/>
          <w:insideV w:val="nil"/>
          <w:tl2br w:val="nil"/>
          <w:tr2bl w:val="nil"/>
        </w:tcBorders>
      </w:tcPr>
    </w:tblStylePr>
    <w:tblStylePr w:type="lastRow">
      <w:rPr>
        <w:rFonts w:cs="Times New Roman"/>
        <w:b w:val="0"/>
        <w:bCs w:val="0"/>
      </w:rPr>
      <w:tblPr/>
      <w:tcPr>
        <w:tcBorders>
          <w:top w:val="single" w:color="000000" w:sz="6" w:space="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5">
    <w:name w:val="Table Grid 8"/>
    <w:basedOn w:val="75"/>
    <w:semiHidden/>
    <w:qFormat/>
    <w:uiPriority w:val="99"/>
    <w:pPr>
      <w:widowControl w:val="0"/>
      <w:spacing w:after="200" w:line="276" w:lineRule="auto"/>
    </w:pPr>
    <w:rPr>
      <w:rFonts w:ascii="Calibri" w:hAnsi="Calibri"/>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116">
    <w:name w:val="Table Web 1"/>
    <w:basedOn w:val="75"/>
    <w:semiHidden/>
    <w:qFormat/>
    <w:uiPriority w:val="99"/>
    <w:pPr>
      <w:widowControl w:val="0"/>
      <w:spacing w:after="200" w:line="276" w:lineRule="auto"/>
    </w:pPr>
    <w:rPr>
      <w:rFonts w:ascii="Calibri" w:hAnsi="Calibri"/>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117">
    <w:name w:val="Table Web 2"/>
    <w:basedOn w:val="75"/>
    <w:semiHidden/>
    <w:qFormat/>
    <w:uiPriority w:val="99"/>
    <w:pPr>
      <w:widowControl w:val="0"/>
      <w:spacing w:after="200" w:line="276" w:lineRule="auto"/>
    </w:pPr>
    <w:rPr>
      <w:rFonts w:ascii="Calibri" w:hAnsi="Calibri"/>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118">
    <w:name w:val="Table Web 3"/>
    <w:basedOn w:val="75"/>
    <w:semiHidden/>
    <w:qFormat/>
    <w:uiPriority w:val="99"/>
    <w:pPr>
      <w:widowControl w:val="0"/>
      <w:spacing w:after="200" w:line="276" w:lineRule="auto"/>
    </w:pPr>
    <w:rPr>
      <w:rFonts w:ascii="Calibri" w:hAnsi="Calibri"/>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119">
    <w:name w:val="Table Professional"/>
    <w:basedOn w:val="75"/>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1">
    <w:name w:val="Strong"/>
    <w:qFormat/>
    <w:uiPriority w:val="99"/>
    <w:rPr>
      <w:rFonts w:cs="Times New Roman"/>
      <w:b/>
      <w:bCs/>
    </w:rPr>
  </w:style>
  <w:style w:type="character" w:styleId="122">
    <w:name w:val="page number"/>
    <w:qFormat/>
    <w:uiPriority w:val="99"/>
    <w:rPr>
      <w:rFonts w:cs="Times New Roman"/>
    </w:rPr>
  </w:style>
  <w:style w:type="character" w:styleId="123">
    <w:name w:val="Emphasis"/>
    <w:qFormat/>
    <w:uiPriority w:val="99"/>
    <w:rPr>
      <w:rFonts w:cs="Times New Roman"/>
      <w:color w:val="CC0000"/>
    </w:rPr>
  </w:style>
  <w:style w:type="character" w:styleId="124">
    <w:name w:val="line number"/>
    <w:qFormat/>
    <w:uiPriority w:val="99"/>
    <w:rPr>
      <w:rFonts w:cs="Times New Roman"/>
    </w:rPr>
  </w:style>
  <w:style w:type="character" w:styleId="125">
    <w:name w:val="HTML Definition"/>
    <w:semiHidden/>
    <w:qFormat/>
    <w:uiPriority w:val="99"/>
    <w:rPr>
      <w:rFonts w:cs="Times New Roman"/>
      <w:i/>
      <w:iCs/>
    </w:rPr>
  </w:style>
  <w:style w:type="character" w:styleId="126">
    <w:name w:val="HTML Typewriter"/>
    <w:semiHidden/>
    <w:qFormat/>
    <w:uiPriority w:val="99"/>
    <w:rPr>
      <w:rFonts w:ascii="Courier New" w:hAnsi="Courier New" w:cs="Courier New"/>
      <w:sz w:val="20"/>
      <w:szCs w:val="20"/>
    </w:rPr>
  </w:style>
  <w:style w:type="character" w:styleId="127">
    <w:name w:val="HTML Acronym"/>
    <w:semiHidden/>
    <w:qFormat/>
    <w:uiPriority w:val="99"/>
    <w:rPr>
      <w:rFonts w:cs="Times New Roman"/>
    </w:rPr>
  </w:style>
  <w:style w:type="character" w:styleId="128">
    <w:name w:val="HTML Variable"/>
    <w:semiHidden/>
    <w:qFormat/>
    <w:uiPriority w:val="99"/>
    <w:rPr>
      <w:rFonts w:cs="Times New Roman"/>
      <w:i/>
      <w:iCs/>
    </w:rPr>
  </w:style>
  <w:style w:type="character" w:styleId="129">
    <w:name w:val="Hyperlink"/>
    <w:qFormat/>
    <w:uiPriority w:val="99"/>
    <w:rPr>
      <w:rFonts w:cs="Times New Roman"/>
      <w:color w:val="1F4F88"/>
      <w:u w:val="none"/>
    </w:rPr>
  </w:style>
  <w:style w:type="character" w:styleId="130">
    <w:name w:val="HTML Code"/>
    <w:semiHidden/>
    <w:qFormat/>
    <w:uiPriority w:val="99"/>
    <w:rPr>
      <w:rFonts w:ascii="Courier New" w:hAnsi="Courier New" w:cs="Courier New"/>
      <w:sz w:val="20"/>
      <w:szCs w:val="20"/>
    </w:rPr>
  </w:style>
  <w:style w:type="character" w:styleId="131">
    <w:name w:val="annotation reference"/>
    <w:qFormat/>
    <w:uiPriority w:val="99"/>
    <w:rPr>
      <w:rFonts w:cs="Times New Roman"/>
      <w:sz w:val="21"/>
    </w:rPr>
  </w:style>
  <w:style w:type="character" w:styleId="132">
    <w:name w:val="HTML Cite"/>
    <w:semiHidden/>
    <w:qFormat/>
    <w:uiPriority w:val="99"/>
    <w:rPr>
      <w:rFonts w:cs="Times New Roman"/>
      <w:i/>
      <w:iCs/>
    </w:rPr>
  </w:style>
  <w:style w:type="character" w:styleId="133">
    <w:name w:val="HTML Keyboard"/>
    <w:semiHidden/>
    <w:qFormat/>
    <w:uiPriority w:val="99"/>
    <w:rPr>
      <w:rFonts w:ascii="Courier New" w:hAnsi="Courier New" w:cs="Courier New"/>
      <w:sz w:val="20"/>
      <w:szCs w:val="20"/>
    </w:rPr>
  </w:style>
  <w:style w:type="character" w:styleId="134">
    <w:name w:val="HTML Sample"/>
    <w:semiHidden/>
    <w:qFormat/>
    <w:uiPriority w:val="99"/>
    <w:rPr>
      <w:rFonts w:ascii="Courier New" w:hAnsi="Courier New" w:cs="Courier New"/>
    </w:rPr>
  </w:style>
  <w:style w:type="character" w:customStyle="1" w:styleId="135">
    <w:name w:val="标题 1 Char"/>
    <w:qFormat/>
    <w:uiPriority w:val="99"/>
    <w:rPr>
      <w:rFonts w:eastAsia="宋体" w:cs="Times New Roman"/>
      <w:b/>
      <w:bCs/>
      <w:kern w:val="44"/>
      <w:sz w:val="44"/>
      <w:szCs w:val="44"/>
      <w:lang w:val="en-US" w:eastAsia="zh-CN" w:bidi="ar-SA"/>
    </w:rPr>
  </w:style>
  <w:style w:type="character" w:customStyle="1" w:styleId="136">
    <w:name w:val="标题 2 Char"/>
    <w:link w:val="5"/>
    <w:qFormat/>
    <w:locked/>
    <w:uiPriority w:val="99"/>
    <w:rPr>
      <w:rFonts w:ascii="Arial" w:hAnsi="Arial" w:eastAsia="黑体" w:cs="Times New Roman"/>
      <w:b/>
      <w:bCs/>
      <w:sz w:val="32"/>
      <w:szCs w:val="32"/>
    </w:rPr>
  </w:style>
  <w:style w:type="paragraph" w:customStyle="1" w:styleId="13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8">
    <w:name w:val="标题 1 Char1"/>
    <w:link w:val="4"/>
    <w:qFormat/>
    <w:locked/>
    <w:uiPriority w:val="99"/>
    <w:rPr>
      <w:rFonts w:eastAsia="宋体" w:cs="Times New Roman"/>
      <w:b/>
      <w:bCs/>
      <w:kern w:val="44"/>
      <w:sz w:val="44"/>
      <w:szCs w:val="44"/>
    </w:rPr>
  </w:style>
  <w:style w:type="character" w:customStyle="1" w:styleId="139">
    <w:name w:val="正文缩进 Char"/>
    <w:link w:val="6"/>
    <w:qFormat/>
    <w:locked/>
    <w:uiPriority w:val="99"/>
    <w:rPr>
      <w:rFonts w:eastAsia="宋体" w:cs="Times New Roman"/>
      <w:sz w:val="21"/>
    </w:rPr>
  </w:style>
  <w:style w:type="character" w:customStyle="1" w:styleId="140">
    <w:name w:val="标题 3 Char"/>
    <w:link w:val="7"/>
    <w:qFormat/>
    <w:locked/>
    <w:uiPriority w:val="99"/>
    <w:rPr>
      <w:rFonts w:eastAsia="宋体" w:cs="Times New Roman"/>
      <w:b/>
      <w:bCs/>
      <w:sz w:val="32"/>
      <w:szCs w:val="32"/>
    </w:rPr>
  </w:style>
  <w:style w:type="character" w:customStyle="1" w:styleId="141">
    <w:name w:val="标题 4 Char"/>
    <w:link w:val="8"/>
    <w:qFormat/>
    <w:locked/>
    <w:uiPriority w:val="99"/>
    <w:rPr>
      <w:rFonts w:ascii="Arial" w:hAnsi="Arial" w:eastAsia="黑体" w:cs="Times New Roman"/>
      <w:b/>
      <w:bCs/>
      <w:sz w:val="28"/>
      <w:szCs w:val="28"/>
    </w:rPr>
  </w:style>
  <w:style w:type="character" w:customStyle="1" w:styleId="142">
    <w:name w:val="标题 5 Char"/>
    <w:link w:val="9"/>
    <w:qFormat/>
    <w:locked/>
    <w:uiPriority w:val="99"/>
    <w:rPr>
      <w:rFonts w:eastAsia="宋体" w:cs="Times New Roman"/>
      <w:b/>
      <w:bCs/>
      <w:sz w:val="28"/>
      <w:szCs w:val="28"/>
    </w:rPr>
  </w:style>
  <w:style w:type="character" w:customStyle="1" w:styleId="143">
    <w:name w:val="标题 6 Char"/>
    <w:link w:val="10"/>
    <w:qFormat/>
    <w:locked/>
    <w:uiPriority w:val="99"/>
    <w:rPr>
      <w:rFonts w:ascii="Arial" w:hAnsi="Arial" w:eastAsia="黑体" w:cs="Times New Roman"/>
      <w:b/>
      <w:bCs/>
    </w:rPr>
  </w:style>
  <w:style w:type="character" w:customStyle="1" w:styleId="144">
    <w:name w:val="标题 7 Char"/>
    <w:link w:val="11"/>
    <w:semiHidden/>
    <w:qFormat/>
    <w:uiPriority w:val="9"/>
    <w:rPr>
      <w:b/>
      <w:bCs/>
      <w:sz w:val="24"/>
      <w:szCs w:val="24"/>
    </w:rPr>
  </w:style>
  <w:style w:type="character" w:customStyle="1" w:styleId="145">
    <w:name w:val="标题 8 Char"/>
    <w:link w:val="12"/>
    <w:semiHidden/>
    <w:qFormat/>
    <w:uiPriority w:val="9"/>
    <w:rPr>
      <w:rFonts w:ascii="Cambria" w:hAnsi="Cambria" w:eastAsia="宋体" w:cs="Times New Roman"/>
      <w:sz w:val="24"/>
      <w:szCs w:val="24"/>
    </w:rPr>
  </w:style>
  <w:style w:type="character" w:customStyle="1" w:styleId="146">
    <w:name w:val="标题 9 Char"/>
    <w:link w:val="13"/>
    <w:semiHidden/>
    <w:qFormat/>
    <w:uiPriority w:val="9"/>
    <w:rPr>
      <w:rFonts w:ascii="Cambria" w:hAnsi="Cambria" w:eastAsia="宋体" w:cs="Times New Roman"/>
      <w:szCs w:val="21"/>
    </w:rPr>
  </w:style>
  <w:style w:type="character" w:customStyle="1" w:styleId="147">
    <w:name w:val="注释标题 Char"/>
    <w:link w:val="18"/>
    <w:semiHidden/>
    <w:qFormat/>
    <w:uiPriority w:val="0"/>
    <w:rPr>
      <w:szCs w:val="24"/>
    </w:rPr>
  </w:style>
  <w:style w:type="character" w:customStyle="1" w:styleId="148">
    <w:name w:val="电子邮件签名 Char"/>
    <w:link w:val="20"/>
    <w:semiHidden/>
    <w:qFormat/>
    <w:uiPriority w:val="99"/>
    <w:rPr>
      <w:szCs w:val="24"/>
    </w:rPr>
  </w:style>
  <w:style w:type="character" w:customStyle="1" w:styleId="149">
    <w:name w:val="文档结构图 Char"/>
    <w:link w:val="25"/>
    <w:semiHidden/>
    <w:qFormat/>
    <w:uiPriority w:val="99"/>
    <w:rPr>
      <w:sz w:val="16"/>
      <w:szCs w:val="0"/>
    </w:rPr>
  </w:style>
  <w:style w:type="character" w:customStyle="1" w:styleId="150">
    <w:name w:val="批注文字 Char"/>
    <w:link w:val="27"/>
    <w:qFormat/>
    <w:uiPriority w:val="99"/>
    <w:rPr>
      <w:szCs w:val="24"/>
    </w:rPr>
  </w:style>
  <w:style w:type="character" w:customStyle="1" w:styleId="151">
    <w:name w:val="称呼 Char"/>
    <w:link w:val="28"/>
    <w:semiHidden/>
    <w:qFormat/>
    <w:uiPriority w:val="99"/>
    <w:rPr>
      <w:szCs w:val="24"/>
    </w:rPr>
  </w:style>
  <w:style w:type="character" w:customStyle="1" w:styleId="152">
    <w:name w:val="正文文本 3 Char"/>
    <w:link w:val="29"/>
    <w:semiHidden/>
    <w:qFormat/>
    <w:uiPriority w:val="99"/>
    <w:rPr>
      <w:sz w:val="16"/>
      <w:szCs w:val="16"/>
    </w:rPr>
  </w:style>
  <w:style w:type="character" w:customStyle="1" w:styleId="153">
    <w:name w:val="结束语 Char"/>
    <w:link w:val="30"/>
    <w:semiHidden/>
    <w:qFormat/>
    <w:uiPriority w:val="99"/>
    <w:rPr>
      <w:szCs w:val="24"/>
    </w:rPr>
  </w:style>
  <w:style w:type="character" w:customStyle="1" w:styleId="154">
    <w:name w:val="正文文本 Char"/>
    <w:link w:val="2"/>
    <w:semiHidden/>
    <w:qFormat/>
    <w:uiPriority w:val="99"/>
    <w:rPr>
      <w:szCs w:val="24"/>
    </w:rPr>
  </w:style>
  <w:style w:type="character" w:customStyle="1" w:styleId="155">
    <w:name w:val="正文文本缩进 Char"/>
    <w:link w:val="32"/>
    <w:semiHidden/>
    <w:qFormat/>
    <w:uiPriority w:val="99"/>
    <w:rPr>
      <w:szCs w:val="24"/>
    </w:rPr>
  </w:style>
  <w:style w:type="character" w:customStyle="1" w:styleId="156">
    <w:name w:val="HTML 地址 Char"/>
    <w:link w:val="38"/>
    <w:semiHidden/>
    <w:qFormat/>
    <w:uiPriority w:val="99"/>
    <w:rPr>
      <w:i/>
      <w:iCs/>
      <w:szCs w:val="24"/>
    </w:rPr>
  </w:style>
  <w:style w:type="character" w:customStyle="1" w:styleId="157">
    <w:name w:val="纯文本 Char"/>
    <w:link w:val="42"/>
    <w:semiHidden/>
    <w:qFormat/>
    <w:uiPriority w:val="99"/>
    <w:rPr>
      <w:rFonts w:ascii="宋体" w:hAnsi="Courier New" w:cs="Courier New"/>
      <w:szCs w:val="21"/>
    </w:rPr>
  </w:style>
  <w:style w:type="character" w:customStyle="1" w:styleId="158">
    <w:name w:val="日期 Char"/>
    <w:link w:val="46"/>
    <w:semiHidden/>
    <w:qFormat/>
    <w:uiPriority w:val="99"/>
    <w:rPr>
      <w:szCs w:val="24"/>
    </w:rPr>
  </w:style>
  <w:style w:type="character" w:customStyle="1" w:styleId="159">
    <w:name w:val="正文文本缩进 2 Char"/>
    <w:link w:val="47"/>
    <w:semiHidden/>
    <w:qFormat/>
    <w:uiPriority w:val="99"/>
    <w:rPr>
      <w:szCs w:val="24"/>
    </w:rPr>
  </w:style>
  <w:style w:type="character" w:customStyle="1" w:styleId="160">
    <w:name w:val="批注框文本 Char"/>
    <w:link w:val="49"/>
    <w:semiHidden/>
    <w:qFormat/>
    <w:uiPriority w:val="99"/>
    <w:rPr>
      <w:sz w:val="16"/>
      <w:szCs w:val="0"/>
    </w:rPr>
  </w:style>
  <w:style w:type="character" w:customStyle="1" w:styleId="161">
    <w:name w:val="页脚 Char"/>
    <w:link w:val="50"/>
    <w:semiHidden/>
    <w:qFormat/>
    <w:uiPriority w:val="99"/>
    <w:rPr>
      <w:sz w:val="18"/>
      <w:szCs w:val="18"/>
    </w:rPr>
  </w:style>
  <w:style w:type="character" w:customStyle="1" w:styleId="162">
    <w:name w:val="页眉 Char"/>
    <w:link w:val="52"/>
    <w:semiHidden/>
    <w:qFormat/>
    <w:uiPriority w:val="99"/>
    <w:rPr>
      <w:sz w:val="18"/>
      <w:szCs w:val="18"/>
    </w:rPr>
  </w:style>
  <w:style w:type="character" w:customStyle="1" w:styleId="163">
    <w:name w:val="签名 Char"/>
    <w:link w:val="53"/>
    <w:semiHidden/>
    <w:qFormat/>
    <w:uiPriority w:val="99"/>
    <w:rPr>
      <w:szCs w:val="24"/>
    </w:rPr>
  </w:style>
  <w:style w:type="character" w:customStyle="1" w:styleId="164">
    <w:name w:val="副标题 Char"/>
    <w:link w:val="57"/>
    <w:qFormat/>
    <w:uiPriority w:val="11"/>
    <w:rPr>
      <w:rFonts w:ascii="Cambria" w:hAnsi="Cambria" w:cs="Times New Roman"/>
      <w:b/>
      <w:bCs/>
      <w:kern w:val="28"/>
      <w:sz w:val="32"/>
      <w:szCs w:val="32"/>
    </w:rPr>
  </w:style>
  <w:style w:type="character" w:customStyle="1" w:styleId="165">
    <w:name w:val="正文文本缩进 3 Char"/>
    <w:link w:val="62"/>
    <w:semiHidden/>
    <w:qFormat/>
    <w:uiPriority w:val="99"/>
    <w:rPr>
      <w:sz w:val="16"/>
      <w:szCs w:val="16"/>
    </w:rPr>
  </w:style>
  <w:style w:type="character" w:customStyle="1" w:styleId="166">
    <w:name w:val="正文文本 2 Char"/>
    <w:link w:val="3"/>
    <w:semiHidden/>
    <w:qFormat/>
    <w:uiPriority w:val="99"/>
    <w:rPr>
      <w:szCs w:val="24"/>
    </w:rPr>
  </w:style>
  <w:style w:type="character" w:customStyle="1" w:styleId="167">
    <w:name w:val="信息标题 Char"/>
    <w:link w:val="67"/>
    <w:semiHidden/>
    <w:qFormat/>
    <w:uiPriority w:val="99"/>
    <w:rPr>
      <w:rFonts w:ascii="Cambria" w:hAnsi="Cambria" w:eastAsia="宋体" w:cs="Times New Roman"/>
      <w:sz w:val="24"/>
      <w:szCs w:val="24"/>
      <w:shd w:val="pct20" w:color="auto" w:fill="auto"/>
    </w:rPr>
  </w:style>
  <w:style w:type="character" w:customStyle="1" w:styleId="168">
    <w:name w:val="HTML 预设格式 Char"/>
    <w:link w:val="68"/>
    <w:semiHidden/>
    <w:qFormat/>
    <w:uiPriority w:val="99"/>
    <w:rPr>
      <w:rFonts w:ascii="Courier New" w:hAnsi="Courier New" w:cs="Courier New"/>
      <w:sz w:val="20"/>
      <w:szCs w:val="20"/>
    </w:rPr>
  </w:style>
  <w:style w:type="character" w:customStyle="1" w:styleId="169">
    <w:name w:val="标题 Char"/>
    <w:link w:val="71"/>
    <w:qFormat/>
    <w:uiPriority w:val="10"/>
    <w:rPr>
      <w:rFonts w:ascii="Cambria" w:hAnsi="Cambria" w:cs="Times New Roman"/>
      <w:b/>
      <w:bCs/>
      <w:sz w:val="32"/>
      <w:szCs w:val="32"/>
    </w:rPr>
  </w:style>
  <w:style w:type="character" w:customStyle="1" w:styleId="170">
    <w:name w:val="批注主题 Char"/>
    <w:link w:val="72"/>
    <w:semiHidden/>
    <w:qFormat/>
    <w:uiPriority w:val="99"/>
    <w:rPr>
      <w:rFonts w:ascii="Calibri" w:hAnsi="Calibri" w:eastAsia="宋体"/>
      <w:b/>
      <w:bCs/>
      <w:sz w:val="22"/>
      <w:szCs w:val="24"/>
      <w:lang w:val="en-US" w:eastAsia="en-US"/>
    </w:rPr>
  </w:style>
  <w:style w:type="character" w:customStyle="1" w:styleId="171">
    <w:name w:val="正文首行缩进 Char"/>
    <w:link w:val="73"/>
    <w:semiHidden/>
    <w:qFormat/>
    <w:uiPriority w:val="99"/>
    <w:rPr>
      <w:rFonts w:eastAsia="宋体" w:cs="Times New Roman"/>
      <w:sz w:val="21"/>
      <w:szCs w:val="24"/>
    </w:rPr>
  </w:style>
  <w:style w:type="character" w:customStyle="1" w:styleId="172">
    <w:name w:val="正文首行缩进 2 Char"/>
    <w:link w:val="74"/>
    <w:semiHidden/>
    <w:qFormat/>
    <w:uiPriority w:val="99"/>
    <w:rPr>
      <w:szCs w:val="24"/>
    </w:rPr>
  </w:style>
  <w:style w:type="character" w:customStyle="1" w:styleId="173">
    <w:name w:val="apple-converted-space"/>
    <w:qFormat/>
    <w:uiPriority w:val="99"/>
  </w:style>
  <w:style w:type="character" w:customStyle="1" w:styleId="174">
    <w:name w:val="Body Text Char"/>
    <w:qFormat/>
    <w:locked/>
    <w:uiPriority w:val="99"/>
    <w:rPr>
      <w:rFonts w:eastAsia="宋体" w:cs="Times New Roman"/>
      <w:sz w:val="21"/>
    </w:rPr>
  </w:style>
  <w:style w:type="character" w:customStyle="1" w:styleId="175">
    <w:name w:val="hei14"/>
    <w:semiHidden/>
    <w:qFormat/>
    <w:uiPriority w:val="99"/>
    <w:rPr>
      <w:rFonts w:cs="Times New Roman"/>
    </w:rPr>
  </w:style>
  <w:style w:type="character" w:customStyle="1" w:styleId="176">
    <w:name w:val="List Paragraph Char"/>
    <w:link w:val="177"/>
    <w:qFormat/>
    <w:locked/>
    <w:uiPriority w:val="99"/>
    <w:rPr>
      <w:rFonts w:eastAsia="宋体" w:cs="Times New Roman"/>
      <w:color w:val="262626"/>
    </w:rPr>
  </w:style>
  <w:style w:type="paragraph" w:customStyle="1" w:styleId="177">
    <w:name w:val="列出段落1"/>
    <w:basedOn w:val="1"/>
    <w:link w:val="176"/>
    <w:qFormat/>
    <w:uiPriority w:val="99"/>
    <w:pPr>
      <w:spacing w:line="360" w:lineRule="auto"/>
      <w:ind w:firstLine="480" w:firstLineChars="200"/>
    </w:pPr>
    <w:rPr>
      <w:color w:val="262626"/>
      <w:kern w:val="0"/>
      <w:sz w:val="20"/>
      <w:szCs w:val="20"/>
    </w:rPr>
  </w:style>
  <w:style w:type="character" w:customStyle="1" w:styleId="178">
    <w:name w:val="Footer Char"/>
    <w:semiHidden/>
    <w:qFormat/>
    <w:locked/>
    <w:uiPriority w:val="99"/>
    <w:rPr>
      <w:rFonts w:eastAsia="宋体" w:cs="Times New Roman"/>
      <w:sz w:val="18"/>
      <w:szCs w:val="18"/>
    </w:rPr>
  </w:style>
  <w:style w:type="character" w:customStyle="1" w:styleId="179">
    <w:name w:val="明显引用 Char"/>
    <w:link w:val="180"/>
    <w:qFormat/>
    <w:locked/>
    <w:uiPriority w:val="99"/>
    <w:rPr>
      <w:b/>
      <w:i/>
      <w:sz w:val="24"/>
    </w:rPr>
  </w:style>
  <w:style w:type="paragraph" w:customStyle="1" w:styleId="180">
    <w:name w:val="明显引用1"/>
    <w:basedOn w:val="1"/>
    <w:next w:val="1"/>
    <w:link w:val="179"/>
    <w:qFormat/>
    <w:uiPriority w:val="99"/>
    <w:pPr>
      <w:widowControl/>
      <w:ind w:left="720" w:right="720"/>
      <w:jc w:val="left"/>
    </w:pPr>
    <w:rPr>
      <w:b/>
      <w:i/>
      <w:kern w:val="0"/>
      <w:sz w:val="24"/>
      <w:szCs w:val="20"/>
    </w:rPr>
  </w:style>
  <w:style w:type="character" w:customStyle="1" w:styleId="181">
    <w:name w:val="font01"/>
    <w:qFormat/>
    <w:uiPriority w:val="0"/>
    <w:rPr>
      <w:rFonts w:hint="eastAsia" w:ascii="宋体" w:hAnsi="宋体" w:eastAsia="宋体"/>
      <w:color w:val="000000"/>
      <w:sz w:val="21"/>
      <w:szCs w:val="21"/>
      <w:u w:val="none"/>
    </w:rPr>
  </w:style>
  <w:style w:type="character" w:customStyle="1" w:styleId="182">
    <w:name w:val="Char Char3"/>
    <w:qFormat/>
    <w:uiPriority w:val="99"/>
    <w:rPr>
      <w:rFonts w:ascii="Calibri" w:hAnsi="Calibri" w:eastAsia="宋体" w:cs="Times New Roman"/>
      <w:sz w:val="22"/>
      <w:szCs w:val="22"/>
      <w:lang w:eastAsia="en-US"/>
    </w:rPr>
  </w:style>
  <w:style w:type="character" w:customStyle="1" w:styleId="183">
    <w:name w:val="hover43"/>
    <w:qFormat/>
    <w:uiPriority w:val="99"/>
    <w:rPr>
      <w:rFonts w:cs="Times New Roman"/>
      <w:color w:val="FF6600"/>
      <w:u w:val="single"/>
    </w:rPr>
  </w:style>
  <w:style w:type="character" w:customStyle="1" w:styleId="184">
    <w:name w:val="font21"/>
    <w:qFormat/>
    <w:uiPriority w:val="0"/>
    <w:rPr>
      <w:rFonts w:hint="default" w:ascii="Times New Roman" w:hAnsi="Times New Roman" w:cs="Times New Roman"/>
      <w:color w:val="000000"/>
      <w:sz w:val="21"/>
      <w:szCs w:val="21"/>
      <w:u w:val="none"/>
    </w:rPr>
  </w:style>
  <w:style w:type="character" w:customStyle="1" w:styleId="185">
    <w:name w:val="hover42"/>
    <w:qFormat/>
    <w:uiPriority w:val="99"/>
    <w:rPr>
      <w:rFonts w:cs="Times New Roman"/>
      <w:color w:val="FFFFFF"/>
      <w:shd w:val="clear" w:color="auto" w:fill="FF6600"/>
    </w:rPr>
  </w:style>
  <w:style w:type="character" w:customStyle="1" w:styleId="186">
    <w:name w:val="hover38"/>
    <w:qFormat/>
    <w:uiPriority w:val="99"/>
    <w:rPr>
      <w:rFonts w:cs="Times New Roman"/>
      <w:color w:val="FF6600"/>
      <w:u w:val="single"/>
    </w:rPr>
  </w:style>
  <w:style w:type="character" w:customStyle="1" w:styleId="187">
    <w:name w:val="hover39"/>
    <w:qFormat/>
    <w:uiPriority w:val="99"/>
    <w:rPr>
      <w:rFonts w:cs="Times New Roman"/>
      <w:color w:val="FFFFFF"/>
      <w:shd w:val="clear" w:color="auto" w:fill="FF6600"/>
    </w:rPr>
  </w:style>
  <w:style w:type="character" w:customStyle="1" w:styleId="188">
    <w:name w:val="Document Map Char"/>
    <w:semiHidden/>
    <w:qFormat/>
    <w:locked/>
    <w:uiPriority w:val="99"/>
    <w:rPr>
      <w:rFonts w:eastAsia="宋体" w:cs="Times New Roman"/>
      <w:sz w:val="21"/>
    </w:rPr>
  </w:style>
  <w:style w:type="character" w:customStyle="1" w:styleId="189">
    <w:name w:val="hover40"/>
    <w:qFormat/>
    <w:uiPriority w:val="99"/>
    <w:rPr>
      <w:rFonts w:cs="Times New Roman"/>
      <w:color w:val="FF6600"/>
      <w:u w:val="single"/>
    </w:rPr>
  </w:style>
  <w:style w:type="character" w:customStyle="1" w:styleId="190">
    <w:name w:val="Comment Text Char"/>
    <w:qFormat/>
    <w:locked/>
    <w:uiPriority w:val="99"/>
    <w:rPr>
      <w:rFonts w:ascii="Calibri" w:hAnsi="Calibri" w:eastAsia="宋体"/>
      <w:sz w:val="22"/>
      <w:lang w:val="en-US" w:eastAsia="en-US"/>
    </w:rPr>
  </w:style>
  <w:style w:type="character" w:customStyle="1" w:styleId="191">
    <w:name w:val="param-name1"/>
    <w:qFormat/>
    <w:uiPriority w:val="99"/>
    <w:rPr>
      <w:rFonts w:cs="Times New Roman"/>
      <w:b/>
    </w:rPr>
  </w:style>
  <w:style w:type="character" w:customStyle="1" w:styleId="192">
    <w:name w:val="bds_more"/>
    <w:qFormat/>
    <w:uiPriority w:val="99"/>
    <w:rPr>
      <w:rFonts w:ascii="Arial" w:hAnsi="Arial" w:cs="Arial"/>
    </w:rPr>
  </w:style>
  <w:style w:type="character" w:customStyle="1" w:styleId="193">
    <w:name w:val="段 Char"/>
    <w:link w:val="194"/>
    <w:qFormat/>
    <w:locked/>
    <w:uiPriority w:val="99"/>
    <w:rPr>
      <w:rFonts w:ascii="宋体"/>
      <w:sz w:val="21"/>
      <w:lang w:val="en-US" w:eastAsia="zh-CN" w:bidi="ar-SA"/>
    </w:rPr>
  </w:style>
  <w:style w:type="paragraph" w:customStyle="1" w:styleId="194">
    <w:name w:val="段"/>
    <w:link w:val="193"/>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95">
    <w:name w:val="Body Text First Indent Char"/>
    <w:qFormat/>
    <w:locked/>
    <w:uiPriority w:val="99"/>
    <w:rPr>
      <w:rFonts w:ascii="宋体" w:hAnsi="宋体" w:eastAsia="宋体" w:cs="Times New Roman"/>
      <w:spacing w:val="20"/>
      <w:sz w:val="24"/>
    </w:rPr>
  </w:style>
  <w:style w:type="character" w:customStyle="1" w:styleId="196">
    <w:name w:val="正文（缩进） Char"/>
    <w:link w:val="197"/>
    <w:qFormat/>
    <w:locked/>
    <w:uiPriority w:val="99"/>
    <w:rPr>
      <w:rFonts w:eastAsia="宋体"/>
      <w:sz w:val="24"/>
    </w:rPr>
  </w:style>
  <w:style w:type="paragraph" w:customStyle="1" w:styleId="197">
    <w:name w:val="正文（缩进）"/>
    <w:basedOn w:val="1"/>
    <w:link w:val="196"/>
    <w:semiHidden/>
    <w:qFormat/>
    <w:uiPriority w:val="99"/>
    <w:pPr>
      <w:spacing w:beforeLines="50" w:afterLines="50" w:line="360" w:lineRule="auto"/>
      <w:ind w:firstLine="480" w:firstLineChars="200"/>
    </w:pPr>
    <w:rPr>
      <w:kern w:val="0"/>
      <w:sz w:val="24"/>
      <w:szCs w:val="20"/>
    </w:rPr>
  </w:style>
  <w:style w:type="character" w:customStyle="1" w:styleId="198">
    <w:name w:val="Header Char"/>
    <w:semiHidden/>
    <w:qFormat/>
    <w:locked/>
    <w:uiPriority w:val="99"/>
    <w:rPr>
      <w:rFonts w:eastAsia="宋体" w:cs="Times New Roman"/>
      <w:sz w:val="18"/>
      <w:szCs w:val="18"/>
    </w:rPr>
  </w:style>
  <w:style w:type="character" w:customStyle="1" w:styleId="199">
    <w:name w:val="访问过的超链接1"/>
    <w:semiHidden/>
    <w:qFormat/>
    <w:uiPriority w:val="99"/>
    <w:rPr>
      <w:rFonts w:cs="Times New Roman"/>
      <w:color w:val="1F4F88"/>
      <w:u w:val="none"/>
    </w:rPr>
  </w:style>
  <w:style w:type="character" w:customStyle="1" w:styleId="200">
    <w:name w:val="hover44"/>
    <w:qFormat/>
    <w:uiPriority w:val="99"/>
    <w:rPr>
      <w:rFonts w:ascii="微软雅黑" w:hAnsi="微软雅黑" w:eastAsia="微软雅黑" w:cs="微软雅黑"/>
      <w:b/>
      <w:color w:val="FF6600"/>
      <w:sz w:val="22"/>
      <w:szCs w:val="22"/>
      <w:u w:val="single"/>
    </w:rPr>
  </w:style>
  <w:style w:type="paragraph" w:customStyle="1" w:styleId="201">
    <w:name w:val="p0"/>
    <w:basedOn w:val="1"/>
    <w:semiHidden/>
    <w:qFormat/>
    <w:uiPriority w:val="99"/>
    <w:pPr>
      <w:widowControl/>
      <w:spacing w:after="200" w:line="273" w:lineRule="auto"/>
      <w:jc w:val="left"/>
    </w:pPr>
    <w:rPr>
      <w:rFonts w:ascii="Calibri" w:hAnsi="Calibri" w:cs="宋体"/>
      <w:kern w:val="0"/>
      <w:sz w:val="22"/>
      <w:szCs w:val="22"/>
    </w:rPr>
  </w:style>
  <w:style w:type="paragraph" w:customStyle="1" w:styleId="202">
    <w:name w:val="xl49"/>
    <w:basedOn w:val="1"/>
    <w:qFormat/>
    <w:uiPriority w:val="99"/>
    <w:pPr>
      <w:widowControl/>
      <w:pBdr>
        <w:top w:val="single" w:color="auto" w:sz="4" w:space="0"/>
        <w:lef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03">
    <w:name w:val="Char"/>
    <w:basedOn w:val="1"/>
    <w:qFormat/>
    <w:uiPriority w:val="99"/>
    <w:pPr>
      <w:tabs>
        <w:tab w:val="left" w:pos="708"/>
      </w:tabs>
      <w:ind w:firstLine="420"/>
    </w:pPr>
    <w:rPr>
      <w:rFonts w:ascii="仿宋_GB2312" w:eastAsia="仿宋_GB2312"/>
      <w:sz w:val="24"/>
    </w:rPr>
  </w:style>
  <w:style w:type="paragraph" w:customStyle="1" w:styleId="204">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05">
    <w:name w:val="xl50"/>
    <w:basedOn w:val="1"/>
    <w:qFormat/>
    <w:uiPriority w:val="99"/>
    <w:pPr>
      <w:widowControl/>
      <w:pBdr>
        <w:lef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06">
    <w:name w:val="xl3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07">
    <w:name w:val="Char Char1 Char Char Char Char"/>
    <w:basedOn w:val="1"/>
    <w:qFormat/>
    <w:uiPriority w:val="99"/>
    <w:pPr>
      <w:keepNext/>
      <w:keepLines/>
      <w:adjustRightInd w:val="0"/>
      <w:spacing w:beforeLines="100" w:afterLines="100" w:line="300" w:lineRule="auto"/>
      <w:ind w:firstLine="200" w:firstLineChars="200"/>
      <w:textAlignment w:val="center"/>
    </w:pPr>
    <w:rPr>
      <w:rFonts w:ascii="仿宋_GB2312" w:hAnsi="宋体" w:eastAsia="仿宋_GB2312"/>
      <w:kern w:val="0"/>
      <w:sz w:val="24"/>
      <w:szCs w:val="20"/>
    </w:rPr>
  </w:style>
  <w:style w:type="paragraph" w:customStyle="1" w:styleId="208">
    <w:name w:val="正文居中"/>
    <w:basedOn w:val="1"/>
    <w:next w:val="73"/>
    <w:qFormat/>
    <w:uiPriority w:val="99"/>
    <w:pPr>
      <w:jc w:val="center"/>
    </w:pPr>
    <w:rPr>
      <w:sz w:val="24"/>
      <w:szCs w:val="20"/>
    </w:rPr>
  </w:style>
  <w:style w:type="paragraph" w:customStyle="1" w:styleId="209">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0">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1">
    <w:name w:val="font0"/>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2">
    <w:name w:val="xl4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13">
    <w:name w:val="样式5"/>
    <w:basedOn w:val="1"/>
    <w:next w:val="41"/>
    <w:qFormat/>
    <w:uiPriority w:val="99"/>
    <w:pPr>
      <w:tabs>
        <w:tab w:val="left" w:pos="980"/>
      </w:tabs>
      <w:spacing w:line="360" w:lineRule="auto"/>
      <w:ind w:left="140" w:right="-20"/>
      <w:outlineLvl w:val="0"/>
    </w:pPr>
    <w:rPr>
      <w:b/>
      <w:bCs/>
      <w:kern w:val="0"/>
      <w:sz w:val="28"/>
      <w:szCs w:val="28"/>
    </w:rPr>
  </w:style>
  <w:style w:type="paragraph" w:customStyle="1" w:styleId="214">
    <w:name w:val="xl73"/>
    <w:basedOn w:val="1"/>
    <w:qFormat/>
    <w:uiPriority w:val="99"/>
    <w:pPr>
      <w:widowControl/>
      <w:spacing w:before="100" w:beforeAutospacing="1" w:after="100" w:afterAutospacing="1"/>
      <w:jc w:val="center"/>
      <w:textAlignment w:val="center"/>
    </w:pPr>
    <w:rPr>
      <w:rFonts w:ascii="宋体" w:hAnsi="宋体" w:cs="宋体"/>
      <w:kern w:val="0"/>
      <w:sz w:val="18"/>
      <w:szCs w:val="18"/>
    </w:rPr>
  </w:style>
  <w:style w:type="paragraph" w:customStyle="1" w:styleId="215">
    <w:name w:val="表格标注（绿盟科技）"/>
    <w:basedOn w:val="216"/>
    <w:next w:val="1"/>
    <w:semiHidden/>
    <w:qFormat/>
    <w:uiPriority w:val="99"/>
    <w:pPr>
      <w:numPr>
        <w:ilvl w:val="4"/>
      </w:numPr>
      <w:tabs>
        <w:tab w:val="left" w:pos="1620"/>
        <w:tab w:val="left" w:pos="1680"/>
      </w:tabs>
      <w:ind w:left="1620" w:hanging="360"/>
    </w:pPr>
  </w:style>
  <w:style w:type="paragraph" w:customStyle="1" w:styleId="216">
    <w:name w:val="插图标注（绿盟科技）"/>
    <w:next w:val="1"/>
    <w:semiHidden/>
    <w:qFormat/>
    <w:uiPriority w:val="99"/>
    <w:pPr>
      <w:numPr>
        <w:ilvl w:val="3"/>
        <w:numId w:val="1"/>
      </w:numPr>
      <w:spacing w:after="156"/>
      <w:ind w:left="426" w:firstLine="0"/>
      <w:jc w:val="center"/>
    </w:pPr>
    <w:rPr>
      <w:rFonts w:ascii="Arial" w:hAnsi="Arial" w:eastAsia="宋体" w:cs="Arial"/>
      <w:sz w:val="21"/>
      <w:szCs w:val="21"/>
      <w:lang w:val="en-US" w:eastAsia="zh-CN" w:bidi="ar-SA"/>
    </w:rPr>
  </w:style>
  <w:style w:type="paragraph" w:customStyle="1" w:styleId="217">
    <w:name w:val="a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8">
    <w:name w:val="样式1"/>
    <w:basedOn w:val="8"/>
    <w:qFormat/>
    <w:uiPriority w:val="99"/>
    <w:pPr>
      <w:autoSpaceDE w:val="0"/>
      <w:autoSpaceDN w:val="0"/>
      <w:adjustRightInd w:val="0"/>
      <w:spacing w:line="500" w:lineRule="exact"/>
      <w:ind w:firstLine="490" w:firstLineChars="204"/>
      <w:jc w:val="left"/>
    </w:pPr>
    <w:rPr>
      <w:rFonts w:ascii="宋体" w:hAnsi="宋体"/>
      <w:bCs w:val="0"/>
      <w:sz w:val="24"/>
      <w:szCs w:val="20"/>
    </w:rPr>
  </w:style>
  <w:style w:type="paragraph" w:customStyle="1" w:styleId="219">
    <w:name w:val="xl33"/>
    <w:basedOn w:val="220"/>
    <w:qFormat/>
    <w:uiPriority w:val="99"/>
    <w:pPr>
      <w:pBdr>
        <w:bottom w:val="single" w:color="auto" w:sz="4" w:space="0"/>
        <w:right w:val="single" w:color="auto" w:sz="4" w:space="0"/>
      </w:pBdr>
      <w:jc w:val="center"/>
    </w:pPr>
    <w:rPr>
      <w:sz w:val="20"/>
      <w:szCs w:val="20"/>
    </w:rPr>
  </w:style>
  <w:style w:type="paragraph" w:customStyle="1" w:styleId="220">
    <w:name w:val="style0"/>
    <w:basedOn w:val="1"/>
    <w:qFormat/>
    <w:uiPriority w:val="99"/>
    <w:pPr>
      <w:widowControl/>
      <w:spacing w:before="100" w:beforeAutospacing="1" w:after="100" w:afterAutospacing="1"/>
      <w:jc w:val="left"/>
    </w:pPr>
    <w:rPr>
      <w:rFonts w:ascii="宋体" w:hAnsi="宋体"/>
      <w:kern w:val="0"/>
      <w:sz w:val="24"/>
    </w:rPr>
  </w:style>
  <w:style w:type="paragraph" w:customStyle="1" w:styleId="221">
    <w:name w:val="xl43"/>
    <w:basedOn w:val="220"/>
    <w:qFormat/>
    <w:uiPriority w:val="99"/>
    <w:pPr>
      <w:pBdr>
        <w:bottom w:val="single" w:color="auto" w:sz="4" w:space="0"/>
        <w:right w:val="single" w:color="auto" w:sz="4" w:space="0"/>
      </w:pBdr>
      <w:jc w:val="center"/>
    </w:pPr>
    <w:rPr>
      <w:sz w:val="21"/>
      <w:szCs w:val="21"/>
    </w:rPr>
  </w:style>
  <w:style w:type="paragraph" w:customStyle="1" w:styleId="222">
    <w:name w:val="标题 4（绿盟科技）"/>
    <w:basedOn w:val="8"/>
    <w:next w:val="1"/>
    <w:semiHidden/>
    <w:qFormat/>
    <w:uiPriority w:val="99"/>
    <w:pPr>
      <w:widowControl/>
      <w:tabs>
        <w:tab w:val="left" w:pos="360"/>
      </w:tabs>
      <w:ind w:left="1447" w:hanging="1021"/>
      <w:jc w:val="left"/>
    </w:pPr>
    <w:rPr>
      <w:bCs w:val="0"/>
    </w:rPr>
  </w:style>
  <w:style w:type="paragraph" w:customStyle="1" w:styleId="223">
    <w:name w:val="xl4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24">
    <w:name w:val="Normal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5">
    <w:name w:val="xl29"/>
    <w:basedOn w:val="1"/>
    <w:qFormat/>
    <w:uiPriority w:val="99"/>
    <w:pPr>
      <w:widowControl/>
      <w:pBdr>
        <w:top w:val="single" w:color="auto" w:sz="4" w:space="0"/>
        <w:lef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26">
    <w:name w:val="标题 5（有编号）（绿盟科技）"/>
    <w:basedOn w:val="1"/>
    <w:next w:val="1"/>
    <w:semiHidden/>
    <w:qFormat/>
    <w:uiPriority w:val="99"/>
    <w:pPr>
      <w:keepNext/>
      <w:keepLines/>
      <w:tabs>
        <w:tab w:val="left" w:pos="840"/>
      </w:tabs>
      <w:spacing w:line="377" w:lineRule="auto"/>
      <w:ind w:left="1560" w:hanging="1134"/>
      <w:jc w:val="left"/>
      <w:outlineLvl w:val="4"/>
    </w:pPr>
    <w:rPr>
      <w:rFonts w:ascii="Arial" w:hAnsi="Arial" w:eastAsia="黑体"/>
      <w:b/>
      <w:kern w:val="0"/>
      <w:sz w:val="24"/>
      <w:szCs w:val="28"/>
    </w:rPr>
  </w:style>
  <w:style w:type="paragraph" w:styleId="227">
    <w:name w:val="List Paragraph"/>
    <w:basedOn w:val="1"/>
    <w:qFormat/>
    <w:uiPriority w:val="34"/>
    <w:pPr>
      <w:ind w:firstLine="420" w:firstLineChars="200"/>
    </w:pPr>
  </w:style>
  <w:style w:type="paragraph" w:customStyle="1" w:styleId="228">
    <w:name w:val="五级无标题条"/>
    <w:basedOn w:val="1"/>
    <w:qFormat/>
    <w:uiPriority w:val="99"/>
    <w:pPr>
      <w:tabs>
        <w:tab w:val="left" w:pos="840"/>
      </w:tabs>
      <w:ind w:left="840" w:hanging="630"/>
    </w:pPr>
    <w:rPr>
      <w:szCs w:val="20"/>
    </w:rPr>
  </w:style>
  <w:style w:type="paragraph" w:customStyle="1" w:styleId="229">
    <w:name w:val="xl44"/>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44"/>
      <w:szCs w:val="44"/>
    </w:rPr>
  </w:style>
  <w:style w:type="paragraph" w:customStyle="1" w:styleId="230">
    <w:name w:val="正文2"/>
    <w:basedOn w:val="1"/>
    <w:semiHidden/>
    <w:qFormat/>
    <w:uiPriority w:val="99"/>
    <w:pPr>
      <w:spacing w:before="156" w:line="360" w:lineRule="auto"/>
      <w:ind w:firstLine="510" w:firstLineChars="200"/>
    </w:pPr>
    <w:rPr>
      <w:sz w:val="24"/>
      <w:szCs w:val="20"/>
    </w:rPr>
  </w:style>
  <w:style w:type="paragraph" w:customStyle="1" w:styleId="231">
    <w:name w:val="示例"/>
    <w:qFormat/>
    <w:uiPriority w:val="99"/>
    <w:pPr>
      <w:jc w:val="both"/>
    </w:pPr>
    <w:rPr>
      <w:rFonts w:ascii="宋体" w:hAnsi="Times New Roman" w:eastAsia="宋体" w:cs="Times New Roman"/>
      <w:sz w:val="18"/>
      <w:lang w:val="en-US" w:eastAsia="zh-CN" w:bidi="ar-SA"/>
    </w:rPr>
  </w:style>
  <w:style w:type="paragraph" w:customStyle="1" w:styleId="232">
    <w:name w:val="xl27"/>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3">
    <w:name w:val="默认段落字体 Para Char Char Char Char Char Char Char Char Char Char Char Char Char Char Char1 Char Char Char Char"/>
    <w:basedOn w:val="25"/>
    <w:qFormat/>
    <w:uiPriority w:val="99"/>
    <w:pPr>
      <w:adjustRightInd w:val="0"/>
      <w:spacing w:line="436" w:lineRule="exact"/>
      <w:ind w:left="357"/>
      <w:jc w:val="left"/>
      <w:outlineLvl w:val="3"/>
    </w:pPr>
    <w:rPr>
      <w:rFonts w:ascii="仿宋_GB2312" w:eastAsia="仿宋_GB2312"/>
      <w:sz w:val="24"/>
    </w:rPr>
  </w:style>
  <w:style w:type="paragraph" w:customStyle="1" w:styleId="234">
    <w:name w:val="注×："/>
    <w:semiHidden/>
    <w:qFormat/>
    <w:uiPriority w:val="99"/>
    <w:pPr>
      <w:widowControl w:val="0"/>
      <w:tabs>
        <w:tab w:val="left" w:pos="360"/>
        <w:tab w:val="left" w:pos="630"/>
      </w:tabs>
      <w:autoSpaceDE w:val="0"/>
      <w:autoSpaceDN w:val="0"/>
      <w:ind w:left="360" w:hanging="360"/>
      <w:jc w:val="both"/>
    </w:pPr>
    <w:rPr>
      <w:rFonts w:ascii="宋体" w:hAnsi="Times New Roman" w:eastAsia="宋体" w:cs="Times New Roman"/>
      <w:sz w:val="18"/>
      <w:lang w:val="en-US" w:eastAsia="zh-CN" w:bidi="ar-SA"/>
    </w:rPr>
  </w:style>
  <w:style w:type="paragraph" w:customStyle="1" w:styleId="235">
    <w:name w:val="PP 行"/>
    <w:basedOn w:val="53"/>
    <w:qFormat/>
    <w:uiPriority w:val="99"/>
  </w:style>
  <w:style w:type="paragraph" w:customStyle="1" w:styleId="236">
    <w:name w:val="标题 2（绿盟科技）"/>
    <w:basedOn w:val="5"/>
    <w:next w:val="1"/>
    <w:semiHidden/>
    <w:qFormat/>
    <w:uiPriority w:val="99"/>
    <w:pPr>
      <w:numPr>
        <w:ilvl w:val="1"/>
        <w:numId w:val="1"/>
      </w:numPr>
      <w:tabs>
        <w:tab w:val="left" w:pos="1440"/>
      </w:tabs>
      <w:spacing w:line="415" w:lineRule="auto"/>
      <w:jc w:val="left"/>
    </w:pPr>
    <w:rPr>
      <w:bCs w:val="0"/>
    </w:rPr>
  </w:style>
  <w:style w:type="paragraph" w:customStyle="1" w:styleId="237">
    <w:name w:val="xl4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44"/>
      <w:szCs w:val="44"/>
    </w:rPr>
  </w:style>
  <w:style w:type="paragraph" w:customStyle="1" w:styleId="238">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39">
    <w:name w:val="xl3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40">
    <w:name w:val="简单回函地址"/>
    <w:basedOn w:val="1"/>
    <w:qFormat/>
    <w:uiPriority w:val="99"/>
  </w:style>
  <w:style w:type="paragraph" w:customStyle="1" w:styleId="241">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42">
    <w:name w:val="xl3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43">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44">
    <w:name w:val="xl32"/>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45">
    <w:name w:val="xl42"/>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46">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47">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48">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49">
    <w:name w:val="列出段落11"/>
    <w:basedOn w:val="1"/>
    <w:semiHidden/>
    <w:qFormat/>
    <w:uiPriority w:val="99"/>
    <w:pPr>
      <w:ind w:firstLine="420" w:firstLineChars="200"/>
    </w:pPr>
    <w:rPr>
      <w:szCs w:val="20"/>
    </w:rPr>
  </w:style>
  <w:style w:type="paragraph" w:customStyle="1" w:styleId="250">
    <w:name w:val="Char Char 字元 字元 字元 Char Char Char Char"/>
    <w:basedOn w:val="1"/>
    <w:qFormat/>
    <w:uiPriority w:val="99"/>
    <w:pPr>
      <w:adjustRightInd w:val="0"/>
      <w:spacing w:line="360" w:lineRule="auto"/>
    </w:pPr>
    <w:rPr>
      <w:kern w:val="0"/>
      <w:sz w:val="24"/>
      <w:szCs w:val="20"/>
    </w:rPr>
  </w:style>
  <w:style w:type="paragraph" w:customStyle="1" w:styleId="251">
    <w:name w:val="font6"/>
    <w:basedOn w:val="1"/>
    <w:qFormat/>
    <w:uiPriority w:val="99"/>
    <w:pPr>
      <w:widowControl/>
      <w:spacing w:before="100" w:beforeAutospacing="1" w:after="100" w:afterAutospacing="1"/>
      <w:jc w:val="left"/>
    </w:pPr>
    <w:rPr>
      <w:rFonts w:ascii="宋体" w:hAnsi="宋体" w:cs="宋体"/>
      <w:b/>
      <w:bCs/>
      <w:color w:val="000000"/>
      <w:kern w:val="0"/>
      <w:sz w:val="18"/>
      <w:szCs w:val="18"/>
    </w:rPr>
  </w:style>
  <w:style w:type="paragraph" w:customStyle="1" w:styleId="252">
    <w:name w:val="xl2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53">
    <w:name w:val="xl3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54">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55">
    <w:name w:val="样式2"/>
    <w:basedOn w:val="9"/>
    <w:qFormat/>
    <w:uiPriority w:val="99"/>
    <w:pPr>
      <w:autoSpaceDE w:val="0"/>
      <w:autoSpaceDN w:val="0"/>
      <w:adjustRightInd w:val="0"/>
      <w:spacing w:before="240" w:after="240" w:line="500" w:lineRule="exact"/>
      <w:ind w:firstLine="204" w:firstLineChars="204"/>
      <w:jc w:val="left"/>
    </w:pPr>
    <w:rPr>
      <w:rFonts w:ascii="宋体" w:hAnsi="宋体"/>
      <w:bCs w:val="0"/>
      <w:sz w:val="24"/>
      <w:szCs w:val="20"/>
    </w:rPr>
  </w:style>
  <w:style w:type="paragraph" w:customStyle="1" w:styleId="256">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7">
    <w:name w:val="标题 3（绿盟科技）"/>
    <w:basedOn w:val="7"/>
    <w:next w:val="1"/>
    <w:semiHidden/>
    <w:qFormat/>
    <w:uiPriority w:val="99"/>
    <w:pPr>
      <w:tabs>
        <w:tab w:val="left" w:pos="960"/>
        <w:tab w:val="left" w:pos="1260"/>
      </w:tabs>
      <w:spacing w:line="415" w:lineRule="auto"/>
      <w:ind w:left="1260" w:firstLine="147" w:firstLineChars="147"/>
      <w:jc w:val="left"/>
    </w:pPr>
    <w:rPr>
      <w:rFonts w:ascii="Arial" w:hAnsi="Arial" w:eastAsia="黑体"/>
      <w:sz w:val="30"/>
      <w:szCs w:val="30"/>
    </w:rPr>
  </w:style>
  <w:style w:type="paragraph" w:customStyle="1" w:styleId="258">
    <w:name w:val="xl4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59">
    <w:name w:val="List Paragraph1"/>
    <w:basedOn w:val="1"/>
    <w:qFormat/>
    <w:uiPriority w:val="34"/>
    <w:pPr>
      <w:ind w:firstLine="420" w:firstLineChars="200"/>
    </w:pPr>
  </w:style>
  <w:style w:type="paragraph" w:customStyle="1" w:styleId="260">
    <w:name w:val="样式目录三"/>
    <w:basedOn w:val="41"/>
    <w:semiHidden/>
    <w:qFormat/>
    <w:uiPriority w:val="99"/>
    <w:pPr>
      <w:numPr>
        <w:ilvl w:val="5"/>
        <w:numId w:val="1"/>
      </w:numPr>
      <w:tabs>
        <w:tab w:val="left" w:pos="1320"/>
        <w:tab w:val="right" w:leader="dot" w:pos="8597"/>
      </w:tabs>
      <w:spacing w:line="360" w:lineRule="auto"/>
      <w:ind w:left="0" w:firstLine="0"/>
      <w:outlineLvl w:val="2"/>
    </w:pPr>
    <w:rPr>
      <w:i w:val="0"/>
      <w:sz w:val="24"/>
    </w:rPr>
  </w:style>
  <w:style w:type="paragraph" w:customStyle="1" w:styleId="261">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62">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63">
    <w:name w:val="t4_2"/>
    <w:basedOn w:val="1"/>
    <w:qFormat/>
    <w:uiPriority w:val="99"/>
    <w:pPr>
      <w:widowControl/>
      <w:tabs>
        <w:tab w:val="left" w:pos="360"/>
      </w:tabs>
      <w:spacing w:line="360" w:lineRule="auto"/>
      <w:ind w:left="420"/>
      <w:jc w:val="left"/>
    </w:pPr>
    <w:rPr>
      <w:b/>
    </w:rPr>
  </w:style>
  <w:style w:type="paragraph" w:customStyle="1" w:styleId="264">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65">
    <w:name w:val="xl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66">
    <w:name w:val="xl72"/>
    <w:basedOn w:val="1"/>
    <w:qFormat/>
    <w:uiPriority w:val="99"/>
    <w:pPr>
      <w:widowControl/>
      <w:spacing w:before="100" w:beforeAutospacing="1" w:after="100" w:afterAutospacing="1"/>
      <w:jc w:val="center"/>
      <w:textAlignment w:val="center"/>
    </w:pPr>
    <w:rPr>
      <w:rFonts w:ascii="宋体" w:hAnsi="宋体" w:cs="宋体"/>
      <w:kern w:val="0"/>
      <w:sz w:val="20"/>
      <w:szCs w:val="20"/>
    </w:rPr>
  </w:style>
  <w:style w:type="paragraph" w:customStyle="1" w:styleId="267">
    <w:name w:val="xl30"/>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68">
    <w:name w:val="Char Char Char Char"/>
    <w:basedOn w:val="1"/>
    <w:qFormat/>
    <w:uiPriority w:val="99"/>
    <w:rPr>
      <w:rFonts w:ascii="Tahoma" w:hAnsi="Tahoma"/>
      <w:sz w:val="24"/>
      <w:szCs w:val="20"/>
    </w:rPr>
  </w:style>
  <w:style w:type="paragraph" w:customStyle="1" w:styleId="269">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70">
    <w:name w:val="xl2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71">
    <w:name w:val="111111"/>
    <w:basedOn w:val="71"/>
    <w:qFormat/>
    <w:uiPriority w:val="99"/>
    <w:pPr>
      <w:jc w:val="both"/>
    </w:pPr>
  </w:style>
  <w:style w:type="paragraph" w:customStyle="1" w:styleId="272">
    <w:name w:val="列出段落2"/>
    <w:basedOn w:val="1"/>
    <w:qFormat/>
    <w:uiPriority w:val="34"/>
    <w:pPr>
      <w:ind w:firstLine="420" w:firstLineChars="200"/>
    </w:pPr>
  </w:style>
  <w:style w:type="paragraph" w:customStyle="1" w:styleId="273">
    <w:name w:val="表题"/>
    <w:basedOn w:val="42"/>
    <w:qFormat/>
    <w:uiPriority w:val="99"/>
    <w:pPr>
      <w:adjustRightInd w:val="0"/>
      <w:spacing w:line="480" w:lineRule="auto"/>
      <w:jc w:val="center"/>
    </w:pPr>
    <w:rPr>
      <w:rFonts w:ascii="Times New Roman" w:hAnsi="Times New Roman" w:eastAsia="黑体"/>
      <w:sz w:val="18"/>
    </w:rPr>
  </w:style>
  <w:style w:type="paragraph" w:customStyle="1" w:styleId="274">
    <w:name w:val="Char Char1 Char Char Char Char1"/>
    <w:basedOn w:val="1"/>
    <w:qFormat/>
    <w:uiPriority w:val="99"/>
    <w:pPr>
      <w:keepNext/>
      <w:keepLines/>
      <w:adjustRightInd w:val="0"/>
      <w:spacing w:beforeLines="100" w:afterLines="100" w:line="300" w:lineRule="auto"/>
      <w:ind w:firstLine="200" w:firstLineChars="200"/>
    </w:pPr>
    <w:rPr>
      <w:rFonts w:ascii="仿宋_GB2312" w:hAnsi="宋体" w:eastAsia="仿宋_GB2312"/>
      <w:kern w:val="0"/>
      <w:sz w:val="24"/>
      <w:szCs w:val="20"/>
    </w:rPr>
  </w:style>
  <w:style w:type="paragraph" w:customStyle="1" w:styleId="275">
    <w:name w:val="本文項目"/>
    <w:basedOn w:val="1"/>
    <w:semiHidden/>
    <w:qFormat/>
    <w:uiPriority w:val="99"/>
    <w:pPr>
      <w:tabs>
        <w:tab w:val="left" w:pos="360"/>
      </w:tabs>
      <w:autoSpaceDE w:val="0"/>
      <w:autoSpaceDN w:val="0"/>
      <w:adjustRightInd w:val="0"/>
      <w:spacing w:beforeLines="50" w:afterLines="50" w:line="360" w:lineRule="auto"/>
      <w:ind w:left="360" w:hanging="360"/>
      <w:textAlignment w:val="baseline"/>
    </w:pPr>
    <w:rPr>
      <w:b/>
      <w:kern w:val="0"/>
      <w:sz w:val="24"/>
    </w:rPr>
  </w:style>
  <w:style w:type="paragraph" w:customStyle="1" w:styleId="276">
    <w:name w:val="xl31"/>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77">
    <w:name w:val="xl74"/>
    <w:basedOn w:val="1"/>
    <w:qFormat/>
    <w:uiPriority w:val="99"/>
    <w:pPr>
      <w:widowControl/>
      <w:spacing w:before="100" w:beforeAutospacing="1" w:after="100" w:afterAutospacing="1"/>
      <w:jc w:val="center"/>
      <w:textAlignment w:val="center"/>
    </w:pPr>
    <w:rPr>
      <w:rFonts w:ascii="宋体" w:hAnsi="宋体" w:cs="宋体"/>
      <w:kern w:val="0"/>
      <w:sz w:val="20"/>
      <w:szCs w:val="20"/>
    </w:rPr>
  </w:style>
  <w:style w:type="paragraph" w:customStyle="1" w:styleId="278">
    <w:name w:val="xl41"/>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79">
    <w:name w:val="Char Char Char"/>
    <w:basedOn w:val="1"/>
    <w:qFormat/>
    <w:uiPriority w:val="99"/>
    <w:rPr>
      <w:rFonts w:ascii="宋体" w:hAnsi="宋体"/>
      <w:b/>
      <w:sz w:val="28"/>
      <w:szCs w:val="28"/>
    </w:rPr>
  </w:style>
  <w:style w:type="paragraph" w:customStyle="1" w:styleId="280">
    <w:name w:val="标题 6（有编号）（绿盟科技）"/>
    <w:basedOn w:val="1"/>
    <w:next w:val="1"/>
    <w:semiHidden/>
    <w:qFormat/>
    <w:uiPriority w:val="99"/>
    <w:pPr>
      <w:keepNext/>
      <w:keepLines/>
      <w:numPr>
        <w:ilvl w:val="2"/>
        <w:numId w:val="1"/>
      </w:numPr>
      <w:spacing w:line="319" w:lineRule="auto"/>
      <w:ind w:left="1673" w:hanging="1247"/>
      <w:jc w:val="left"/>
      <w:outlineLvl w:val="5"/>
    </w:pPr>
    <w:rPr>
      <w:rFonts w:ascii="Arial" w:hAnsi="Arial" w:eastAsia="黑体"/>
      <w:b/>
      <w:kern w:val="0"/>
    </w:rPr>
  </w:style>
  <w:style w:type="paragraph" w:customStyle="1" w:styleId="281">
    <w:name w:val="样式4"/>
    <w:basedOn w:val="255"/>
    <w:qFormat/>
    <w:uiPriority w:val="99"/>
    <w:pPr>
      <w:keepNext w:val="0"/>
      <w:keepLines w:val="0"/>
      <w:tabs>
        <w:tab w:val="left" w:pos="360"/>
      </w:tabs>
      <w:autoSpaceDE/>
      <w:autoSpaceDN/>
      <w:adjustRightInd/>
      <w:spacing w:before="0" w:after="200" w:line="276" w:lineRule="auto"/>
      <w:ind w:left="360" w:firstLine="0" w:firstLineChars="0"/>
      <w:jc w:val="both"/>
      <w:outlineLvl w:val="9"/>
    </w:pPr>
    <w:rPr>
      <w:rFonts w:ascii="Calibri" w:hAnsi="Calibri"/>
      <w:szCs w:val="24"/>
    </w:rPr>
  </w:style>
  <w:style w:type="paragraph" w:customStyle="1" w:styleId="282">
    <w:name w:val="标题 1（绿盟科技）"/>
    <w:basedOn w:val="4"/>
    <w:next w:val="1"/>
    <w:semiHidden/>
    <w:qFormat/>
    <w:uiPriority w:val="99"/>
    <w:pPr>
      <w:pBdr>
        <w:bottom w:val="single" w:color="auto" w:sz="48" w:space="1"/>
      </w:pBdr>
      <w:tabs>
        <w:tab w:val="left" w:pos="360"/>
      </w:tabs>
      <w:spacing w:line="576" w:lineRule="auto"/>
      <w:ind w:left="360" w:hanging="360"/>
      <w:jc w:val="left"/>
    </w:pPr>
    <w:rPr>
      <w:rFonts w:ascii="Arial" w:hAnsi="Arial" w:eastAsia="黑体"/>
    </w:rPr>
  </w:style>
  <w:style w:type="paragraph" w:customStyle="1" w:styleId="283">
    <w:name w:val="xl4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84">
    <w:name w:val="xl51"/>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85">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黑体" w:hAnsi="宋体" w:eastAsia="黑体" w:cs="宋体"/>
      <w:b/>
      <w:bCs/>
      <w:kern w:val="0"/>
      <w:sz w:val="28"/>
      <w:szCs w:val="28"/>
    </w:rPr>
  </w:style>
  <w:style w:type="paragraph" w:customStyle="1" w:styleId="286">
    <w:name w:val="xl2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character" w:customStyle="1" w:styleId="287">
    <w:name w:val="hover25"/>
    <w:basedOn w:val="120"/>
    <w:qFormat/>
    <w:uiPriority w:val="0"/>
  </w:style>
  <w:style w:type="character" w:customStyle="1" w:styleId="288">
    <w:name w:val="hover26"/>
    <w:basedOn w:val="120"/>
    <w:qFormat/>
    <w:uiPriority w:val="0"/>
    <w:rPr>
      <w:color w:val="315EFB"/>
    </w:rPr>
  </w:style>
  <w:style w:type="character" w:customStyle="1" w:styleId="289">
    <w:name w:val="c-icon28"/>
    <w:basedOn w:val="120"/>
    <w:qFormat/>
    <w:uiPriority w:val="0"/>
  </w:style>
  <w:style w:type="paragraph" w:customStyle="1" w:styleId="290">
    <w:name w:val="正文内容"/>
    <w:basedOn w:val="1"/>
    <w:qFormat/>
    <w:uiPriority w:val="0"/>
    <w:pPr>
      <w:spacing w:line="360" w:lineRule="auto"/>
      <w:ind w:firstLine="480" w:firstLineChars="200"/>
      <w:jc w:val="left"/>
    </w:pPr>
    <w:rPr>
      <w:rFonts w:ascii="宋体" w:hAnsi="宋体" w:cs="宋体"/>
      <w:kern w:val="0"/>
      <w:sz w:val="24"/>
    </w:rPr>
  </w:style>
  <w:style w:type="paragraph" w:customStyle="1" w:styleId="291">
    <w:name w:val="样式9 Char"/>
    <w:basedOn w:val="1"/>
    <w:qFormat/>
    <w:uiPriority w:val="99"/>
    <w:pPr>
      <w:widowControl/>
      <w:spacing w:line="440" w:lineRule="exact"/>
      <w:ind w:firstLine="200" w:firstLineChars="200"/>
      <w:jc w:val="left"/>
    </w:pPr>
    <w:rPr>
      <w:spacing w:val="6"/>
      <w:sz w:val="24"/>
      <w:szCs w:val="20"/>
    </w:rPr>
  </w:style>
  <w:style w:type="paragraph" w:customStyle="1" w:styleId="292">
    <w:name w:val="Body text|1"/>
    <w:basedOn w:val="1"/>
    <w:qFormat/>
    <w:uiPriority w:val="0"/>
    <w:pPr>
      <w:spacing w:line="410"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F3B46E-A578-4E9E-8480-D6FF9C99771B}">
  <ds:schemaRefs/>
</ds:datastoreItem>
</file>

<file path=docProps/app.xml><?xml version="1.0" encoding="utf-8"?>
<Properties xmlns="http://schemas.openxmlformats.org/officeDocument/2006/extended-properties" xmlns:vt="http://schemas.openxmlformats.org/officeDocument/2006/docPropsVTypes">
  <Template>Normal</Template>
  <Company>DJGS.COM</Company>
  <Pages>62</Pages>
  <Words>27067</Words>
  <Characters>28640</Characters>
  <Lines>224</Lines>
  <Paragraphs>63</Paragraphs>
  <TotalTime>18</TotalTime>
  <ScaleCrop>false</ScaleCrop>
  <LinksUpToDate>false</LinksUpToDate>
  <CharactersWithSpaces>29176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2022-05-30T03:10:00Z</dcterms:created>
  <dc:creator>USER</dc:creator>
  <cp:lastModifiedBy>Administrator</cp:lastModifiedBy>
  <cp:lastPrinted>2018-09-16T13:28:00Z</cp:lastPrinted>
  <dcterms:modified xsi:type="dcterms:W3CDTF">2022-08-01T06:17:36Z</dcterms:modified>
  <dc:title>招标文件目录</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83988AC5030E47D9945DC607446905D7</vt:lpwstr>
  </property>
</Properties>
</file>