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1134"/>
          <w:tab w:val="left" w:pos="5481"/>
          <w:tab w:val="left" w:pos="5859"/>
        </w:tabs>
        <w:jc w:val="left"/>
        <w:rPr>
          <w:rFonts w:ascii="宋体" w:hAnsi="宋体"/>
          <w:b/>
          <w:sz w:val="52"/>
          <w:highlight w:val="none"/>
        </w:rPr>
      </w:pPr>
      <w:r>
        <w:rPr>
          <w:rFonts w:ascii="宋体" w:hAnsi="宋体"/>
          <w:b/>
          <w:sz w:val="52"/>
          <w:highlight w:val="none"/>
        </w:rPr>
        <w:drawing>
          <wp:anchor distT="0" distB="0" distL="114300" distR="114300" simplePos="0" relativeHeight="251660288" behindDoc="0" locked="0" layoutInCell="1" allowOverlap="1">
            <wp:simplePos x="0" y="0"/>
            <wp:positionH relativeFrom="column">
              <wp:posOffset>-466090</wp:posOffset>
            </wp:positionH>
            <wp:positionV relativeFrom="paragraph">
              <wp:posOffset>-70485</wp:posOffset>
            </wp:positionV>
            <wp:extent cx="2085975" cy="1945640"/>
            <wp:effectExtent l="19050" t="0" r="9525" b="0"/>
            <wp:wrapNone/>
            <wp:docPr id="5" name="图片 1" descr="QQ图片20180726095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QQ图片20180726095421"/>
                    <pic:cNvPicPr>
                      <a:picLocks noChangeAspect="1" noChangeArrowheads="1"/>
                    </pic:cNvPicPr>
                  </pic:nvPicPr>
                  <pic:blipFill>
                    <a:blip r:embed="rId10" cstate="print"/>
                    <a:srcRect l="23070" t="12045" r="23070" b="10628"/>
                    <a:stretch>
                      <a:fillRect/>
                    </a:stretch>
                  </pic:blipFill>
                  <pic:spPr>
                    <a:xfrm>
                      <a:off x="0" y="0"/>
                      <a:ext cx="2085975" cy="1945640"/>
                    </a:xfrm>
                    <a:prstGeom prst="rect">
                      <a:avLst/>
                    </a:prstGeom>
                    <a:noFill/>
                    <a:ln w="9525" cmpd="sng">
                      <a:noFill/>
                      <a:miter lim="800000"/>
                      <a:headEnd/>
                      <a:tailEnd/>
                    </a:ln>
                  </pic:spPr>
                </pic:pic>
              </a:graphicData>
            </a:graphic>
          </wp:anchor>
        </w:drawing>
      </w:r>
    </w:p>
    <w:p>
      <w:pPr>
        <w:tabs>
          <w:tab w:val="left" w:pos="1134"/>
          <w:tab w:val="left" w:pos="5481"/>
          <w:tab w:val="left" w:pos="5859"/>
        </w:tabs>
        <w:jc w:val="left"/>
        <w:rPr>
          <w:rFonts w:ascii="宋体" w:hAnsi="宋体"/>
          <w:b/>
          <w:sz w:val="52"/>
          <w:highlight w:val="none"/>
        </w:rPr>
      </w:pPr>
    </w:p>
    <w:p>
      <w:pPr>
        <w:tabs>
          <w:tab w:val="left" w:pos="1134"/>
          <w:tab w:val="left" w:pos="5481"/>
          <w:tab w:val="left" w:pos="5859"/>
        </w:tabs>
        <w:jc w:val="left"/>
        <w:rPr>
          <w:rFonts w:ascii="宋体" w:hAnsi="宋体"/>
          <w:b/>
          <w:sz w:val="52"/>
          <w:highlight w:val="none"/>
        </w:rPr>
      </w:pPr>
    </w:p>
    <w:p>
      <w:pPr>
        <w:tabs>
          <w:tab w:val="left" w:pos="1134"/>
          <w:tab w:val="left" w:pos="5481"/>
          <w:tab w:val="left" w:pos="5859"/>
        </w:tabs>
        <w:jc w:val="left"/>
        <w:rPr>
          <w:rFonts w:ascii="宋体" w:hAnsi="宋体"/>
          <w:b/>
          <w:sz w:val="52"/>
          <w:highlight w:val="none"/>
        </w:rPr>
      </w:pPr>
      <w:r>
        <w:rPr>
          <w:rFonts w:ascii="宋体" w:hAnsi="宋体"/>
          <w:b/>
          <w:sz w:val="52"/>
          <w:highlight w:val="none"/>
        </w:rPr>
        <w:fldChar w:fldCharType="begin"/>
      </w:r>
      <w:r>
        <w:rPr>
          <w:rFonts w:ascii="宋体" w:hAnsi="宋体"/>
          <w:b/>
          <w:sz w:val="52"/>
          <w:highlight w:val="none"/>
        </w:rPr>
        <w:instrText xml:space="preserve">ADDIN CNKISM.UserStyle</w:instrText>
      </w:r>
      <w:r>
        <w:rPr>
          <w:rFonts w:ascii="宋体" w:hAnsi="宋体"/>
          <w:b/>
          <w:sz w:val="52"/>
          <w:highlight w:val="none"/>
        </w:rPr>
        <w:fldChar w:fldCharType="end"/>
      </w:r>
    </w:p>
    <w:p>
      <w:pPr>
        <w:tabs>
          <w:tab w:val="left" w:pos="1134"/>
          <w:tab w:val="left" w:pos="5481"/>
          <w:tab w:val="left" w:pos="5859"/>
        </w:tabs>
        <w:rPr>
          <w:rFonts w:ascii="宋体" w:hAnsi="宋体"/>
          <w:b/>
          <w:sz w:val="24"/>
          <w:highlight w:val="none"/>
        </w:rPr>
      </w:pPr>
    </w:p>
    <w:p>
      <w:pPr>
        <w:tabs>
          <w:tab w:val="left" w:pos="1134"/>
          <w:tab w:val="left" w:pos="5481"/>
          <w:tab w:val="left" w:pos="5859"/>
        </w:tabs>
        <w:spacing w:line="360" w:lineRule="auto"/>
        <w:jc w:val="center"/>
        <w:rPr>
          <w:rFonts w:hint="eastAsia" w:ascii="宋体" w:hAnsi="宋体"/>
          <w:b/>
          <w:sz w:val="52"/>
          <w:szCs w:val="52"/>
          <w:highlight w:val="none"/>
          <w:lang w:eastAsia="zh-CN"/>
        </w:rPr>
      </w:pPr>
      <w:r>
        <w:rPr>
          <w:rFonts w:hint="eastAsia" w:ascii="宋体" w:hAnsi="宋体"/>
          <w:b/>
          <w:sz w:val="52"/>
          <w:szCs w:val="52"/>
          <w:highlight w:val="none"/>
          <w:lang w:eastAsia="zh-CN"/>
        </w:rPr>
        <w:t>山东大学齐鲁医院（青岛）</w:t>
      </w:r>
    </w:p>
    <w:p>
      <w:pPr>
        <w:tabs>
          <w:tab w:val="left" w:pos="1134"/>
          <w:tab w:val="left" w:pos="5481"/>
          <w:tab w:val="left" w:pos="5859"/>
        </w:tabs>
        <w:spacing w:line="360" w:lineRule="auto"/>
        <w:jc w:val="center"/>
        <w:rPr>
          <w:rFonts w:ascii="宋体" w:hAnsi="宋体"/>
          <w:b/>
          <w:sz w:val="52"/>
          <w:szCs w:val="52"/>
          <w:highlight w:val="none"/>
        </w:rPr>
      </w:pPr>
      <w:r>
        <w:rPr>
          <w:rFonts w:hint="eastAsia" w:ascii="宋体" w:hAnsi="宋体"/>
          <w:b/>
          <w:sz w:val="52"/>
          <w:szCs w:val="52"/>
          <w:highlight w:val="none"/>
          <w:lang w:eastAsia="zh-CN"/>
        </w:rPr>
        <w:t>计量检定服务项目（</w:t>
      </w:r>
      <w:r>
        <w:rPr>
          <w:rFonts w:hint="eastAsia" w:ascii="宋体" w:hAnsi="宋体"/>
          <w:b/>
          <w:sz w:val="52"/>
          <w:szCs w:val="52"/>
          <w:highlight w:val="none"/>
          <w:lang w:val="en-US" w:eastAsia="zh-CN"/>
        </w:rPr>
        <w:t>三</w:t>
      </w:r>
      <w:r>
        <w:rPr>
          <w:rFonts w:hint="eastAsia" w:ascii="宋体" w:hAnsi="宋体"/>
          <w:b/>
          <w:sz w:val="52"/>
          <w:szCs w:val="52"/>
          <w:highlight w:val="none"/>
          <w:lang w:eastAsia="zh-CN"/>
        </w:rPr>
        <w:t>次）</w:t>
      </w:r>
    </w:p>
    <w:p>
      <w:pPr>
        <w:tabs>
          <w:tab w:val="left" w:pos="1134"/>
          <w:tab w:val="left" w:pos="5481"/>
          <w:tab w:val="left" w:pos="5859"/>
        </w:tabs>
        <w:jc w:val="center"/>
        <w:rPr>
          <w:rFonts w:ascii="宋体" w:hAnsi="宋体"/>
          <w:b/>
          <w:sz w:val="56"/>
          <w:szCs w:val="56"/>
          <w:highlight w:val="none"/>
          <w:u w:val="single"/>
        </w:rPr>
      </w:pPr>
    </w:p>
    <w:p>
      <w:pPr>
        <w:pStyle w:val="31"/>
        <w:rPr>
          <w:highlight w:val="none"/>
        </w:rPr>
      </w:pPr>
    </w:p>
    <w:p>
      <w:pPr>
        <w:tabs>
          <w:tab w:val="left" w:pos="1134"/>
          <w:tab w:val="left" w:pos="5481"/>
          <w:tab w:val="left" w:pos="5859"/>
        </w:tabs>
        <w:jc w:val="center"/>
        <w:rPr>
          <w:rFonts w:ascii="宋体" w:hAnsi="宋体"/>
          <w:b/>
          <w:sz w:val="56"/>
          <w:szCs w:val="56"/>
          <w:highlight w:val="none"/>
        </w:rPr>
      </w:pPr>
      <w:r>
        <w:rPr>
          <w:rFonts w:hint="eastAsia" w:ascii="宋体" w:hAnsi="宋体"/>
          <w:b/>
          <w:sz w:val="56"/>
          <w:szCs w:val="56"/>
          <w:highlight w:val="none"/>
        </w:rPr>
        <w:t>竞争性磋商采购文件</w:t>
      </w:r>
    </w:p>
    <w:p>
      <w:pPr>
        <w:pStyle w:val="33"/>
        <w:spacing w:line="240" w:lineRule="auto"/>
        <w:ind w:left="0" w:leftChars="0" w:right="-42" w:firstLine="0" w:firstLineChars="0"/>
        <w:rPr>
          <w:rFonts w:ascii="宋体" w:hAnsi="宋体"/>
          <w:b/>
          <w:sz w:val="52"/>
          <w:szCs w:val="52"/>
          <w:highlight w:val="none"/>
        </w:rPr>
      </w:pPr>
    </w:p>
    <w:p>
      <w:pPr>
        <w:pStyle w:val="33"/>
        <w:spacing w:line="360" w:lineRule="auto"/>
        <w:ind w:left="0" w:leftChars="0" w:right="-42" w:firstLine="0" w:firstLineChars="0"/>
        <w:jc w:val="center"/>
        <w:rPr>
          <w:rFonts w:hint="default" w:ascii="宋体" w:hAnsi="宋体" w:eastAsia="宋体"/>
          <w:b/>
          <w:sz w:val="28"/>
          <w:szCs w:val="36"/>
          <w:highlight w:val="none"/>
          <w:lang w:val="en-US" w:eastAsia="zh-CN"/>
        </w:rPr>
      </w:pPr>
      <w:r>
        <w:rPr>
          <w:rFonts w:hint="eastAsia" w:ascii="宋体" w:hAnsi="宋体"/>
          <w:b/>
          <w:sz w:val="28"/>
          <w:szCs w:val="36"/>
          <w:highlight w:val="none"/>
        </w:rPr>
        <w:t>项目编号：</w:t>
      </w:r>
      <w:r>
        <w:rPr>
          <w:rFonts w:hint="default" w:ascii="宋体" w:hAnsi="宋体"/>
          <w:b/>
          <w:sz w:val="28"/>
          <w:szCs w:val="36"/>
          <w:highlight w:val="none"/>
          <w:lang w:val="en-US"/>
        </w:rPr>
        <w:t>HYHAQD2023-0004</w:t>
      </w:r>
    </w:p>
    <w:p>
      <w:pPr>
        <w:tabs>
          <w:tab w:val="left" w:pos="1134"/>
          <w:tab w:val="left" w:pos="5481"/>
          <w:tab w:val="left" w:pos="5859"/>
        </w:tabs>
        <w:jc w:val="center"/>
        <w:rPr>
          <w:rFonts w:ascii="宋体" w:hAnsi="宋体"/>
          <w:b/>
          <w:sz w:val="32"/>
          <w:highlight w:val="none"/>
        </w:rPr>
      </w:pPr>
    </w:p>
    <w:p>
      <w:pPr>
        <w:tabs>
          <w:tab w:val="left" w:pos="1134"/>
          <w:tab w:val="left" w:pos="5481"/>
          <w:tab w:val="left" w:pos="5859"/>
        </w:tabs>
        <w:spacing w:line="360" w:lineRule="auto"/>
        <w:jc w:val="center"/>
        <w:rPr>
          <w:rFonts w:ascii="宋体" w:hAnsi="宋体"/>
          <w:b/>
          <w:sz w:val="32"/>
          <w:szCs w:val="32"/>
          <w:highlight w:val="none"/>
        </w:rPr>
      </w:pPr>
    </w:p>
    <w:p>
      <w:pPr>
        <w:tabs>
          <w:tab w:val="left" w:pos="1134"/>
          <w:tab w:val="left" w:pos="5481"/>
          <w:tab w:val="left" w:pos="5859"/>
        </w:tabs>
        <w:spacing w:line="360" w:lineRule="auto"/>
        <w:jc w:val="center"/>
        <w:rPr>
          <w:rFonts w:ascii="宋体" w:hAnsi="宋体"/>
          <w:b/>
          <w:sz w:val="32"/>
          <w:szCs w:val="32"/>
          <w:highlight w:val="none"/>
        </w:rPr>
      </w:pPr>
    </w:p>
    <w:p>
      <w:pPr>
        <w:tabs>
          <w:tab w:val="left" w:pos="1134"/>
          <w:tab w:val="left" w:pos="5481"/>
          <w:tab w:val="left" w:pos="5859"/>
        </w:tabs>
        <w:spacing w:line="480" w:lineRule="auto"/>
        <w:jc w:val="center"/>
        <w:rPr>
          <w:rFonts w:ascii="宋体" w:hAnsi="宋体"/>
          <w:b/>
          <w:sz w:val="32"/>
          <w:szCs w:val="32"/>
          <w:highlight w:val="none"/>
        </w:rPr>
      </w:pPr>
      <w:r>
        <w:rPr>
          <w:rFonts w:hint="eastAsia" w:ascii="宋体" w:hAnsi="宋体"/>
          <w:b/>
          <w:sz w:val="32"/>
          <w:szCs w:val="32"/>
          <w:highlight w:val="none"/>
        </w:rPr>
        <w:t>采购人：山东大学齐鲁医院（青岛）</w:t>
      </w:r>
    </w:p>
    <w:p>
      <w:pPr>
        <w:tabs>
          <w:tab w:val="left" w:pos="1134"/>
          <w:tab w:val="left" w:pos="5481"/>
          <w:tab w:val="left" w:pos="5859"/>
        </w:tabs>
        <w:spacing w:line="480" w:lineRule="auto"/>
        <w:jc w:val="center"/>
        <w:rPr>
          <w:rFonts w:ascii="宋体" w:hAnsi="宋体"/>
          <w:b/>
          <w:sz w:val="32"/>
          <w:szCs w:val="32"/>
          <w:highlight w:val="none"/>
        </w:rPr>
      </w:pPr>
      <w:r>
        <w:rPr>
          <w:rFonts w:hint="eastAsia" w:ascii="宋体" w:hAnsi="宋体"/>
          <w:b/>
          <w:sz w:val="32"/>
          <w:szCs w:val="32"/>
          <w:highlight w:val="none"/>
        </w:rPr>
        <w:t>采购代理机构：海逸恒安项目管理有限公司</w:t>
      </w:r>
    </w:p>
    <w:p>
      <w:pPr>
        <w:tabs>
          <w:tab w:val="left" w:pos="1134"/>
          <w:tab w:val="left" w:pos="5481"/>
          <w:tab w:val="left" w:pos="5859"/>
        </w:tabs>
        <w:spacing w:line="360" w:lineRule="auto"/>
        <w:jc w:val="center"/>
        <w:rPr>
          <w:rFonts w:ascii="宋体" w:hAnsi="宋体"/>
          <w:b/>
          <w:sz w:val="32"/>
          <w:szCs w:val="32"/>
          <w:highlight w:val="none"/>
        </w:rPr>
      </w:pPr>
    </w:p>
    <w:p>
      <w:pPr>
        <w:tabs>
          <w:tab w:val="left" w:pos="1134"/>
          <w:tab w:val="left" w:pos="5481"/>
          <w:tab w:val="left" w:pos="5859"/>
        </w:tabs>
        <w:spacing w:line="360" w:lineRule="auto"/>
        <w:jc w:val="center"/>
        <w:rPr>
          <w:rFonts w:ascii="宋体" w:hAnsi="宋体"/>
          <w:b/>
          <w:sz w:val="32"/>
          <w:szCs w:val="32"/>
          <w:highlight w:val="none"/>
        </w:rPr>
      </w:pPr>
      <w:r>
        <w:rPr>
          <w:rFonts w:hint="eastAsia" w:ascii="宋体" w:hAnsi="宋体"/>
          <w:b/>
          <w:sz w:val="32"/>
          <w:szCs w:val="32"/>
          <w:highlight w:val="none"/>
        </w:rPr>
        <w:t>202</w:t>
      </w:r>
      <w:r>
        <w:rPr>
          <w:rFonts w:hint="eastAsia" w:ascii="宋体" w:hAnsi="宋体"/>
          <w:b/>
          <w:sz w:val="32"/>
          <w:szCs w:val="32"/>
          <w:highlight w:val="none"/>
          <w:lang w:val="en-US" w:eastAsia="zh-CN"/>
        </w:rPr>
        <w:t>3</w:t>
      </w:r>
      <w:r>
        <w:rPr>
          <w:rFonts w:hint="eastAsia" w:ascii="宋体" w:hAnsi="宋体"/>
          <w:b/>
          <w:sz w:val="32"/>
          <w:szCs w:val="32"/>
          <w:highlight w:val="none"/>
        </w:rPr>
        <w:t>年</w:t>
      </w:r>
      <w:r>
        <w:rPr>
          <w:rFonts w:hint="eastAsia" w:ascii="宋体" w:hAnsi="宋体"/>
          <w:b/>
          <w:sz w:val="32"/>
          <w:szCs w:val="32"/>
          <w:highlight w:val="none"/>
          <w:lang w:val="en-US" w:eastAsia="zh-CN"/>
        </w:rPr>
        <w:t>1</w:t>
      </w:r>
      <w:r>
        <w:rPr>
          <w:rFonts w:ascii="宋体" w:hAnsi="宋体"/>
          <w:b/>
          <w:sz w:val="32"/>
          <w:szCs w:val="32"/>
          <w:highlight w:val="none"/>
        </w:rPr>
        <w:t>月</w:t>
      </w:r>
    </w:p>
    <w:p>
      <w:pPr>
        <w:pStyle w:val="31"/>
        <w:rPr>
          <w:highlight w:val="none"/>
        </w:rPr>
        <w:sectPr>
          <w:headerReference r:id="rId3" w:type="default"/>
          <w:footerReference r:id="rId4" w:type="default"/>
          <w:footerReference r:id="rId5" w:type="even"/>
          <w:pgSz w:w="11907" w:h="16840"/>
          <w:pgMar w:top="1418" w:right="1418" w:bottom="1418" w:left="1418" w:header="851" w:footer="823" w:gutter="0"/>
          <w:cols w:space="720" w:num="1"/>
          <w:docGrid w:linePitch="290" w:charSpace="-3931"/>
        </w:sectPr>
      </w:pPr>
    </w:p>
    <w:p>
      <w:pPr>
        <w:pStyle w:val="31"/>
        <w:rPr>
          <w:highlight w:val="none"/>
        </w:rPr>
      </w:pPr>
    </w:p>
    <w:p>
      <w:pPr>
        <w:pStyle w:val="33"/>
        <w:spacing w:line="240" w:lineRule="auto"/>
        <w:ind w:left="0" w:leftChars="0" w:firstLine="0" w:firstLineChars="0"/>
        <w:jc w:val="center"/>
        <w:rPr>
          <w:rFonts w:ascii="宋体" w:hAnsi="宋体"/>
          <w:b/>
          <w:sz w:val="36"/>
          <w:highlight w:val="none"/>
        </w:rPr>
      </w:pPr>
      <w:r>
        <w:rPr>
          <w:rFonts w:hint="eastAsia" w:ascii="宋体" w:hAnsi="宋体"/>
          <w:b/>
          <w:sz w:val="36"/>
          <w:highlight w:val="none"/>
        </w:rPr>
        <w:t>目录</w:t>
      </w:r>
    </w:p>
    <w:p>
      <w:pPr>
        <w:pStyle w:val="55"/>
        <w:tabs>
          <w:tab w:val="right" w:leader="dot" w:pos="9071"/>
        </w:tabs>
      </w:pPr>
      <w:r>
        <w:rPr>
          <w:rFonts w:ascii="宋体" w:hAnsi="宋体"/>
          <w:caps w:val="0"/>
          <w:highlight w:val="none"/>
        </w:rPr>
        <w:fldChar w:fldCharType="begin"/>
      </w:r>
      <w:r>
        <w:rPr>
          <w:rFonts w:ascii="宋体" w:hAnsi="宋体"/>
          <w:caps w:val="0"/>
          <w:highlight w:val="none"/>
        </w:rPr>
        <w:instrText xml:space="preserve"> TOC \o "1-2" \h \z \u </w:instrText>
      </w:r>
      <w:r>
        <w:rPr>
          <w:rFonts w:ascii="宋体" w:hAnsi="宋体"/>
          <w:caps w:val="0"/>
          <w:highlight w:val="none"/>
        </w:rPr>
        <w:fldChar w:fldCharType="separate"/>
      </w:r>
      <w:r>
        <w:rPr>
          <w:rFonts w:ascii="宋体" w:hAnsi="宋体"/>
          <w:caps/>
          <w:kern w:val="2"/>
          <w:szCs w:val="20"/>
          <w:highlight w:val="none"/>
        </w:rPr>
        <w:fldChar w:fldCharType="begin"/>
      </w:r>
      <w:r>
        <w:rPr>
          <w:rFonts w:ascii="宋体" w:hAnsi="宋体"/>
          <w:caps/>
          <w:kern w:val="2"/>
          <w:szCs w:val="20"/>
          <w:highlight w:val="none"/>
        </w:rPr>
        <w:instrText xml:space="preserve"> HYPERLINK \l _Toc3801 </w:instrText>
      </w:r>
      <w:r>
        <w:rPr>
          <w:rFonts w:ascii="宋体" w:hAnsi="宋体"/>
          <w:caps/>
          <w:kern w:val="2"/>
          <w:szCs w:val="20"/>
          <w:highlight w:val="none"/>
        </w:rPr>
        <w:fldChar w:fldCharType="separate"/>
      </w:r>
      <w:r>
        <w:rPr>
          <w:rFonts w:hint="eastAsia" w:ascii="宋体" w:hAnsi="宋体"/>
          <w:kern w:val="2"/>
          <w:highlight w:val="none"/>
        </w:rPr>
        <w:t>第一章竞争性磋商公告</w:t>
      </w:r>
      <w:r>
        <w:tab/>
      </w:r>
      <w:r>
        <w:fldChar w:fldCharType="begin"/>
      </w:r>
      <w:r>
        <w:instrText xml:space="preserve"> PAGEREF _Toc3801 \h </w:instrText>
      </w:r>
      <w:r>
        <w:fldChar w:fldCharType="separate"/>
      </w:r>
      <w:r>
        <w:t>3</w:t>
      </w:r>
      <w:r>
        <w:fldChar w:fldCharType="end"/>
      </w:r>
      <w:r>
        <w:rPr>
          <w:rFonts w:ascii="宋体" w:hAnsi="宋体"/>
          <w:caps/>
          <w:kern w:val="2"/>
          <w:szCs w:val="20"/>
          <w:highlight w:val="none"/>
        </w:rPr>
        <w:fldChar w:fldCharType="end"/>
      </w:r>
    </w:p>
    <w:p>
      <w:pPr>
        <w:pStyle w:val="55"/>
        <w:tabs>
          <w:tab w:val="right" w:leader="dot" w:pos="9071"/>
        </w:tabs>
      </w:pPr>
      <w:r>
        <w:rPr>
          <w:rFonts w:ascii="宋体" w:hAnsi="宋体"/>
          <w:caps/>
          <w:kern w:val="2"/>
          <w:szCs w:val="20"/>
          <w:highlight w:val="none"/>
        </w:rPr>
        <w:fldChar w:fldCharType="begin"/>
      </w:r>
      <w:r>
        <w:rPr>
          <w:rFonts w:ascii="宋体" w:hAnsi="宋体"/>
          <w:caps/>
          <w:kern w:val="2"/>
          <w:szCs w:val="20"/>
          <w:highlight w:val="none"/>
        </w:rPr>
        <w:instrText xml:space="preserve"> HYPERLINK \l _Toc3002 </w:instrText>
      </w:r>
      <w:r>
        <w:rPr>
          <w:rFonts w:ascii="宋体" w:hAnsi="宋体"/>
          <w:caps/>
          <w:kern w:val="2"/>
          <w:szCs w:val="20"/>
          <w:highlight w:val="none"/>
        </w:rPr>
        <w:fldChar w:fldCharType="separate"/>
      </w:r>
      <w:r>
        <w:rPr>
          <w:rFonts w:hint="eastAsia" w:ascii="宋体" w:hAnsi="宋体"/>
          <w:kern w:val="2"/>
          <w:highlight w:val="none"/>
        </w:rPr>
        <w:t>第二章响应人须知</w:t>
      </w:r>
      <w:r>
        <w:tab/>
      </w:r>
      <w:r>
        <w:fldChar w:fldCharType="begin"/>
      </w:r>
      <w:r>
        <w:instrText xml:space="preserve"> PAGEREF _Toc3002 \h </w:instrText>
      </w:r>
      <w:r>
        <w:fldChar w:fldCharType="separate"/>
      </w:r>
      <w:r>
        <w:t>6</w:t>
      </w:r>
      <w:r>
        <w:fldChar w:fldCharType="end"/>
      </w:r>
      <w:r>
        <w:rPr>
          <w:rFonts w:ascii="宋体" w:hAnsi="宋体"/>
          <w:caps/>
          <w:kern w:val="2"/>
          <w:szCs w:val="20"/>
          <w:highlight w:val="none"/>
        </w:rPr>
        <w:fldChar w:fldCharType="end"/>
      </w:r>
    </w:p>
    <w:p>
      <w:pPr>
        <w:pStyle w:val="55"/>
        <w:tabs>
          <w:tab w:val="right" w:leader="dot" w:pos="9071"/>
        </w:tabs>
      </w:pPr>
      <w:r>
        <w:rPr>
          <w:rFonts w:ascii="宋体" w:hAnsi="宋体"/>
          <w:caps/>
          <w:kern w:val="2"/>
          <w:szCs w:val="20"/>
          <w:highlight w:val="none"/>
        </w:rPr>
        <w:fldChar w:fldCharType="begin"/>
      </w:r>
      <w:r>
        <w:rPr>
          <w:rFonts w:ascii="宋体" w:hAnsi="宋体"/>
          <w:caps/>
          <w:kern w:val="2"/>
          <w:szCs w:val="20"/>
          <w:highlight w:val="none"/>
        </w:rPr>
        <w:instrText xml:space="preserve"> HYPERLINK \l _Toc16278 </w:instrText>
      </w:r>
      <w:r>
        <w:rPr>
          <w:rFonts w:ascii="宋体" w:hAnsi="宋体"/>
          <w:caps/>
          <w:kern w:val="2"/>
          <w:szCs w:val="20"/>
          <w:highlight w:val="none"/>
        </w:rPr>
        <w:fldChar w:fldCharType="separate"/>
      </w:r>
      <w:r>
        <w:rPr>
          <w:rFonts w:hint="eastAsia" w:ascii="宋体" w:hAnsi="宋体"/>
          <w:bCs w:val="0"/>
          <w:szCs w:val="30"/>
          <w:highlight w:val="none"/>
        </w:rPr>
        <w:t>响应人须知前附表</w:t>
      </w:r>
      <w:r>
        <w:tab/>
      </w:r>
      <w:r>
        <w:fldChar w:fldCharType="begin"/>
      </w:r>
      <w:r>
        <w:instrText xml:space="preserve"> PAGEREF _Toc16278 \h </w:instrText>
      </w:r>
      <w:r>
        <w:fldChar w:fldCharType="separate"/>
      </w:r>
      <w:r>
        <w:t>6</w:t>
      </w:r>
      <w:r>
        <w:fldChar w:fldCharType="end"/>
      </w:r>
      <w:r>
        <w:rPr>
          <w:rFonts w:ascii="宋体" w:hAnsi="宋体"/>
          <w:caps/>
          <w:kern w:val="2"/>
          <w:szCs w:val="20"/>
          <w:highlight w:val="none"/>
        </w:rPr>
        <w:fldChar w:fldCharType="end"/>
      </w:r>
    </w:p>
    <w:p>
      <w:pPr>
        <w:pStyle w:val="64"/>
        <w:tabs>
          <w:tab w:val="right" w:leader="dot" w:pos="9071"/>
          <w:tab w:val="clear" w:pos="8597"/>
        </w:tabs>
      </w:pPr>
      <w:r>
        <w:rPr>
          <w:rFonts w:ascii="宋体" w:hAnsi="宋体"/>
          <w:caps/>
          <w:kern w:val="2"/>
          <w:szCs w:val="20"/>
          <w:highlight w:val="none"/>
        </w:rPr>
        <w:fldChar w:fldCharType="begin"/>
      </w:r>
      <w:r>
        <w:rPr>
          <w:rFonts w:ascii="宋体" w:hAnsi="宋体"/>
          <w:caps/>
          <w:kern w:val="2"/>
          <w:szCs w:val="20"/>
          <w:highlight w:val="none"/>
        </w:rPr>
        <w:instrText xml:space="preserve"> HYPERLINK \l _Toc8313 </w:instrText>
      </w:r>
      <w:r>
        <w:rPr>
          <w:rFonts w:ascii="宋体" w:hAnsi="宋体"/>
          <w:caps/>
          <w:kern w:val="2"/>
          <w:szCs w:val="20"/>
          <w:highlight w:val="none"/>
        </w:rPr>
        <w:fldChar w:fldCharType="separate"/>
      </w:r>
      <w:r>
        <w:rPr>
          <w:rFonts w:hint="eastAsia" w:ascii="宋体" w:hAnsi="宋体" w:eastAsia="宋体"/>
          <w:szCs w:val="24"/>
          <w:highlight w:val="none"/>
        </w:rPr>
        <w:t>一、说明</w:t>
      </w:r>
      <w:r>
        <w:tab/>
      </w:r>
      <w:r>
        <w:fldChar w:fldCharType="begin"/>
      </w:r>
      <w:r>
        <w:instrText xml:space="preserve"> PAGEREF _Toc8313 \h </w:instrText>
      </w:r>
      <w:r>
        <w:fldChar w:fldCharType="separate"/>
      </w:r>
      <w:r>
        <w:t>17</w:t>
      </w:r>
      <w:r>
        <w:fldChar w:fldCharType="end"/>
      </w:r>
      <w:r>
        <w:rPr>
          <w:rFonts w:ascii="宋体" w:hAnsi="宋体"/>
          <w:caps/>
          <w:kern w:val="2"/>
          <w:szCs w:val="20"/>
          <w:highlight w:val="none"/>
        </w:rPr>
        <w:fldChar w:fldCharType="end"/>
      </w:r>
    </w:p>
    <w:p>
      <w:pPr>
        <w:pStyle w:val="64"/>
        <w:tabs>
          <w:tab w:val="right" w:leader="dot" w:pos="9071"/>
          <w:tab w:val="clear" w:pos="8597"/>
        </w:tabs>
      </w:pPr>
      <w:r>
        <w:rPr>
          <w:rFonts w:ascii="宋体" w:hAnsi="宋体"/>
          <w:caps/>
          <w:kern w:val="2"/>
          <w:szCs w:val="20"/>
          <w:highlight w:val="none"/>
        </w:rPr>
        <w:fldChar w:fldCharType="begin"/>
      </w:r>
      <w:r>
        <w:rPr>
          <w:rFonts w:ascii="宋体" w:hAnsi="宋体"/>
          <w:caps/>
          <w:kern w:val="2"/>
          <w:szCs w:val="20"/>
          <w:highlight w:val="none"/>
        </w:rPr>
        <w:instrText xml:space="preserve"> HYPERLINK \l _Toc20643 </w:instrText>
      </w:r>
      <w:r>
        <w:rPr>
          <w:rFonts w:ascii="宋体" w:hAnsi="宋体"/>
          <w:caps/>
          <w:kern w:val="2"/>
          <w:szCs w:val="20"/>
          <w:highlight w:val="none"/>
        </w:rPr>
        <w:fldChar w:fldCharType="separate"/>
      </w:r>
      <w:r>
        <w:rPr>
          <w:rFonts w:hint="eastAsia" w:ascii="宋体" w:hAnsi="宋体" w:eastAsia="宋体"/>
          <w:szCs w:val="24"/>
          <w:highlight w:val="none"/>
        </w:rPr>
        <w:t>二、采购文件</w:t>
      </w:r>
      <w:r>
        <w:tab/>
      </w:r>
      <w:r>
        <w:fldChar w:fldCharType="begin"/>
      </w:r>
      <w:r>
        <w:instrText xml:space="preserve"> PAGEREF _Toc20643 \h </w:instrText>
      </w:r>
      <w:r>
        <w:fldChar w:fldCharType="separate"/>
      </w:r>
      <w:r>
        <w:t>17</w:t>
      </w:r>
      <w:r>
        <w:fldChar w:fldCharType="end"/>
      </w:r>
      <w:r>
        <w:rPr>
          <w:rFonts w:ascii="宋体" w:hAnsi="宋体"/>
          <w:caps/>
          <w:kern w:val="2"/>
          <w:szCs w:val="20"/>
          <w:highlight w:val="none"/>
        </w:rPr>
        <w:fldChar w:fldCharType="end"/>
      </w:r>
    </w:p>
    <w:p>
      <w:pPr>
        <w:pStyle w:val="64"/>
        <w:tabs>
          <w:tab w:val="right" w:leader="dot" w:pos="9071"/>
          <w:tab w:val="clear" w:pos="8597"/>
        </w:tabs>
      </w:pPr>
      <w:r>
        <w:rPr>
          <w:rFonts w:ascii="宋体" w:hAnsi="宋体"/>
          <w:caps/>
          <w:kern w:val="2"/>
          <w:szCs w:val="20"/>
          <w:highlight w:val="none"/>
        </w:rPr>
        <w:fldChar w:fldCharType="begin"/>
      </w:r>
      <w:r>
        <w:rPr>
          <w:rFonts w:ascii="宋体" w:hAnsi="宋体"/>
          <w:caps/>
          <w:kern w:val="2"/>
          <w:szCs w:val="20"/>
          <w:highlight w:val="none"/>
        </w:rPr>
        <w:instrText xml:space="preserve"> HYPERLINK \l _Toc12059 </w:instrText>
      </w:r>
      <w:r>
        <w:rPr>
          <w:rFonts w:ascii="宋体" w:hAnsi="宋体"/>
          <w:caps/>
          <w:kern w:val="2"/>
          <w:szCs w:val="20"/>
          <w:highlight w:val="none"/>
        </w:rPr>
        <w:fldChar w:fldCharType="separate"/>
      </w:r>
      <w:r>
        <w:rPr>
          <w:rFonts w:hint="eastAsia" w:ascii="宋体" w:hAnsi="宋体" w:eastAsia="宋体"/>
          <w:szCs w:val="24"/>
          <w:highlight w:val="none"/>
        </w:rPr>
        <w:t>三、响应文件编写</w:t>
      </w:r>
      <w:r>
        <w:tab/>
      </w:r>
      <w:r>
        <w:fldChar w:fldCharType="begin"/>
      </w:r>
      <w:r>
        <w:instrText xml:space="preserve"> PAGEREF _Toc12059 \h </w:instrText>
      </w:r>
      <w:r>
        <w:fldChar w:fldCharType="separate"/>
      </w:r>
      <w:r>
        <w:t>18</w:t>
      </w:r>
      <w:r>
        <w:fldChar w:fldCharType="end"/>
      </w:r>
      <w:r>
        <w:rPr>
          <w:rFonts w:ascii="宋体" w:hAnsi="宋体"/>
          <w:caps/>
          <w:kern w:val="2"/>
          <w:szCs w:val="20"/>
          <w:highlight w:val="none"/>
        </w:rPr>
        <w:fldChar w:fldCharType="end"/>
      </w:r>
    </w:p>
    <w:p>
      <w:pPr>
        <w:pStyle w:val="64"/>
        <w:tabs>
          <w:tab w:val="right" w:leader="dot" w:pos="9071"/>
          <w:tab w:val="clear" w:pos="8597"/>
        </w:tabs>
      </w:pPr>
      <w:r>
        <w:rPr>
          <w:rFonts w:ascii="宋体" w:hAnsi="宋体"/>
          <w:caps/>
          <w:kern w:val="2"/>
          <w:szCs w:val="20"/>
          <w:highlight w:val="none"/>
        </w:rPr>
        <w:fldChar w:fldCharType="begin"/>
      </w:r>
      <w:r>
        <w:rPr>
          <w:rFonts w:ascii="宋体" w:hAnsi="宋体"/>
          <w:caps/>
          <w:kern w:val="2"/>
          <w:szCs w:val="20"/>
          <w:highlight w:val="none"/>
        </w:rPr>
        <w:instrText xml:space="preserve"> HYPERLINK \l _Toc20606 </w:instrText>
      </w:r>
      <w:r>
        <w:rPr>
          <w:rFonts w:ascii="宋体" w:hAnsi="宋体"/>
          <w:caps/>
          <w:kern w:val="2"/>
          <w:szCs w:val="20"/>
          <w:highlight w:val="none"/>
        </w:rPr>
        <w:fldChar w:fldCharType="separate"/>
      </w:r>
      <w:r>
        <w:rPr>
          <w:rFonts w:hint="eastAsia" w:ascii="宋体" w:hAnsi="宋体" w:eastAsia="宋体"/>
          <w:szCs w:val="24"/>
          <w:highlight w:val="none"/>
        </w:rPr>
        <w:t>四、</w:t>
      </w:r>
      <w:r>
        <w:rPr>
          <w:rFonts w:hint="eastAsia" w:ascii="宋体" w:hAnsi="宋体" w:eastAsia="宋体"/>
          <w:highlight w:val="none"/>
        </w:rPr>
        <w:t>响应文件</w:t>
      </w:r>
      <w:r>
        <w:rPr>
          <w:rFonts w:hint="eastAsia" w:ascii="宋体" w:hAnsi="宋体" w:eastAsia="宋体"/>
          <w:szCs w:val="24"/>
          <w:highlight w:val="none"/>
        </w:rPr>
        <w:t>递交</w:t>
      </w:r>
      <w:r>
        <w:tab/>
      </w:r>
      <w:r>
        <w:fldChar w:fldCharType="begin"/>
      </w:r>
      <w:r>
        <w:instrText xml:space="preserve"> PAGEREF _Toc20606 \h </w:instrText>
      </w:r>
      <w:r>
        <w:fldChar w:fldCharType="separate"/>
      </w:r>
      <w:r>
        <w:t>22</w:t>
      </w:r>
      <w:r>
        <w:fldChar w:fldCharType="end"/>
      </w:r>
      <w:r>
        <w:rPr>
          <w:rFonts w:ascii="宋体" w:hAnsi="宋体"/>
          <w:caps/>
          <w:kern w:val="2"/>
          <w:szCs w:val="20"/>
          <w:highlight w:val="none"/>
        </w:rPr>
        <w:fldChar w:fldCharType="end"/>
      </w:r>
    </w:p>
    <w:p>
      <w:pPr>
        <w:pStyle w:val="64"/>
        <w:tabs>
          <w:tab w:val="right" w:leader="dot" w:pos="9071"/>
          <w:tab w:val="clear" w:pos="8597"/>
        </w:tabs>
      </w:pPr>
      <w:r>
        <w:rPr>
          <w:rFonts w:ascii="宋体" w:hAnsi="宋体"/>
          <w:caps/>
          <w:kern w:val="2"/>
          <w:szCs w:val="20"/>
          <w:highlight w:val="none"/>
        </w:rPr>
        <w:fldChar w:fldCharType="begin"/>
      </w:r>
      <w:r>
        <w:rPr>
          <w:rFonts w:ascii="宋体" w:hAnsi="宋体"/>
          <w:caps/>
          <w:kern w:val="2"/>
          <w:szCs w:val="20"/>
          <w:highlight w:val="none"/>
        </w:rPr>
        <w:instrText xml:space="preserve"> HYPERLINK \l _Toc22754 </w:instrText>
      </w:r>
      <w:r>
        <w:rPr>
          <w:rFonts w:ascii="宋体" w:hAnsi="宋体"/>
          <w:caps/>
          <w:kern w:val="2"/>
          <w:szCs w:val="20"/>
          <w:highlight w:val="none"/>
        </w:rPr>
        <w:fldChar w:fldCharType="separate"/>
      </w:r>
      <w:r>
        <w:rPr>
          <w:rFonts w:hint="eastAsia" w:ascii="宋体" w:hAnsi="宋体" w:eastAsia="宋体"/>
          <w:szCs w:val="24"/>
          <w:highlight w:val="none"/>
        </w:rPr>
        <w:t>五、磋商会议仪式、磋商与评审</w:t>
      </w:r>
      <w:r>
        <w:tab/>
      </w:r>
      <w:r>
        <w:fldChar w:fldCharType="begin"/>
      </w:r>
      <w:r>
        <w:instrText xml:space="preserve"> PAGEREF _Toc22754 \h </w:instrText>
      </w:r>
      <w:r>
        <w:fldChar w:fldCharType="separate"/>
      </w:r>
      <w:r>
        <w:t>22</w:t>
      </w:r>
      <w:r>
        <w:fldChar w:fldCharType="end"/>
      </w:r>
      <w:r>
        <w:rPr>
          <w:rFonts w:ascii="宋体" w:hAnsi="宋体"/>
          <w:caps/>
          <w:kern w:val="2"/>
          <w:szCs w:val="20"/>
          <w:highlight w:val="none"/>
        </w:rPr>
        <w:fldChar w:fldCharType="end"/>
      </w:r>
    </w:p>
    <w:p>
      <w:pPr>
        <w:pStyle w:val="64"/>
        <w:tabs>
          <w:tab w:val="right" w:leader="dot" w:pos="9071"/>
          <w:tab w:val="clear" w:pos="8597"/>
        </w:tabs>
      </w:pPr>
      <w:r>
        <w:rPr>
          <w:rFonts w:ascii="宋体" w:hAnsi="宋体"/>
          <w:caps/>
          <w:kern w:val="2"/>
          <w:szCs w:val="20"/>
          <w:highlight w:val="none"/>
        </w:rPr>
        <w:fldChar w:fldCharType="begin"/>
      </w:r>
      <w:r>
        <w:rPr>
          <w:rFonts w:ascii="宋体" w:hAnsi="宋体"/>
          <w:caps/>
          <w:kern w:val="2"/>
          <w:szCs w:val="20"/>
          <w:highlight w:val="none"/>
        </w:rPr>
        <w:instrText xml:space="preserve"> HYPERLINK \l _Toc20802 </w:instrText>
      </w:r>
      <w:r>
        <w:rPr>
          <w:rFonts w:ascii="宋体" w:hAnsi="宋体"/>
          <w:caps/>
          <w:kern w:val="2"/>
          <w:szCs w:val="20"/>
          <w:highlight w:val="none"/>
        </w:rPr>
        <w:fldChar w:fldCharType="separate"/>
      </w:r>
      <w:r>
        <w:rPr>
          <w:rFonts w:hint="eastAsia" w:ascii="宋体" w:hAnsi="宋体" w:eastAsia="宋体" w:cs="宋体"/>
          <w:szCs w:val="24"/>
          <w:highlight w:val="none"/>
        </w:rPr>
        <w:t>六、询问和质疑</w:t>
      </w:r>
      <w:r>
        <w:tab/>
      </w:r>
      <w:r>
        <w:fldChar w:fldCharType="begin"/>
      </w:r>
      <w:r>
        <w:instrText xml:space="preserve"> PAGEREF _Toc20802 \h </w:instrText>
      </w:r>
      <w:r>
        <w:fldChar w:fldCharType="separate"/>
      </w:r>
      <w:r>
        <w:t>30</w:t>
      </w:r>
      <w:r>
        <w:fldChar w:fldCharType="end"/>
      </w:r>
      <w:r>
        <w:rPr>
          <w:rFonts w:ascii="宋体" w:hAnsi="宋体"/>
          <w:caps/>
          <w:kern w:val="2"/>
          <w:szCs w:val="20"/>
          <w:highlight w:val="none"/>
        </w:rPr>
        <w:fldChar w:fldCharType="end"/>
      </w:r>
    </w:p>
    <w:p>
      <w:pPr>
        <w:pStyle w:val="64"/>
        <w:tabs>
          <w:tab w:val="right" w:leader="dot" w:pos="9071"/>
          <w:tab w:val="clear" w:pos="8597"/>
        </w:tabs>
      </w:pPr>
      <w:r>
        <w:rPr>
          <w:rFonts w:ascii="宋体" w:hAnsi="宋体"/>
          <w:caps/>
          <w:kern w:val="2"/>
          <w:szCs w:val="20"/>
          <w:highlight w:val="none"/>
        </w:rPr>
        <w:fldChar w:fldCharType="begin"/>
      </w:r>
      <w:r>
        <w:rPr>
          <w:rFonts w:ascii="宋体" w:hAnsi="宋体"/>
          <w:caps/>
          <w:kern w:val="2"/>
          <w:szCs w:val="20"/>
          <w:highlight w:val="none"/>
        </w:rPr>
        <w:instrText xml:space="preserve"> HYPERLINK \l _Toc28141 </w:instrText>
      </w:r>
      <w:r>
        <w:rPr>
          <w:rFonts w:ascii="宋体" w:hAnsi="宋体"/>
          <w:caps/>
          <w:kern w:val="2"/>
          <w:szCs w:val="20"/>
          <w:highlight w:val="none"/>
        </w:rPr>
        <w:fldChar w:fldCharType="separate"/>
      </w:r>
      <w:r>
        <w:rPr>
          <w:rFonts w:hint="eastAsia" w:ascii="宋体" w:hAnsi="宋体" w:eastAsia="宋体" w:cs="宋体"/>
          <w:szCs w:val="24"/>
          <w:highlight w:val="none"/>
        </w:rPr>
        <w:t>七、授予合同</w:t>
      </w:r>
      <w:r>
        <w:tab/>
      </w:r>
      <w:r>
        <w:fldChar w:fldCharType="begin"/>
      </w:r>
      <w:r>
        <w:instrText xml:space="preserve"> PAGEREF _Toc28141 \h </w:instrText>
      </w:r>
      <w:r>
        <w:fldChar w:fldCharType="separate"/>
      </w:r>
      <w:r>
        <w:t>33</w:t>
      </w:r>
      <w:r>
        <w:fldChar w:fldCharType="end"/>
      </w:r>
      <w:r>
        <w:rPr>
          <w:rFonts w:ascii="宋体" w:hAnsi="宋体"/>
          <w:caps/>
          <w:kern w:val="2"/>
          <w:szCs w:val="20"/>
          <w:highlight w:val="none"/>
        </w:rPr>
        <w:fldChar w:fldCharType="end"/>
      </w:r>
    </w:p>
    <w:p>
      <w:pPr>
        <w:pStyle w:val="64"/>
        <w:tabs>
          <w:tab w:val="right" w:leader="dot" w:pos="9071"/>
          <w:tab w:val="clear" w:pos="8597"/>
        </w:tabs>
      </w:pPr>
      <w:r>
        <w:rPr>
          <w:rFonts w:ascii="宋体" w:hAnsi="宋体"/>
          <w:caps/>
          <w:kern w:val="2"/>
          <w:szCs w:val="20"/>
          <w:highlight w:val="none"/>
        </w:rPr>
        <w:fldChar w:fldCharType="begin"/>
      </w:r>
      <w:r>
        <w:rPr>
          <w:rFonts w:ascii="宋体" w:hAnsi="宋体"/>
          <w:caps/>
          <w:kern w:val="2"/>
          <w:szCs w:val="20"/>
          <w:highlight w:val="none"/>
        </w:rPr>
        <w:instrText xml:space="preserve"> HYPERLINK \l _Toc5942 </w:instrText>
      </w:r>
      <w:r>
        <w:rPr>
          <w:rFonts w:ascii="宋体" w:hAnsi="宋体"/>
          <w:caps/>
          <w:kern w:val="2"/>
          <w:szCs w:val="20"/>
          <w:highlight w:val="none"/>
        </w:rPr>
        <w:fldChar w:fldCharType="separate"/>
      </w:r>
      <w:r>
        <w:rPr>
          <w:rFonts w:hint="eastAsia" w:ascii="宋体" w:hAnsi="宋体" w:eastAsia="宋体" w:cs="宋体"/>
          <w:szCs w:val="24"/>
          <w:highlight w:val="none"/>
          <w:lang w:eastAsia="zh-CN"/>
        </w:rPr>
        <w:t>八</w:t>
      </w:r>
      <w:r>
        <w:rPr>
          <w:rFonts w:hint="eastAsia" w:ascii="宋体" w:hAnsi="宋体" w:eastAsia="宋体" w:cs="宋体"/>
          <w:szCs w:val="24"/>
          <w:highlight w:val="none"/>
        </w:rPr>
        <w:t>、履约担保</w:t>
      </w:r>
      <w:r>
        <w:tab/>
      </w:r>
      <w:r>
        <w:fldChar w:fldCharType="begin"/>
      </w:r>
      <w:r>
        <w:instrText xml:space="preserve"> PAGEREF _Toc5942 \h </w:instrText>
      </w:r>
      <w:r>
        <w:fldChar w:fldCharType="separate"/>
      </w:r>
      <w:r>
        <w:t>33</w:t>
      </w:r>
      <w:r>
        <w:fldChar w:fldCharType="end"/>
      </w:r>
      <w:r>
        <w:rPr>
          <w:rFonts w:ascii="宋体" w:hAnsi="宋体"/>
          <w:caps/>
          <w:kern w:val="2"/>
          <w:szCs w:val="20"/>
          <w:highlight w:val="none"/>
        </w:rPr>
        <w:fldChar w:fldCharType="end"/>
      </w:r>
    </w:p>
    <w:p>
      <w:pPr>
        <w:pStyle w:val="64"/>
        <w:tabs>
          <w:tab w:val="right" w:leader="dot" w:pos="9071"/>
          <w:tab w:val="clear" w:pos="8597"/>
        </w:tabs>
      </w:pPr>
      <w:r>
        <w:rPr>
          <w:rFonts w:ascii="宋体" w:hAnsi="宋体"/>
          <w:caps/>
          <w:kern w:val="2"/>
          <w:szCs w:val="20"/>
          <w:highlight w:val="none"/>
        </w:rPr>
        <w:fldChar w:fldCharType="begin"/>
      </w:r>
      <w:r>
        <w:rPr>
          <w:rFonts w:ascii="宋体" w:hAnsi="宋体"/>
          <w:caps/>
          <w:kern w:val="2"/>
          <w:szCs w:val="20"/>
          <w:highlight w:val="none"/>
        </w:rPr>
        <w:instrText xml:space="preserve"> HYPERLINK \l _Toc11117 </w:instrText>
      </w:r>
      <w:r>
        <w:rPr>
          <w:rFonts w:ascii="宋体" w:hAnsi="宋体"/>
          <w:caps/>
          <w:kern w:val="2"/>
          <w:szCs w:val="20"/>
          <w:highlight w:val="none"/>
        </w:rPr>
        <w:fldChar w:fldCharType="separate"/>
      </w:r>
      <w:r>
        <w:rPr>
          <w:rFonts w:hint="eastAsia" w:ascii="宋体" w:hAnsi="宋体" w:eastAsia="宋体" w:cs="宋体"/>
          <w:szCs w:val="24"/>
          <w:highlight w:val="none"/>
          <w:lang w:eastAsia="zh-CN"/>
        </w:rPr>
        <w:t>九</w:t>
      </w:r>
      <w:r>
        <w:rPr>
          <w:rFonts w:hint="eastAsia" w:ascii="宋体" w:hAnsi="宋体" w:eastAsia="宋体" w:cs="宋体"/>
          <w:szCs w:val="24"/>
          <w:highlight w:val="none"/>
        </w:rPr>
        <w:t>、成交服务费</w:t>
      </w:r>
      <w:r>
        <w:tab/>
      </w:r>
      <w:r>
        <w:fldChar w:fldCharType="begin"/>
      </w:r>
      <w:r>
        <w:instrText xml:space="preserve"> PAGEREF _Toc11117 \h </w:instrText>
      </w:r>
      <w:r>
        <w:fldChar w:fldCharType="separate"/>
      </w:r>
      <w:r>
        <w:t>33</w:t>
      </w:r>
      <w:r>
        <w:fldChar w:fldCharType="end"/>
      </w:r>
      <w:r>
        <w:rPr>
          <w:rFonts w:ascii="宋体" w:hAnsi="宋体"/>
          <w:caps/>
          <w:kern w:val="2"/>
          <w:szCs w:val="20"/>
          <w:highlight w:val="none"/>
        </w:rPr>
        <w:fldChar w:fldCharType="end"/>
      </w:r>
    </w:p>
    <w:p>
      <w:pPr>
        <w:pStyle w:val="64"/>
        <w:tabs>
          <w:tab w:val="right" w:leader="dot" w:pos="9071"/>
          <w:tab w:val="clear" w:pos="8597"/>
        </w:tabs>
      </w:pPr>
      <w:r>
        <w:rPr>
          <w:rFonts w:ascii="宋体" w:hAnsi="宋体"/>
          <w:caps/>
          <w:kern w:val="2"/>
          <w:szCs w:val="20"/>
          <w:highlight w:val="none"/>
        </w:rPr>
        <w:fldChar w:fldCharType="begin"/>
      </w:r>
      <w:r>
        <w:rPr>
          <w:rFonts w:ascii="宋体" w:hAnsi="宋体"/>
          <w:caps/>
          <w:kern w:val="2"/>
          <w:szCs w:val="20"/>
          <w:highlight w:val="none"/>
        </w:rPr>
        <w:instrText xml:space="preserve"> HYPERLINK \l _Toc21704 </w:instrText>
      </w:r>
      <w:r>
        <w:rPr>
          <w:rFonts w:ascii="宋体" w:hAnsi="宋体"/>
          <w:caps/>
          <w:kern w:val="2"/>
          <w:szCs w:val="20"/>
          <w:highlight w:val="none"/>
        </w:rPr>
        <w:fldChar w:fldCharType="separate"/>
      </w:r>
      <w:r>
        <w:rPr>
          <w:rFonts w:hint="eastAsia" w:ascii="宋体" w:hAnsi="宋体" w:eastAsia="宋体" w:cs="宋体"/>
          <w:szCs w:val="24"/>
          <w:highlight w:val="none"/>
        </w:rPr>
        <w:t>十、解释权</w:t>
      </w:r>
      <w:r>
        <w:tab/>
      </w:r>
      <w:r>
        <w:fldChar w:fldCharType="begin"/>
      </w:r>
      <w:r>
        <w:instrText xml:space="preserve"> PAGEREF _Toc21704 \h </w:instrText>
      </w:r>
      <w:r>
        <w:fldChar w:fldCharType="separate"/>
      </w:r>
      <w:r>
        <w:t>33</w:t>
      </w:r>
      <w:r>
        <w:fldChar w:fldCharType="end"/>
      </w:r>
      <w:r>
        <w:rPr>
          <w:rFonts w:ascii="宋体" w:hAnsi="宋体"/>
          <w:caps/>
          <w:kern w:val="2"/>
          <w:szCs w:val="20"/>
          <w:highlight w:val="none"/>
        </w:rPr>
        <w:fldChar w:fldCharType="end"/>
      </w:r>
    </w:p>
    <w:p>
      <w:pPr>
        <w:pStyle w:val="64"/>
        <w:tabs>
          <w:tab w:val="right" w:leader="dot" w:pos="9071"/>
          <w:tab w:val="clear" w:pos="8597"/>
        </w:tabs>
      </w:pPr>
      <w:r>
        <w:rPr>
          <w:rFonts w:ascii="宋体" w:hAnsi="宋体"/>
          <w:caps/>
          <w:kern w:val="2"/>
          <w:szCs w:val="20"/>
          <w:highlight w:val="none"/>
        </w:rPr>
        <w:fldChar w:fldCharType="begin"/>
      </w:r>
      <w:r>
        <w:rPr>
          <w:rFonts w:ascii="宋体" w:hAnsi="宋体"/>
          <w:caps/>
          <w:kern w:val="2"/>
          <w:szCs w:val="20"/>
          <w:highlight w:val="none"/>
        </w:rPr>
        <w:instrText xml:space="preserve"> HYPERLINK \l _Toc9251 </w:instrText>
      </w:r>
      <w:r>
        <w:rPr>
          <w:rFonts w:ascii="宋体" w:hAnsi="宋体"/>
          <w:caps/>
          <w:kern w:val="2"/>
          <w:szCs w:val="20"/>
          <w:highlight w:val="none"/>
        </w:rPr>
        <w:fldChar w:fldCharType="separate"/>
      </w:r>
      <w:r>
        <w:rPr>
          <w:rFonts w:hint="eastAsia" w:ascii="宋体" w:hAnsi="宋体" w:eastAsia="宋体" w:cs="宋体"/>
          <w:szCs w:val="24"/>
          <w:highlight w:val="none"/>
        </w:rPr>
        <w:t>十</w:t>
      </w:r>
      <w:r>
        <w:rPr>
          <w:rFonts w:hint="eastAsia" w:ascii="宋体" w:hAnsi="宋体" w:eastAsia="宋体" w:cs="宋体"/>
          <w:szCs w:val="24"/>
          <w:highlight w:val="none"/>
          <w:lang w:eastAsia="zh-CN"/>
        </w:rPr>
        <w:t>一</w:t>
      </w:r>
      <w:r>
        <w:rPr>
          <w:rFonts w:hint="eastAsia" w:ascii="宋体" w:hAnsi="宋体" w:eastAsia="宋体" w:cs="宋体"/>
          <w:szCs w:val="24"/>
          <w:highlight w:val="none"/>
        </w:rPr>
        <w:t>、其他</w:t>
      </w:r>
      <w:r>
        <w:tab/>
      </w:r>
      <w:r>
        <w:fldChar w:fldCharType="begin"/>
      </w:r>
      <w:r>
        <w:instrText xml:space="preserve"> PAGEREF _Toc9251 \h </w:instrText>
      </w:r>
      <w:r>
        <w:fldChar w:fldCharType="separate"/>
      </w:r>
      <w:r>
        <w:t>34</w:t>
      </w:r>
      <w:r>
        <w:fldChar w:fldCharType="end"/>
      </w:r>
      <w:r>
        <w:rPr>
          <w:rFonts w:ascii="宋体" w:hAnsi="宋体"/>
          <w:caps/>
          <w:kern w:val="2"/>
          <w:szCs w:val="20"/>
          <w:highlight w:val="none"/>
        </w:rPr>
        <w:fldChar w:fldCharType="end"/>
      </w:r>
    </w:p>
    <w:p>
      <w:pPr>
        <w:pStyle w:val="55"/>
        <w:tabs>
          <w:tab w:val="right" w:leader="dot" w:pos="9071"/>
        </w:tabs>
      </w:pPr>
      <w:r>
        <w:rPr>
          <w:rFonts w:ascii="宋体" w:hAnsi="宋体"/>
          <w:caps/>
          <w:kern w:val="2"/>
          <w:szCs w:val="20"/>
          <w:highlight w:val="none"/>
        </w:rPr>
        <w:fldChar w:fldCharType="begin"/>
      </w:r>
      <w:r>
        <w:rPr>
          <w:rFonts w:ascii="宋体" w:hAnsi="宋体"/>
          <w:caps/>
          <w:kern w:val="2"/>
          <w:szCs w:val="20"/>
          <w:highlight w:val="none"/>
        </w:rPr>
        <w:instrText xml:space="preserve"> HYPERLINK \l _Toc7032 </w:instrText>
      </w:r>
      <w:r>
        <w:rPr>
          <w:rFonts w:ascii="宋体" w:hAnsi="宋体"/>
          <w:caps/>
          <w:kern w:val="2"/>
          <w:szCs w:val="20"/>
          <w:highlight w:val="none"/>
        </w:rPr>
        <w:fldChar w:fldCharType="separate"/>
      </w:r>
      <w:r>
        <w:rPr>
          <w:rFonts w:hint="eastAsia" w:ascii="宋体" w:hAnsi="宋体"/>
          <w:kern w:val="2"/>
          <w:highlight w:val="none"/>
        </w:rPr>
        <w:t>第三章评分办法</w:t>
      </w:r>
      <w:r>
        <w:tab/>
      </w:r>
      <w:r>
        <w:fldChar w:fldCharType="begin"/>
      </w:r>
      <w:r>
        <w:instrText xml:space="preserve"> PAGEREF _Toc7032 \h </w:instrText>
      </w:r>
      <w:r>
        <w:fldChar w:fldCharType="separate"/>
      </w:r>
      <w:r>
        <w:t>35</w:t>
      </w:r>
      <w:r>
        <w:fldChar w:fldCharType="end"/>
      </w:r>
      <w:r>
        <w:rPr>
          <w:rFonts w:ascii="宋体" w:hAnsi="宋体"/>
          <w:caps/>
          <w:kern w:val="2"/>
          <w:szCs w:val="20"/>
          <w:highlight w:val="none"/>
        </w:rPr>
        <w:fldChar w:fldCharType="end"/>
      </w:r>
    </w:p>
    <w:p>
      <w:pPr>
        <w:pStyle w:val="55"/>
        <w:tabs>
          <w:tab w:val="right" w:leader="dot" w:pos="9071"/>
        </w:tabs>
      </w:pPr>
      <w:r>
        <w:rPr>
          <w:rFonts w:ascii="宋体" w:hAnsi="宋体"/>
          <w:caps/>
          <w:kern w:val="2"/>
          <w:szCs w:val="20"/>
          <w:highlight w:val="none"/>
        </w:rPr>
        <w:fldChar w:fldCharType="begin"/>
      </w:r>
      <w:r>
        <w:rPr>
          <w:rFonts w:ascii="宋体" w:hAnsi="宋体"/>
          <w:caps/>
          <w:kern w:val="2"/>
          <w:szCs w:val="20"/>
          <w:highlight w:val="none"/>
        </w:rPr>
        <w:instrText xml:space="preserve"> HYPERLINK \l _Toc28216 </w:instrText>
      </w:r>
      <w:r>
        <w:rPr>
          <w:rFonts w:ascii="宋体" w:hAnsi="宋体"/>
          <w:caps/>
          <w:kern w:val="2"/>
          <w:szCs w:val="20"/>
          <w:highlight w:val="none"/>
        </w:rPr>
        <w:fldChar w:fldCharType="separate"/>
      </w:r>
      <w:r>
        <w:rPr>
          <w:rFonts w:hint="eastAsia" w:ascii="宋体" w:hAnsi="宋体"/>
          <w:kern w:val="2"/>
          <w:highlight w:val="none"/>
        </w:rPr>
        <w:t>第四章采购内容及项目要求</w:t>
      </w:r>
      <w:r>
        <w:tab/>
      </w:r>
      <w:r>
        <w:fldChar w:fldCharType="begin"/>
      </w:r>
      <w:r>
        <w:instrText xml:space="preserve"> PAGEREF _Toc28216 \h </w:instrText>
      </w:r>
      <w:r>
        <w:fldChar w:fldCharType="separate"/>
      </w:r>
      <w:r>
        <w:t>39</w:t>
      </w:r>
      <w:r>
        <w:fldChar w:fldCharType="end"/>
      </w:r>
      <w:r>
        <w:rPr>
          <w:rFonts w:ascii="宋体" w:hAnsi="宋体"/>
          <w:caps/>
          <w:kern w:val="2"/>
          <w:szCs w:val="20"/>
          <w:highlight w:val="none"/>
        </w:rPr>
        <w:fldChar w:fldCharType="end"/>
      </w:r>
    </w:p>
    <w:p>
      <w:pPr>
        <w:pStyle w:val="3"/>
        <w:tabs>
          <w:tab w:val="right" w:leader="dot" w:pos="8647"/>
        </w:tabs>
        <w:spacing w:before="120" w:after="120" w:line="360" w:lineRule="auto"/>
        <w:jc w:val="center"/>
        <w:rPr>
          <w:rFonts w:ascii="宋体" w:hAnsi="宋体"/>
          <w:kern w:val="2"/>
          <w:sz w:val="32"/>
          <w:highlight w:val="none"/>
        </w:rPr>
      </w:pPr>
      <w:r>
        <w:rPr>
          <w:rFonts w:ascii="宋体" w:hAnsi="宋体"/>
          <w:caps/>
          <w:kern w:val="2"/>
          <w:szCs w:val="20"/>
          <w:highlight w:val="none"/>
        </w:rPr>
        <w:fldChar w:fldCharType="end"/>
      </w:r>
      <w:bookmarkStart w:id="0" w:name="_Toc3801"/>
      <w:bookmarkStart w:id="1" w:name="_Toc11844"/>
      <w:bookmarkStart w:id="2" w:name="_Toc206"/>
      <w:bookmarkStart w:id="3" w:name="_Toc8043"/>
      <w:r>
        <w:rPr>
          <w:rFonts w:ascii="宋体" w:hAnsi="宋体"/>
          <w:highlight w:val="none"/>
        </w:rPr>
        <w:br w:type="page"/>
      </w:r>
      <w:r>
        <w:rPr>
          <w:rFonts w:hint="eastAsia" w:ascii="宋体" w:hAnsi="宋体"/>
          <w:kern w:val="2"/>
          <w:sz w:val="32"/>
          <w:highlight w:val="none"/>
        </w:rPr>
        <w:t>第一章竞争性磋商公告</w:t>
      </w:r>
      <w:bookmarkEnd w:id="0"/>
      <w:bookmarkEnd w:id="1"/>
      <w:bookmarkEnd w:id="2"/>
      <w:bookmarkEnd w:id="3"/>
    </w:p>
    <w:p>
      <w:pPr>
        <w:pBdr>
          <w:top w:val="single" w:color="auto" w:sz="4" w:space="1"/>
          <w:left w:val="single" w:color="auto" w:sz="4" w:space="4"/>
          <w:bottom w:val="single" w:color="auto" w:sz="4" w:space="1"/>
          <w:right w:val="single" w:color="auto" w:sz="4" w:space="4"/>
        </w:pBd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受</w:t>
      </w:r>
      <w:r>
        <w:rPr>
          <w:rFonts w:hint="eastAsia" w:ascii="宋体" w:hAnsi="宋体" w:cs="宋体"/>
          <w:sz w:val="24"/>
          <w:highlight w:val="none"/>
          <w:u w:val="single"/>
        </w:rPr>
        <w:t>山东大学齐鲁医院（青岛）</w:t>
      </w:r>
      <w:r>
        <w:rPr>
          <w:rFonts w:hint="eastAsia" w:ascii="宋体" w:hAnsi="宋体" w:cs="宋体"/>
          <w:sz w:val="24"/>
          <w:highlight w:val="none"/>
        </w:rPr>
        <w:t>委托，</w:t>
      </w:r>
      <w:r>
        <w:rPr>
          <w:rFonts w:hint="eastAsia" w:ascii="宋体" w:hAnsi="宋体" w:cs="宋体"/>
          <w:sz w:val="24"/>
          <w:highlight w:val="none"/>
          <w:u w:val="single"/>
        </w:rPr>
        <w:t>海逸恒安项目管理有限公司</w:t>
      </w:r>
      <w:r>
        <w:rPr>
          <w:rFonts w:hint="eastAsia" w:ascii="宋体" w:hAnsi="宋体" w:cs="宋体"/>
          <w:sz w:val="24"/>
          <w:highlight w:val="none"/>
        </w:rPr>
        <w:t>对</w:t>
      </w:r>
      <w:r>
        <w:rPr>
          <w:rFonts w:hint="eastAsia" w:ascii="宋体" w:hAnsi="宋体" w:cs="宋体"/>
          <w:sz w:val="24"/>
          <w:highlight w:val="none"/>
          <w:u w:val="single"/>
          <w:lang w:eastAsia="zh-CN"/>
        </w:rPr>
        <w:t>山东大学齐鲁医院（青岛）计量检定服务项目（三次）</w:t>
      </w:r>
      <w:r>
        <w:rPr>
          <w:rFonts w:hint="eastAsia" w:ascii="宋体" w:hAnsi="宋体" w:cs="宋体"/>
          <w:sz w:val="24"/>
          <w:highlight w:val="none"/>
        </w:rPr>
        <w:t>采用竞争性磋商方式进行采购，欢迎潜在响应人前来竞标。请潜在响应人在</w:t>
      </w:r>
      <w:r>
        <w:rPr>
          <w:rFonts w:hint="eastAsia" w:ascii="宋体" w:hAnsi="宋体" w:cs="宋体"/>
          <w:sz w:val="24"/>
          <w:highlight w:val="none"/>
          <w:u w:val="single"/>
        </w:rPr>
        <w:t>&lt;panghaosheng@sdhyha.com&gt;</w:t>
      </w:r>
      <w:r>
        <w:rPr>
          <w:rFonts w:hint="eastAsia" w:ascii="宋体" w:hAnsi="宋体" w:cs="宋体"/>
          <w:sz w:val="24"/>
          <w:highlight w:val="none"/>
        </w:rPr>
        <w:t>获取采购文件，并于</w:t>
      </w:r>
      <w:r>
        <w:rPr>
          <w:rFonts w:hint="eastAsia" w:ascii="宋体" w:hAnsi="宋体" w:cs="宋体"/>
          <w:sz w:val="24"/>
          <w:highlight w:val="none"/>
          <w:u w:val="single"/>
        </w:rPr>
        <w:t>202</w:t>
      </w:r>
      <w:r>
        <w:rPr>
          <w:rFonts w:hint="eastAsia" w:ascii="宋体" w:hAnsi="宋体" w:cs="宋体"/>
          <w:sz w:val="24"/>
          <w:highlight w:val="none"/>
          <w:u w:val="single"/>
          <w:lang w:val="en-US" w:eastAsia="zh-CN"/>
        </w:rPr>
        <w:t>3</w:t>
      </w:r>
      <w:r>
        <w:rPr>
          <w:rFonts w:hint="eastAsia" w:ascii="宋体" w:hAnsi="宋体" w:cs="宋体"/>
          <w:sz w:val="24"/>
          <w:highlight w:val="none"/>
          <w:u w:val="single"/>
        </w:rPr>
        <w:t>年</w:t>
      </w:r>
      <w:r>
        <w:rPr>
          <w:rFonts w:hint="eastAsia" w:ascii="宋体" w:hAnsi="宋体" w:cs="宋体"/>
          <w:sz w:val="24"/>
          <w:highlight w:val="none"/>
          <w:u w:val="single"/>
          <w:lang w:val="en-US" w:eastAsia="zh-CN"/>
        </w:rPr>
        <w:t>1</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31</w:t>
      </w:r>
      <w:r>
        <w:rPr>
          <w:rFonts w:hint="eastAsia" w:ascii="宋体" w:hAnsi="宋体" w:cs="宋体"/>
          <w:sz w:val="24"/>
          <w:highlight w:val="none"/>
          <w:u w:val="single"/>
        </w:rPr>
        <w:t>日</w:t>
      </w:r>
      <w:r>
        <w:rPr>
          <w:rFonts w:hint="eastAsia" w:ascii="宋体" w:hAnsi="宋体" w:cs="宋体"/>
          <w:sz w:val="24"/>
          <w:highlight w:val="none"/>
          <w:u w:val="single"/>
          <w:lang w:val="en-US" w:eastAsia="zh-CN"/>
        </w:rPr>
        <w:t>09</w:t>
      </w:r>
      <w:r>
        <w:rPr>
          <w:rFonts w:hint="eastAsia" w:ascii="宋体" w:hAnsi="宋体" w:cs="宋体"/>
          <w:sz w:val="24"/>
          <w:highlight w:val="none"/>
          <w:u w:val="single"/>
        </w:rPr>
        <w:t>点</w:t>
      </w:r>
      <w:r>
        <w:rPr>
          <w:rFonts w:hint="eastAsia" w:ascii="宋体" w:hAnsi="宋体" w:cs="宋体"/>
          <w:sz w:val="24"/>
          <w:highlight w:val="none"/>
          <w:u w:val="single"/>
          <w:lang w:val="en-US" w:eastAsia="zh-CN"/>
        </w:rPr>
        <w:t>00</w:t>
      </w:r>
      <w:r>
        <w:rPr>
          <w:rFonts w:hint="eastAsia" w:ascii="宋体" w:hAnsi="宋体" w:cs="宋体"/>
          <w:sz w:val="24"/>
          <w:highlight w:val="none"/>
          <w:u w:val="single"/>
        </w:rPr>
        <w:t>分</w:t>
      </w:r>
      <w:r>
        <w:rPr>
          <w:rFonts w:hint="eastAsia" w:ascii="宋体" w:hAnsi="宋体" w:cs="宋体"/>
          <w:bCs/>
          <w:sz w:val="24"/>
          <w:highlight w:val="none"/>
          <w:u w:val="single"/>
        </w:rPr>
        <w:t>（北京时间）</w:t>
      </w:r>
      <w:r>
        <w:rPr>
          <w:rFonts w:hint="eastAsia" w:ascii="宋体" w:hAnsi="宋体" w:cs="宋体"/>
          <w:bCs/>
          <w:sz w:val="24"/>
          <w:highlight w:val="none"/>
        </w:rPr>
        <w:t>前提交响应文件</w:t>
      </w:r>
      <w:r>
        <w:rPr>
          <w:rFonts w:hint="eastAsia" w:ascii="宋体" w:hAnsi="宋体" w:cs="宋体"/>
          <w:sz w:val="24"/>
          <w:highlight w:val="none"/>
        </w:rPr>
        <w:t>。</w:t>
      </w:r>
    </w:p>
    <w:p>
      <w:pPr>
        <w:adjustRightInd w:val="0"/>
        <w:snapToGrid w:val="0"/>
        <w:spacing w:line="360" w:lineRule="auto"/>
        <w:rPr>
          <w:rFonts w:ascii="宋体" w:hAnsi="宋体" w:cs="宋体"/>
          <w:sz w:val="24"/>
          <w:highlight w:val="none"/>
        </w:rPr>
      </w:pPr>
      <w:bookmarkStart w:id="4" w:name="_Toc35393798"/>
      <w:bookmarkStart w:id="5" w:name="_Toc28359089"/>
      <w:bookmarkStart w:id="6" w:name="_Toc28359012"/>
      <w:bookmarkStart w:id="7" w:name="_Toc35393629"/>
      <w:r>
        <w:rPr>
          <w:rFonts w:hint="eastAsia" w:ascii="宋体" w:hAnsi="宋体" w:cs="宋体"/>
          <w:sz w:val="24"/>
          <w:highlight w:val="none"/>
        </w:rPr>
        <w:t>一、项目基本情况</w:t>
      </w:r>
      <w:bookmarkEnd w:id="4"/>
      <w:bookmarkEnd w:id="5"/>
      <w:bookmarkEnd w:id="6"/>
      <w:bookmarkEnd w:id="7"/>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项目编号：HYHAQD2023-0004</w:t>
      </w:r>
    </w:p>
    <w:p>
      <w:pPr>
        <w:adjustRightInd w:val="0"/>
        <w:snapToGrid w:val="0"/>
        <w:spacing w:line="360" w:lineRule="auto"/>
        <w:ind w:firstLine="480" w:firstLineChars="200"/>
        <w:rPr>
          <w:rFonts w:hint="eastAsia" w:ascii="宋体" w:hAnsi="宋体" w:eastAsia="宋体" w:cs="宋体"/>
          <w:sz w:val="24"/>
          <w:highlight w:val="none"/>
          <w:u w:val="single"/>
          <w:lang w:eastAsia="zh-CN"/>
        </w:rPr>
      </w:pPr>
      <w:r>
        <w:rPr>
          <w:rFonts w:hint="eastAsia" w:ascii="宋体" w:hAnsi="宋体" w:cs="宋体"/>
          <w:sz w:val="24"/>
          <w:highlight w:val="none"/>
        </w:rPr>
        <w:t>项目名称：</w:t>
      </w:r>
      <w:bookmarkStart w:id="248" w:name="_GoBack"/>
      <w:r>
        <w:rPr>
          <w:rFonts w:hint="eastAsia" w:ascii="宋体" w:hAnsi="宋体" w:cs="宋体"/>
          <w:sz w:val="24"/>
          <w:highlight w:val="none"/>
          <w:lang w:eastAsia="zh-CN"/>
        </w:rPr>
        <w:t>山东大学齐鲁医院（青岛）计量检定服务项目（三次）</w:t>
      </w:r>
    </w:p>
    <w:bookmarkEnd w:id="248"/>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采购方式：竞争性磋商</w:t>
      </w:r>
    </w:p>
    <w:p>
      <w:pPr>
        <w:adjustRightInd w:val="0"/>
        <w:snapToGrid w:val="0"/>
        <w:spacing w:line="360" w:lineRule="auto"/>
        <w:ind w:firstLine="480" w:firstLineChars="200"/>
        <w:rPr>
          <w:rFonts w:hint="eastAsia" w:ascii="宋体" w:hAnsi="宋体" w:eastAsia="宋体" w:cs="宋体"/>
          <w:sz w:val="24"/>
          <w:highlight w:val="none"/>
          <w:lang w:val="en-US" w:eastAsia="zh-CN"/>
        </w:rPr>
      </w:pPr>
      <w:r>
        <w:rPr>
          <w:rFonts w:hint="eastAsia" w:ascii="宋体" w:hAnsi="宋体" w:cs="宋体"/>
          <w:sz w:val="24"/>
          <w:highlight w:val="none"/>
        </w:rPr>
        <w:t>预算资金：</w:t>
      </w:r>
      <w:r>
        <w:rPr>
          <w:rFonts w:hint="eastAsia" w:ascii="宋体" w:hAnsi="宋体" w:cs="宋体"/>
          <w:sz w:val="24"/>
          <w:highlight w:val="none"/>
          <w:lang w:val="en-US" w:eastAsia="zh-CN"/>
        </w:rPr>
        <w:t>47</w:t>
      </w:r>
      <w:r>
        <w:rPr>
          <w:rFonts w:hint="eastAsia" w:ascii="宋体" w:hAnsi="宋体" w:cs="宋体"/>
          <w:sz w:val="24"/>
          <w:highlight w:val="none"/>
        </w:rPr>
        <w:t>.00万元</w:t>
      </w:r>
      <w:r>
        <w:rPr>
          <w:rFonts w:hint="eastAsia" w:ascii="宋体" w:hAnsi="宋体" w:cs="宋体"/>
          <w:sz w:val="24"/>
          <w:highlight w:val="none"/>
          <w:lang w:eastAsia="zh-CN"/>
        </w:rPr>
        <w:t>，</w:t>
      </w:r>
      <w:r>
        <w:rPr>
          <w:rFonts w:hint="eastAsia" w:ascii="宋体" w:hAnsi="宋体" w:cs="宋体"/>
          <w:sz w:val="24"/>
          <w:highlight w:val="none"/>
          <w:lang w:val="en-US" w:eastAsia="zh-CN"/>
        </w:rPr>
        <w:t>其中第一包：15.00万元，第二包：32.00万元。</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采购需求：本项目为</w:t>
      </w:r>
      <w:r>
        <w:rPr>
          <w:rFonts w:hint="eastAsia" w:ascii="宋体" w:hAnsi="宋体" w:cs="宋体"/>
          <w:sz w:val="24"/>
          <w:highlight w:val="none"/>
          <w:lang w:eastAsia="zh-CN"/>
        </w:rPr>
        <w:t>计量检定服务服务</w:t>
      </w:r>
      <w:r>
        <w:rPr>
          <w:rFonts w:hint="eastAsia" w:ascii="宋体" w:hAnsi="宋体" w:cs="宋体"/>
          <w:sz w:val="24"/>
          <w:highlight w:val="none"/>
          <w:lang w:val="en-US" w:eastAsia="zh-CN"/>
        </w:rPr>
        <w:t>采购</w:t>
      </w:r>
      <w:r>
        <w:rPr>
          <w:rFonts w:hint="eastAsia" w:ascii="宋体" w:hAnsi="宋体" w:cs="宋体"/>
          <w:snapToGrid/>
          <w:kern w:val="2"/>
          <w:sz w:val="24"/>
          <w:highlight w:val="none"/>
        </w:rPr>
        <w:t>，详见竞争性磋商文件第四章采购内容及项目要求。</w:t>
      </w:r>
    </w:p>
    <w:p>
      <w:pPr>
        <w:adjustRightInd w:val="0"/>
        <w:snapToGrid w:val="0"/>
        <w:spacing w:line="360" w:lineRule="auto"/>
        <w:ind w:firstLine="480" w:firstLineChars="200"/>
        <w:rPr>
          <w:rFonts w:hint="eastAsia" w:ascii="宋体" w:hAnsi="宋体" w:cs="宋体"/>
          <w:sz w:val="24"/>
          <w:highlight w:val="none"/>
        </w:rPr>
      </w:pPr>
      <w:r>
        <w:rPr>
          <w:rFonts w:hint="eastAsia" w:ascii="宋体" w:hAnsi="宋体" w:cs="宋体"/>
          <w:color w:val="auto"/>
          <w:sz w:val="24"/>
          <w:highlight w:val="none"/>
          <w:lang w:val="en-US" w:eastAsia="zh-CN"/>
        </w:rPr>
        <w:t>服务期限</w:t>
      </w:r>
      <w:r>
        <w:rPr>
          <w:rFonts w:hint="eastAsia" w:ascii="宋体" w:hAnsi="宋体" w:cs="宋体"/>
          <w:sz w:val="24"/>
          <w:highlight w:val="none"/>
        </w:rPr>
        <w:t>：</w:t>
      </w:r>
      <w:r>
        <w:rPr>
          <w:rFonts w:hint="eastAsia" w:ascii="宋体" w:hAnsi="宋体" w:eastAsia="宋体" w:cs="宋体"/>
          <w:sz w:val="24"/>
          <w:szCs w:val="24"/>
          <w:highlight w:val="none"/>
          <w:lang w:val="en-US" w:eastAsia="zh-CN"/>
        </w:rPr>
        <w:t>服务期3年，采用“1+1+1”签署方式，由</w:t>
      </w:r>
      <w:r>
        <w:rPr>
          <w:rFonts w:hint="eastAsia" w:ascii="宋体" w:hAnsi="宋体" w:cs="宋体"/>
          <w:sz w:val="24"/>
          <w:szCs w:val="24"/>
          <w:highlight w:val="none"/>
          <w:lang w:val="en-US" w:eastAsia="zh-CN"/>
        </w:rPr>
        <w:t>采购人</w:t>
      </w:r>
      <w:r>
        <w:rPr>
          <w:rFonts w:hint="eastAsia" w:ascii="宋体" w:hAnsi="宋体" w:eastAsia="宋体" w:cs="宋体"/>
          <w:sz w:val="24"/>
          <w:szCs w:val="24"/>
          <w:highlight w:val="none"/>
          <w:lang w:val="en-US" w:eastAsia="zh-CN"/>
        </w:rPr>
        <w:t>每年对</w:t>
      </w:r>
      <w:r>
        <w:rPr>
          <w:rFonts w:hint="eastAsia" w:ascii="宋体" w:hAnsi="宋体" w:cs="宋体"/>
          <w:sz w:val="24"/>
          <w:szCs w:val="24"/>
          <w:highlight w:val="none"/>
          <w:lang w:val="en-US" w:eastAsia="zh-CN"/>
        </w:rPr>
        <w:t>成交人</w:t>
      </w:r>
      <w:r>
        <w:rPr>
          <w:rFonts w:hint="eastAsia" w:ascii="宋体" w:hAnsi="宋体" w:eastAsia="宋体" w:cs="宋体"/>
          <w:sz w:val="24"/>
          <w:szCs w:val="24"/>
          <w:highlight w:val="none"/>
          <w:lang w:val="en-US" w:eastAsia="zh-CN"/>
        </w:rPr>
        <w:t>进行服务满意度考核，根据考核结果决定是否继续履行该合同。如</w:t>
      </w:r>
      <w:r>
        <w:rPr>
          <w:rFonts w:hint="eastAsia" w:ascii="宋体" w:hAnsi="宋体" w:cs="宋体"/>
          <w:sz w:val="24"/>
          <w:szCs w:val="24"/>
          <w:highlight w:val="none"/>
          <w:lang w:val="en-US" w:eastAsia="zh-CN"/>
        </w:rPr>
        <w:t>成交人</w:t>
      </w:r>
      <w:r>
        <w:rPr>
          <w:rFonts w:hint="eastAsia" w:ascii="宋体" w:hAnsi="宋体" w:eastAsia="宋体" w:cs="宋体"/>
          <w:sz w:val="24"/>
          <w:szCs w:val="24"/>
          <w:highlight w:val="none"/>
          <w:lang w:val="en-US" w:eastAsia="zh-CN"/>
        </w:rPr>
        <w:t>在</w:t>
      </w:r>
      <w:r>
        <w:rPr>
          <w:rFonts w:hint="eastAsia" w:ascii="宋体" w:hAnsi="宋体" w:cs="宋体"/>
          <w:sz w:val="24"/>
          <w:szCs w:val="24"/>
          <w:highlight w:val="none"/>
          <w:lang w:val="en-US" w:eastAsia="zh-CN"/>
        </w:rPr>
        <w:t>采购人</w:t>
      </w:r>
      <w:r>
        <w:rPr>
          <w:rFonts w:hint="eastAsia" w:ascii="宋体" w:hAnsi="宋体" w:eastAsia="宋体" w:cs="宋体"/>
          <w:sz w:val="24"/>
          <w:szCs w:val="24"/>
          <w:highlight w:val="none"/>
          <w:lang w:val="en-US" w:eastAsia="zh-CN"/>
        </w:rPr>
        <w:t>的考核中不达标，则</w:t>
      </w:r>
      <w:r>
        <w:rPr>
          <w:rFonts w:hint="eastAsia" w:ascii="宋体" w:hAnsi="宋体" w:cs="宋体"/>
          <w:sz w:val="24"/>
          <w:szCs w:val="24"/>
          <w:highlight w:val="none"/>
          <w:lang w:val="en-US" w:eastAsia="zh-CN"/>
        </w:rPr>
        <w:t>采购人</w:t>
      </w:r>
      <w:r>
        <w:rPr>
          <w:rFonts w:hint="eastAsia" w:ascii="宋体" w:hAnsi="宋体" w:eastAsia="宋体" w:cs="宋体"/>
          <w:sz w:val="24"/>
          <w:szCs w:val="24"/>
          <w:highlight w:val="none"/>
          <w:lang w:val="en-US" w:eastAsia="zh-CN"/>
        </w:rPr>
        <w:t>可以解除该合同。</w:t>
      </w:r>
    </w:p>
    <w:p>
      <w:pPr>
        <w:adjustRightInd w:val="0"/>
        <w:snapToGrid w:val="0"/>
        <w:spacing w:line="360" w:lineRule="auto"/>
        <w:rPr>
          <w:rFonts w:ascii="宋体" w:hAnsi="宋体" w:cs="宋体"/>
          <w:sz w:val="24"/>
          <w:highlight w:val="none"/>
        </w:rPr>
      </w:pPr>
      <w:bookmarkStart w:id="8" w:name="_Toc28359090"/>
      <w:bookmarkStart w:id="9" w:name="_Toc28359013"/>
      <w:bookmarkStart w:id="10" w:name="_Toc35393630"/>
      <w:bookmarkStart w:id="11" w:name="_Toc35393799"/>
      <w:r>
        <w:rPr>
          <w:rFonts w:hint="eastAsia" w:ascii="宋体" w:hAnsi="宋体" w:cs="宋体"/>
          <w:sz w:val="24"/>
          <w:highlight w:val="none"/>
        </w:rPr>
        <w:t>二、申请人的资格要求：</w:t>
      </w:r>
      <w:bookmarkEnd w:id="8"/>
      <w:bookmarkEnd w:id="9"/>
      <w:bookmarkEnd w:id="10"/>
      <w:bookmarkEnd w:id="11"/>
    </w:p>
    <w:p>
      <w:pPr>
        <w:adjustRightInd w:val="0"/>
        <w:snapToGrid w:val="0"/>
        <w:spacing w:line="360" w:lineRule="auto"/>
        <w:ind w:firstLine="480" w:firstLineChars="200"/>
        <w:rPr>
          <w:rFonts w:ascii="宋体" w:hAnsi="宋体" w:cs="宋体"/>
          <w:sz w:val="24"/>
          <w:highlight w:val="none"/>
        </w:rPr>
      </w:pPr>
      <w:bookmarkStart w:id="12" w:name="_Toc28359091"/>
      <w:bookmarkStart w:id="13" w:name="_Toc28359014"/>
      <w:r>
        <w:rPr>
          <w:rFonts w:hint="eastAsia" w:ascii="宋体" w:hAnsi="宋体" w:cs="宋体"/>
          <w:sz w:val="24"/>
          <w:highlight w:val="none"/>
        </w:rPr>
        <w:t>1.满足《中华人民共和国政府采购法》第二十二条规定；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2.落实政府采购政策需满足的资格要求：无；</w:t>
      </w:r>
    </w:p>
    <w:p>
      <w:pPr>
        <w:spacing w:line="360" w:lineRule="auto"/>
        <w:ind w:firstLine="480" w:firstLineChars="200"/>
        <w:rPr>
          <w:rFonts w:hint="eastAsia" w:ascii="宋体" w:hAnsi="宋体" w:eastAsia="宋体" w:cs="宋体"/>
          <w:sz w:val="24"/>
          <w:highlight w:val="none"/>
          <w:lang w:eastAsia="zh-CN"/>
        </w:rPr>
      </w:pPr>
      <w:r>
        <w:rPr>
          <w:rFonts w:hint="eastAsia" w:ascii="宋体" w:hAnsi="宋体" w:cs="宋体"/>
          <w:sz w:val="24"/>
          <w:highlight w:val="none"/>
        </w:rPr>
        <w:t>3.本项目的特定资格要求：</w:t>
      </w:r>
      <w:r>
        <w:rPr>
          <w:rFonts w:hint="eastAsia" w:ascii="宋体" w:hAnsi="宋体" w:cs="宋体"/>
          <w:sz w:val="24"/>
          <w:highlight w:val="none"/>
          <w:lang w:val="en-US" w:eastAsia="zh-CN"/>
        </w:rPr>
        <w:t>响应人</w:t>
      </w:r>
      <w:r>
        <w:rPr>
          <w:rFonts w:hint="eastAsia" w:ascii="宋体" w:hAnsi="宋体" w:cs="宋体"/>
          <w:sz w:val="24"/>
          <w:highlight w:val="none"/>
        </w:rPr>
        <w:t>须具有中国合格评定国家认可委员会（CNAS）的实验室认可有效证书</w:t>
      </w:r>
      <w:r>
        <w:rPr>
          <w:rFonts w:hint="eastAsia" w:ascii="宋体" w:hAnsi="宋体" w:cs="宋体"/>
          <w:sz w:val="24"/>
          <w:highlight w:val="none"/>
          <w:lang w:eastAsia="zh-CN"/>
        </w:rPr>
        <w:t>；</w:t>
      </w:r>
    </w:p>
    <w:p>
      <w:pPr>
        <w:spacing w:line="360" w:lineRule="auto"/>
        <w:ind w:firstLine="480" w:firstLineChars="200"/>
        <w:rPr>
          <w:rFonts w:ascii="宋体" w:hAnsi="宋体" w:cs="宋体"/>
          <w:sz w:val="24"/>
          <w:highlight w:val="none"/>
        </w:rPr>
      </w:pPr>
      <w:r>
        <w:rPr>
          <w:rFonts w:hint="eastAsia" w:ascii="宋体" w:hAnsi="宋体" w:cs="宋体"/>
          <w:sz w:val="24"/>
          <w:highlight w:val="none"/>
          <w:lang w:val="en-US" w:eastAsia="zh-CN"/>
        </w:rPr>
        <w:t>4.</w:t>
      </w:r>
      <w:r>
        <w:rPr>
          <w:rFonts w:hint="eastAsia" w:ascii="宋体" w:hAnsi="宋体" w:cs="宋体"/>
          <w:sz w:val="24"/>
          <w:highlight w:val="none"/>
        </w:rPr>
        <w:t>在“信用中国”（www.creditchina.gov.cn）、“中国政府采购网”（www.ccgp.gov.cn）等网站中被列入失信被执行人、重大税收违法案件当事人名单、政府采购严重违法失信行为记录名单的响应人，不得参加本次政府采购活动</w:t>
      </w:r>
      <w:r>
        <w:rPr>
          <w:rFonts w:hint="eastAsia" w:ascii="宋体" w:hAnsi="宋体" w:cs="宋体"/>
          <w:sz w:val="24"/>
          <w:highlight w:val="none"/>
          <w:lang w:eastAsia="zh-CN"/>
        </w:rPr>
        <w:t>；</w:t>
      </w:r>
    </w:p>
    <w:p>
      <w:pPr>
        <w:spacing w:line="360" w:lineRule="auto"/>
        <w:ind w:firstLine="480" w:firstLineChars="200"/>
        <w:rPr>
          <w:rFonts w:ascii="宋体" w:hAnsi="宋体" w:cs="宋体"/>
          <w:sz w:val="24"/>
          <w:highlight w:val="none"/>
        </w:rPr>
      </w:pPr>
      <w:r>
        <w:rPr>
          <w:rFonts w:hint="eastAsia" w:ascii="宋体" w:hAnsi="宋体" w:cs="宋体"/>
          <w:sz w:val="24"/>
          <w:highlight w:val="none"/>
          <w:lang w:val="en-US" w:eastAsia="zh-CN"/>
        </w:rPr>
        <w:t>5.</w:t>
      </w:r>
      <w:r>
        <w:rPr>
          <w:rFonts w:hint="eastAsia" w:ascii="宋体" w:hAnsi="宋体" w:cs="宋体"/>
          <w:sz w:val="24"/>
          <w:highlight w:val="none"/>
        </w:rPr>
        <w:t>本项目不接受联合体。</w:t>
      </w:r>
    </w:p>
    <w:p>
      <w:pPr>
        <w:adjustRightInd w:val="0"/>
        <w:snapToGrid w:val="0"/>
        <w:spacing w:line="360" w:lineRule="auto"/>
        <w:rPr>
          <w:rFonts w:ascii="宋体" w:hAnsi="宋体" w:cs="宋体"/>
          <w:sz w:val="24"/>
          <w:highlight w:val="none"/>
        </w:rPr>
      </w:pPr>
      <w:bookmarkStart w:id="14" w:name="_Toc35393800"/>
      <w:bookmarkStart w:id="15" w:name="_Toc35393631"/>
      <w:r>
        <w:rPr>
          <w:rFonts w:hint="eastAsia" w:ascii="宋体" w:hAnsi="宋体" w:cs="宋体"/>
          <w:sz w:val="24"/>
          <w:highlight w:val="none"/>
        </w:rPr>
        <w:t>三、获取采购文件</w:t>
      </w:r>
      <w:bookmarkEnd w:id="12"/>
      <w:bookmarkEnd w:id="13"/>
      <w:bookmarkEnd w:id="14"/>
      <w:bookmarkEnd w:id="15"/>
    </w:p>
    <w:p>
      <w:pPr>
        <w:spacing w:line="360" w:lineRule="auto"/>
        <w:ind w:firstLine="540"/>
        <w:rPr>
          <w:rFonts w:ascii="宋体" w:hAnsi="宋体" w:cs="宋体"/>
          <w:sz w:val="24"/>
          <w:highlight w:val="none"/>
        </w:rPr>
      </w:pPr>
      <w:r>
        <w:rPr>
          <w:rFonts w:hint="eastAsia" w:ascii="宋体" w:hAnsi="宋体" w:cs="宋体"/>
          <w:sz w:val="24"/>
          <w:highlight w:val="none"/>
        </w:rPr>
        <w:t>1.时间：</w:t>
      </w:r>
      <w:r>
        <w:rPr>
          <w:rFonts w:hint="eastAsia" w:ascii="宋体" w:hAnsi="宋体" w:cs="宋体"/>
          <w:sz w:val="24"/>
          <w:highlight w:val="none"/>
          <w:u w:val="single"/>
        </w:rPr>
        <w:t>202</w:t>
      </w:r>
      <w:r>
        <w:rPr>
          <w:rFonts w:hint="eastAsia" w:ascii="宋体" w:hAnsi="宋体" w:cs="宋体"/>
          <w:sz w:val="24"/>
          <w:highlight w:val="none"/>
          <w:u w:val="single"/>
          <w:lang w:val="en-US" w:eastAsia="zh-CN"/>
        </w:rPr>
        <w:t>3</w:t>
      </w:r>
      <w:r>
        <w:rPr>
          <w:rFonts w:hint="eastAsia" w:ascii="宋体" w:hAnsi="宋体" w:cs="宋体"/>
          <w:sz w:val="24"/>
          <w:highlight w:val="none"/>
          <w:u w:val="single"/>
        </w:rPr>
        <w:t>年</w:t>
      </w:r>
      <w:r>
        <w:rPr>
          <w:rFonts w:hint="eastAsia" w:ascii="宋体" w:hAnsi="宋体" w:cs="宋体"/>
          <w:sz w:val="24"/>
          <w:highlight w:val="none"/>
          <w:u w:val="single"/>
          <w:lang w:val="en-US" w:eastAsia="zh-CN"/>
        </w:rPr>
        <w:t>1</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10</w:t>
      </w:r>
      <w:r>
        <w:rPr>
          <w:rFonts w:hint="eastAsia" w:ascii="宋体" w:hAnsi="宋体" w:cs="宋体"/>
          <w:sz w:val="24"/>
          <w:highlight w:val="none"/>
          <w:u w:val="single"/>
        </w:rPr>
        <w:t>日</w:t>
      </w:r>
      <w:r>
        <w:rPr>
          <w:rFonts w:hint="eastAsia" w:ascii="宋体" w:hAnsi="宋体" w:cs="宋体"/>
          <w:sz w:val="24"/>
          <w:highlight w:val="none"/>
        </w:rPr>
        <w:t>至</w:t>
      </w:r>
      <w:r>
        <w:rPr>
          <w:rFonts w:hint="eastAsia" w:ascii="宋体" w:hAnsi="宋体" w:cs="宋体"/>
          <w:sz w:val="24"/>
          <w:highlight w:val="none"/>
          <w:u w:val="single"/>
        </w:rPr>
        <w:t>202</w:t>
      </w:r>
      <w:r>
        <w:rPr>
          <w:rFonts w:hint="eastAsia" w:ascii="宋体" w:hAnsi="宋体" w:cs="宋体"/>
          <w:sz w:val="24"/>
          <w:highlight w:val="none"/>
          <w:u w:val="single"/>
          <w:lang w:val="en-US" w:eastAsia="zh-CN"/>
        </w:rPr>
        <w:t>3</w:t>
      </w:r>
      <w:r>
        <w:rPr>
          <w:rFonts w:hint="eastAsia" w:ascii="宋体" w:hAnsi="宋体" w:cs="宋体"/>
          <w:sz w:val="24"/>
          <w:highlight w:val="none"/>
          <w:u w:val="single"/>
        </w:rPr>
        <w:t>年</w:t>
      </w:r>
      <w:r>
        <w:rPr>
          <w:rFonts w:hint="eastAsia" w:ascii="宋体" w:hAnsi="宋体" w:cs="宋体"/>
          <w:sz w:val="24"/>
          <w:highlight w:val="none"/>
          <w:u w:val="single"/>
          <w:lang w:val="en-US" w:eastAsia="zh-CN"/>
        </w:rPr>
        <w:t>1</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16</w:t>
      </w:r>
      <w:r>
        <w:rPr>
          <w:rFonts w:hint="eastAsia" w:ascii="宋体" w:hAnsi="宋体" w:cs="宋体"/>
          <w:sz w:val="24"/>
          <w:highlight w:val="none"/>
          <w:u w:val="single"/>
        </w:rPr>
        <w:t>日</w:t>
      </w:r>
      <w:r>
        <w:rPr>
          <w:rFonts w:hint="eastAsia" w:ascii="宋体" w:hAnsi="宋体" w:cs="宋体"/>
          <w:sz w:val="24"/>
          <w:highlight w:val="none"/>
        </w:rPr>
        <w:t>，每天上午</w:t>
      </w:r>
      <w:r>
        <w:rPr>
          <w:rFonts w:hint="eastAsia" w:ascii="宋体" w:hAnsi="宋体" w:cs="宋体"/>
          <w:sz w:val="24"/>
          <w:highlight w:val="none"/>
          <w:u w:val="single"/>
        </w:rPr>
        <w:t>8时30分</w:t>
      </w:r>
      <w:r>
        <w:rPr>
          <w:rFonts w:hint="eastAsia" w:ascii="宋体" w:hAnsi="宋体" w:cs="宋体"/>
          <w:sz w:val="24"/>
          <w:highlight w:val="none"/>
        </w:rPr>
        <w:t>至</w:t>
      </w:r>
      <w:r>
        <w:rPr>
          <w:rFonts w:hint="eastAsia" w:ascii="宋体" w:hAnsi="宋体" w:cs="宋体"/>
          <w:sz w:val="24"/>
          <w:highlight w:val="none"/>
          <w:u w:val="single"/>
        </w:rPr>
        <w:t>12时00分</w:t>
      </w:r>
      <w:r>
        <w:rPr>
          <w:rFonts w:hint="eastAsia" w:ascii="宋体" w:hAnsi="宋体" w:cs="宋体"/>
          <w:sz w:val="24"/>
          <w:highlight w:val="none"/>
        </w:rPr>
        <w:t>，下午</w:t>
      </w:r>
      <w:r>
        <w:rPr>
          <w:rFonts w:hint="eastAsia" w:ascii="宋体" w:hAnsi="宋体" w:cs="宋体"/>
          <w:sz w:val="24"/>
          <w:highlight w:val="none"/>
          <w:u w:val="single"/>
        </w:rPr>
        <w:t>12时00分</w:t>
      </w:r>
      <w:r>
        <w:rPr>
          <w:rFonts w:hint="eastAsia" w:ascii="宋体" w:hAnsi="宋体" w:cs="宋体"/>
          <w:sz w:val="24"/>
          <w:highlight w:val="none"/>
        </w:rPr>
        <w:t>至</w:t>
      </w:r>
      <w:r>
        <w:rPr>
          <w:rFonts w:hint="eastAsia" w:ascii="宋体" w:hAnsi="宋体" w:cs="宋体"/>
          <w:sz w:val="24"/>
          <w:highlight w:val="none"/>
          <w:u w:val="single"/>
        </w:rPr>
        <w:t>16时30分</w:t>
      </w:r>
      <w:r>
        <w:rPr>
          <w:rFonts w:hint="eastAsia" w:ascii="宋体" w:hAnsi="宋体" w:cs="宋体"/>
          <w:sz w:val="24"/>
          <w:highlight w:val="none"/>
        </w:rPr>
        <w:t>（北京时间，法定节假日除外）。</w:t>
      </w:r>
    </w:p>
    <w:p>
      <w:pPr>
        <w:tabs>
          <w:tab w:val="left" w:pos="9741"/>
        </w:tabs>
        <w:spacing w:line="360" w:lineRule="auto"/>
        <w:ind w:firstLine="480" w:firstLineChars="200"/>
        <w:rPr>
          <w:rFonts w:ascii="宋体" w:hAnsi="宋体" w:cs="宋体"/>
          <w:sz w:val="24"/>
          <w:highlight w:val="none"/>
        </w:rPr>
      </w:pPr>
      <w:r>
        <w:rPr>
          <w:rFonts w:hint="eastAsia" w:ascii="宋体" w:hAnsi="宋体" w:cs="宋体"/>
          <w:sz w:val="24"/>
          <w:highlight w:val="none"/>
        </w:rPr>
        <w:t>2.方式：</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第一步：扫描下方二维码按照要求填报报名信息（经办人：逄昊晟）。</w:t>
      </w:r>
    </w:p>
    <w:p>
      <w:pPr>
        <w:spacing w:line="360" w:lineRule="auto"/>
        <w:ind w:firstLine="480" w:firstLineChars="200"/>
        <w:jc w:val="center"/>
        <w:rPr>
          <w:rFonts w:ascii="宋体" w:hAnsi="宋体" w:cs="宋体"/>
          <w:sz w:val="24"/>
          <w:highlight w:val="none"/>
        </w:rPr>
      </w:pPr>
      <w:r>
        <w:rPr>
          <w:rFonts w:hint="eastAsia" w:ascii="宋体" w:hAnsi="宋体" w:cs="宋体"/>
          <w:sz w:val="24"/>
          <w:highlight w:val="none"/>
        </w:rPr>
        <w:drawing>
          <wp:inline distT="0" distB="0" distL="114300" distR="114300">
            <wp:extent cx="1395095" cy="1395095"/>
            <wp:effectExtent l="0" t="0" r="14605" b="14605"/>
            <wp:docPr id="6" name="图片 2" descr="f5b7cd478ad601594caa0c074c31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f5b7cd478ad601594caa0c074c31767"/>
                    <pic:cNvPicPr>
                      <a:picLocks noChangeAspect="1"/>
                    </pic:cNvPicPr>
                  </pic:nvPicPr>
                  <pic:blipFill>
                    <a:blip r:embed="rId11" cstate="print"/>
                    <a:stretch>
                      <a:fillRect/>
                    </a:stretch>
                  </pic:blipFill>
                  <pic:spPr>
                    <a:xfrm>
                      <a:off x="0" y="0"/>
                      <a:ext cx="1395095" cy="1395095"/>
                    </a:xfrm>
                    <a:prstGeom prst="rect">
                      <a:avLst/>
                    </a:prstGeom>
                    <a:noFill/>
                    <a:ln>
                      <a:noFill/>
                    </a:ln>
                  </pic:spPr>
                </pic:pic>
              </a:graphicData>
            </a:graphic>
          </wp:inline>
        </w:drawing>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第二步：响应人须将法人授权委托书原件和被授权人身份证原件的扫描件、磋商文件费汇款凭证的扫描件发送至项目经理邮箱（panghaosheng@sdhyha.com）。</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w:t>
      </w:r>
      <w:r>
        <w:rPr>
          <w:rFonts w:hint="eastAsia" w:ascii="宋体" w:hAnsi="宋体" w:cs="宋体"/>
          <w:sz w:val="24"/>
          <w:highlight w:val="none"/>
          <w:lang w:eastAsia="zh-CN"/>
        </w:rPr>
        <w:t>.</w:t>
      </w:r>
      <w:r>
        <w:rPr>
          <w:rFonts w:hint="eastAsia" w:ascii="宋体" w:hAnsi="宋体" w:cs="宋体"/>
          <w:sz w:val="24"/>
          <w:highlight w:val="none"/>
        </w:rPr>
        <w:t>磋商文件售价：300元/</w:t>
      </w:r>
      <w:r>
        <w:rPr>
          <w:rFonts w:hint="eastAsia" w:ascii="宋体" w:hAnsi="宋体" w:cs="宋体"/>
          <w:sz w:val="24"/>
          <w:highlight w:val="none"/>
          <w:lang w:val="en-US" w:eastAsia="zh-CN"/>
        </w:rPr>
        <w:t>包</w:t>
      </w:r>
      <w:r>
        <w:rPr>
          <w:rFonts w:hint="eastAsia" w:ascii="宋体" w:hAnsi="宋体" w:cs="宋体"/>
          <w:sz w:val="24"/>
          <w:highlight w:val="none"/>
        </w:rPr>
        <w:t>（磋商文件售后不退）</w:t>
      </w:r>
      <w:r>
        <w:rPr>
          <w:rFonts w:hint="eastAsia" w:ascii="宋体" w:hAnsi="宋体" w:cs="宋体"/>
          <w:sz w:val="24"/>
          <w:highlight w:val="none"/>
          <w:lang w:eastAsia="zh-CN"/>
        </w:rPr>
        <w:t>。</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w:t>
      </w:r>
      <w:r>
        <w:rPr>
          <w:rFonts w:hint="eastAsia" w:ascii="宋体" w:hAnsi="宋体" w:cs="宋体"/>
          <w:sz w:val="24"/>
          <w:highlight w:val="none"/>
          <w:lang w:eastAsia="zh-CN"/>
        </w:rPr>
        <w:t>.</w:t>
      </w:r>
      <w:r>
        <w:rPr>
          <w:rFonts w:hint="eastAsia" w:ascii="宋体" w:hAnsi="宋体" w:cs="宋体"/>
          <w:sz w:val="24"/>
          <w:highlight w:val="none"/>
        </w:rPr>
        <w:t>电汇银行及账号信息：</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开户名称：海逸恒安项目管理有限公司青岛事业部；</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开户银行：中国建设银行股份有限公司青岛崂山支行；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账号：37150198682700001356。</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注：</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①标书费必须从响应人单位账户汇出；报名完成后，采购代理机构会将磋商文件发送至响应人邮箱，若因报名未登记成功，无法参加本项目的责任由各响应人自行承担。</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②本项目实行资格后审，获取磋商文件成功不代表资格后审的通过。</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③本采购项目的变更、修改、澄清等内容均在“中国政府采购网、中国招标投标公共服务平台和山东大学齐鲁医院（青岛）网站”发布。相关内容一经在“中国政府采购网、中国招标投标公共服务平台和山东大学齐鲁医院（青岛）网站”发布，视作已发放给所有潜在响应人。各潜在响应人应随时关注并及时自行查阅网站信息，未按要求查阅者自行承担相应后果。</w:t>
      </w:r>
    </w:p>
    <w:p>
      <w:pPr>
        <w:adjustRightInd w:val="0"/>
        <w:snapToGrid w:val="0"/>
        <w:spacing w:line="360" w:lineRule="auto"/>
        <w:rPr>
          <w:rFonts w:ascii="宋体" w:hAnsi="宋体" w:cs="宋体"/>
          <w:sz w:val="24"/>
          <w:highlight w:val="none"/>
        </w:rPr>
      </w:pPr>
      <w:bookmarkStart w:id="16" w:name="_Toc28359092"/>
      <w:bookmarkStart w:id="17" w:name="_Toc28359015"/>
      <w:bookmarkStart w:id="18" w:name="_Toc35393632"/>
      <w:bookmarkStart w:id="19" w:name="_Toc35393801"/>
      <w:r>
        <w:rPr>
          <w:rFonts w:hint="eastAsia" w:ascii="宋体" w:hAnsi="宋体" w:cs="宋体"/>
          <w:sz w:val="24"/>
          <w:highlight w:val="none"/>
        </w:rPr>
        <w:t>四、响应文件提交</w:t>
      </w:r>
      <w:bookmarkEnd w:id="16"/>
      <w:bookmarkEnd w:id="17"/>
      <w:bookmarkEnd w:id="18"/>
      <w:bookmarkEnd w:id="19"/>
    </w:p>
    <w:p>
      <w:pPr>
        <w:adjustRightInd w:val="0"/>
        <w:snapToGrid w:val="0"/>
        <w:spacing w:line="360" w:lineRule="auto"/>
        <w:ind w:firstLine="480" w:firstLineChars="200"/>
        <w:rPr>
          <w:rFonts w:ascii="宋体" w:hAnsi="宋体" w:cs="宋体"/>
          <w:sz w:val="24"/>
          <w:highlight w:val="none"/>
        </w:rPr>
      </w:pPr>
      <w:bookmarkStart w:id="20" w:name="_Toc35393633"/>
      <w:bookmarkStart w:id="21" w:name="_Toc28359016"/>
      <w:bookmarkStart w:id="22" w:name="_Toc28359093"/>
      <w:bookmarkStart w:id="23" w:name="_Toc35393802"/>
      <w:r>
        <w:rPr>
          <w:rFonts w:hint="eastAsia" w:ascii="宋体" w:hAnsi="宋体" w:cs="宋体"/>
          <w:sz w:val="24"/>
          <w:highlight w:val="none"/>
        </w:rPr>
        <w:t>1.截止时间：</w:t>
      </w:r>
      <w:r>
        <w:rPr>
          <w:rFonts w:hint="eastAsia" w:ascii="宋体" w:hAnsi="宋体" w:cs="宋体"/>
          <w:sz w:val="24"/>
          <w:highlight w:val="none"/>
          <w:u w:val="single"/>
        </w:rPr>
        <w:t>202</w:t>
      </w:r>
      <w:r>
        <w:rPr>
          <w:rFonts w:hint="eastAsia" w:ascii="宋体" w:hAnsi="宋体" w:cs="宋体"/>
          <w:sz w:val="24"/>
          <w:highlight w:val="none"/>
          <w:u w:val="single"/>
          <w:lang w:val="en-US" w:eastAsia="zh-CN"/>
        </w:rPr>
        <w:t>3</w:t>
      </w:r>
      <w:r>
        <w:rPr>
          <w:rFonts w:hint="eastAsia" w:ascii="宋体" w:hAnsi="宋体" w:cs="宋体"/>
          <w:sz w:val="24"/>
          <w:highlight w:val="none"/>
          <w:u w:val="single"/>
        </w:rPr>
        <w:t>年</w:t>
      </w:r>
      <w:r>
        <w:rPr>
          <w:rFonts w:hint="eastAsia" w:ascii="宋体" w:hAnsi="宋体" w:cs="宋体"/>
          <w:sz w:val="24"/>
          <w:highlight w:val="none"/>
          <w:u w:val="single"/>
          <w:lang w:val="en-US" w:eastAsia="zh-CN"/>
        </w:rPr>
        <w:t>1</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31</w:t>
      </w:r>
      <w:r>
        <w:rPr>
          <w:rFonts w:hint="eastAsia" w:ascii="宋体" w:hAnsi="宋体" w:cs="宋体"/>
          <w:sz w:val="24"/>
          <w:highlight w:val="none"/>
          <w:u w:val="single"/>
        </w:rPr>
        <w:t>日</w:t>
      </w:r>
      <w:r>
        <w:rPr>
          <w:rFonts w:hint="eastAsia" w:ascii="宋体" w:hAnsi="宋体" w:cs="宋体"/>
          <w:sz w:val="24"/>
          <w:highlight w:val="none"/>
          <w:u w:val="single"/>
          <w:lang w:val="en-US" w:eastAsia="zh-CN"/>
        </w:rPr>
        <w:t>09</w:t>
      </w:r>
      <w:r>
        <w:rPr>
          <w:rFonts w:hint="eastAsia" w:ascii="宋体" w:hAnsi="宋体" w:cs="宋体"/>
          <w:sz w:val="24"/>
          <w:highlight w:val="none"/>
          <w:u w:val="single"/>
        </w:rPr>
        <w:t>点</w:t>
      </w:r>
      <w:r>
        <w:rPr>
          <w:rFonts w:hint="eastAsia" w:ascii="宋体" w:hAnsi="宋体" w:cs="宋体"/>
          <w:sz w:val="24"/>
          <w:highlight w:val="none"/>
          <w:u w:val="single"/>
          <w:lang w:val="en-US" w:eastAsia="zh-CN"/>
        </w:rPr>
        <w:t>00</w:t>
      </w:r>
      <w:r>
        <w:rPr>
          <w:rFonts w:hint="eastAsia" w:ascii="宋体" w:hAnsi="宋体" w:cs="宋体"/>
          <w:sz w:val="24"/>
          <w:highlight w:val="none"/>
          <w:u w:val="single"/>
        </w:rPr>
        <w:t>分</w:t>
      </w:r>
      <w:r>
        <w:rPr>
          <w:rFonts w:hint="eastAsia" w:ascii="宋体" w:hAnsi="宋体" w:cs="宋体"/>
          <w:sz w:val="24"/>
          <w:highlight w:val="none"/>
        </w:rPr>
        <w:t>（北京时间）。</w:t>
      </w:r>
    </w:p>
    <w:p>
      <w:pPr>
        <w:topLinePunct/>
        <w:spacing w:line="360" w:lineRule="auto"/>
        <w:ind w:firstLine="480" w:firstLineChars="200"/>
        <w:rPr>
          <w:rFonts w:ascii="宋体" w:hAnsi="宋体" w:cs="宋体"/>
          <w:sz w:val="24"/>
          <w:highlight w:val="none"/>
        </w:rPr>
      </w:pPr>
      <w:r>
        <w:rPr>
          <w:rFonts w:hint="eastAsia" w:ascii="宋体" w:hAnsi="宋体" w:cs="宋体"/>
          <w:sz w:val="24"/>
          <w:highlight w:val="none"/>
        </w:rPr>
        <w:t>2.地点：青岛市崂山区文岭路5号白金广场C座202B室。</w:t>
      </w:r>
    </w:p>
    <w:p>
      <w:pPr>
        <w:topLinePunct/>
        <w:spacing w:line="360" w:lineRule="auto"/>
        <w:ind w:firstLine="480" w:firstLineChars="200"/>
        <w:rPr>
          <w:rFonts w:ascii="宋体" w:hAnsi="宋体" w:cs="宋体"/>
          <w:bCs/>
          <w:sz w:val="24"/>
          <w:highlight w:val="none"/>
        </w:rPr>
      </w:pPr>
      <w:r>
        <w:rPr>
          <w:rFonts w:hint="eastAsia" w:ascii="宋体" w:hAnsi="宋体" w:cs="宋体"/>
          <w:sz w:val="24"/>
          <w:highlight w:val="none"/>
        </w:rPr>
        <w:t>3.递交方式：</w:t>
      </w:r>
      <w:r>
        <w:rPr>
          <w:rFonts w:hint="eastAsia" w:ascii="宋体" w:hAnsi="宋体" w:cs="宋体"/>
          <w:bCs/>
          <w:sz w:val="24"/>
          <w:highlight w:val="none"/>
        </w:rPr>
        <w:t>现场递交</w:t>
      </w:r>
    </w:p>
    <w:p>
      <w:pPr>
        <w:topLinePunct/>
        <w:spacing w:line="360" w:lineRule="auto"/>
        <w:ind w:firstLine="480" w:firstLineChars="200"/>
        <w:rPr>
          <w:rFonts w:ascii="宋体" w:hAnsi="宋体"/>
          <w:sz w:val="24"/>
          <w:highlight w:val="none"/>
          <w:u w:val="single"/>
        </w:rPr>
      </w:pPr>
      <w:r>
        <w:rPr>
          <w:rFonts w:hint="eastAsia" w:ascii="宋体" w:hAnsi="宋体" w:cs="宋体"/>
          <w:bCs/>
          <w:sz w:val="24"/>
          <w:highlight w:val="none"/>
        </w:rPr>
        <w:t>响应人应当在磋商文件要求提交响应文件的截止日期前，将响应文件密封送达。法定代表人参加开标会议的，应出示法定代表人身份证明原件和本人身份证复印件；被授权代表参加开标会议的，应出示授权委托书原件和本人身份证复印件。</w:t>
      </w:r>
    </w:p>
    <w:p>
      <w:pPr>
        <w:adjustRightInd w:val="0"/>
        <w:snapToGrid w:val="0"/>
        <w:spacing w:line="360" w:lineRule="auto"/>
        <w:rPr>
          <w:rFonts w:ascii="宋体" w:hAnsi="宋体" w:cs="宋体"/>
          <w:sz w:val="24"/>
          <w:highlight w:val="none"/>
        </w:rPr>
      </w:pPr>
      <w:r>
        <w:rPr>
          <w:rFonts w:hint="eastAsia" w:ascii="宋体" w:hAnsi="宋体" w:cs="宋体"/>
          <w:sz w:val="24"/>
          <w:highlight w:val="none"/>
        </w:rPr>
        <w:t>五、开启</w:t>
      </w:r>
      <w:bookmarkEnd w:id="20"/>
      <w:bookmarkEnd w:id="21"/>
      <w:bookmarkEnd w:id="22"/>
      <w:bookmarkEnd w:id="23"/>
    </w:p>
    <w:p>
      <w:pPr>
        <w:adjustRightInd w:val="0"/>
        <w:snapToGrid w:val="0"/>
        <w:spacing w:line="360" w:lineRule="auto"/>
        <w:ind w:firstLine="480" w:firstLineChars="200"/>
        <w:rPr>
          <w:rFonts w:ascii="宋体" w:hAnsi="宋体" w:cs="宋体"/>
          <w:bCs/>
          <w:sz w:val="24"/>
          <w:highlight w:val="none"/>
          <w:u w:val="single"/>
        </w:rPr>
      </w:pPr>
      <w:bookmarkStart w:id="24" w:name="_Toc28359094"/>
      <w:bookmarkStart w:id="25" w:name="_Toc35393803"/>
      <w:bookmarkStart w:id="26" w:name="_Toc35393634"/>
      <w:bookmarkStart w:id="27" w:name="_Toc28359017"/>
      <w:r>
        <w:rPr>
          <w:rFonts w:hint="eastAsia" w:ascii="宋体" w:hAnsi="宋体" w:cs="宋体"/>
          <w:sz w:val="24"/>
          <w:highlight w:val="none"/>
        </w:rPr>
        <w:t>1.开启时间：</w:t>
      </w:r>
      <w:r>
        <w:rPr>
          <w:rFonts w:hint="eastAsia" w:ascii="宋体" w:hAnsi="宋体" w:cs="宋体"/>
          <w:sz w:val="24"/>
          <w:highlight w:val="none"/>
          <w:u w:val="single"/>
        </w:rPr>
        <w:t>202</w:t>
      </w:r>
      <w:r>
        <w:rPr>
          <w:rFonts w:hint="eastAsia" w:ascii="宋体" w:hAnsi="宋体" w:cs="宋体"/>
          <w:sz w:val="24"/>
          <w:highlight w:val="none"/>
          <w:u w:val="single"/>
          <w:lang w:val="en-US" w:eastAsia="zh-CN"/>
        </w:rPr>
        <w:t>3</w:t>
      </w:r>
      <w:r>
        <w:rPr>
          <w:rFonts w:hint="eastAsia" w:ascii="宋体" w:hAnsi="宋体" w:cs="宋体"/>
          <w:sz w:val="24"/>
          <w:highlight w:val="none"/>
          <w:u w:val="single"/>
        </w:rPr>
        <w:t>年</w:t>
      </w:r>
      <w:r>
        <w:rPr>
          <w:rFonts w:hint="eastAsia" w:ascii="宋体" w:hAnsi="宋体" w:cs="宋体"/>
          <w:sz w:val="24"/>
          <w:highlight w:val="none"/>
          <w:u w:val="single"/>
          <w:lang w:val="en-US" w:eastAsia="zh-CN"/>
        </w:rPr>
        <w:t>1</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31</w:t>
      </w:r>
      <w:r>
        <w:rPr>
          <w:rFonts w:hint="eastAsia" w:ascii="宋体" w:hAnsi="宋体" w:cs="宋体"/>
          <w:sz w:val="24"/>
          <w:highlight w:val="none"/>
          <w:u w:val="single"/>
        </w:rPr>
        <w:t>日</w:t>
      </w:r>
      <w:r>
        <w:rPr>
          <w:rFonts w:hint="eastAsia" w:ascii="宋体" w:hAnsi="宋体" w:cs="宋体"/>
          <w:sz w:val="24"/>
          <w:highlight w:val="none"/>
          <w:u w:val="single"/>
          <w:lang w:val="en-US" w:eastAsia="zh-CN"/>
        </w:rPr>
        <w:t>09</w:t>
      </w:r>
      <w:r>
        <w:rPr>
          <w:rFonts w:hint="eastAsia" w:ascii="宋体" w:hAnsi="宋体" w:cs="宋体"/>
          <w:sz w:val="24"/>
          <w:highlight w:val="none"/>
          <w:u w:val="single"/>
        </w:rPr>
        <w:t>点</w:t>
      </w:r>
      <w:r>
        <w:rPr>
          <w:rFonts w:hint="eastAsia" w:ascii="宋体" w:hAnsi="宋体" w:cs="宋体"/>
          <w:sz w:val="24"/>
          <w:highlight w:val="none"/>
          <w:u w:val="single"/>
          <w:lang w:val="en-US" w:eastAsia="zh-CN"/>
        </w:rPr>
        <w:t>00</w:t>
      </w:r>
      <w:r>
        <w:rPr>
          <w:rFonts w:hint="eastAsia" w:ascii="宋体" w:hAnsi="宋体" w:cs="宋体"/>
          <w:sz w:val="24"/>
          <w:highlight w:val="none"/>
          <w:u w:val="single"/>
        </w:rPr>
        <w:t>分</w:t>
      </w:r>
      <w:r>
        <w:rPr>
          <w:rFonts w:hint="eastAsia" w:ascii="宋体" w:hAnsi="宋体" w:cs="宋体"/>
          <w:sz w:val="24"/>
          <w:highlight w:val="none"/>
        </w:rPr>
        <w:t>（北京时间）。</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2.地点：青岛市崂山区文岭路5号白金广场C座202B室。</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3.因疫情防控需要，每家响应人仅允许授权代表一人参加开标会议。</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4.遇有疫情防控政策变化，需按照最新要求执行，届时将另行通知。</w:t>
      </w:r>
    </w:p>
    <w:p>
      <w:pPr>
        <w:adjustRightInd w:val="0"/>
        <w:snapToGrid w:val="0"/>
        <w:spacing w:line="360" w:lineRule="auto"/>
        <w:rPr>
          <w:rFonts w:ascii="宋体" w:hAnsi="宋体" w:cs="宋体"/>
          <w:sz w:val="24"/>
          <w:highlight w:val="none"/>
        </w:rPr>
      </w:pPr>
      <w:r>
        <w:rPr>
          <w:rFonts w:hint="eastAsia" w:ascii="宋体" w:hAnsi="宋体" w:cs="宋体"/>
          <w:sz w:val="24"/>
          <w:highlight w:val="none"/>
        </w:rPr>
        <w:t>六、公告期限</w:t>
      </w:r>
      <w:bookmarkEnd w:id="24"/>
      <w:bookmarkEnd w:id="25"/>
      <w:bookmarkEnd w:id="26"/>
      <w:bookmarkEnd w:id="27"/>
    </w:p>
    <w:p>
      <w:pPr>
        <w:adjustRightInd w:val="0"/>
        <w:snapToGrid w:val="0"/>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自本公告发布之日起3个工作日。</w:t>
      </w:r>
    </w:p>
    <w:p>
      <w:pPr>
        <w:adjustRightInd w:val="0"/>
        <w:snapToGrid w:val="0"/>
        <w:spacing w:line="360" w:lineRule="auto"/>
        <w:rPr>
          <w:rFonts w:ascii="宋体" w:hAnsi="宋体" w:cs="宋体"/>
          <w:sz w:val="24"/>
          <w:highlight w:val="none"/>
        </w:rPr>
      </w:pPr>
      <w:bookmarkStart w:id="28" w:name="_Toc35393804"/>
      <w:bookmarkStart w:id="29" w:name="_Toc35393635"/>
      <w:r>
        <w:rPr>
          <w:rFonts w:hint="eastAsia" w:ascii="宋体" w:hAnsi="宋体" w:cs="宋体"/>
          <w:sz w:val="24"/>
          <w:highlight w:val="none"/>
        </w:rPr>
        <w:t>七、其他补充事宜</w:t>
      </w:r>
      <w:bookmarkEnd w:id="28"/>
      <w:bookmarkEnd w:id="29"/>
    </w:p>
    <w:p>
      <w:pPr>
        <w:adjustRightInd w:val="0"/>
        <w:snapToGrid w:val="0"/>
        <w:spacing w:line="500" w:lineRule="exact"/>
        <w:ind w:firstLine="480" w:firstLineChars="200"/>
        <w:jc w:val="left"/>
        <w:rPr>
          <w:rFonts w:ascii="宋体" w:hAnsi="宋体" w:cs="仿宋"/>
          <w:kern w:val="0"/>
          <w:sz w:val="24"/>
          <w:highlight w:val="none"/>
        </w:rPr>
      </w:pPr>
      <w:bookmarkStart w:id="30" w:name="_Toc28359095"/>
      <w:bookmarkStart w:id="31" w:name="_Toc35393805"/>
      <w:bookmarkStart w:id="32" w:name="_Toc28359018"/>
      <w:bookmarkStart w:id="33" w:name="_Toc35393636"/>
      <w:r>
        <w:rPr>
          <w:rFonts w:hint="eastAsia" w:ascii="宋体" w:hAnsi="宋体" w:cs="仿宋"/>
          <w:kern w:val="0"/>
          <w:sz w:val="24"/>
          <w:highlight w:val="none"/>
        </w:rPr>
        <w:t>1.本项目磋商公告在中国政府采购网、中国招标投标公共服务平台和山东大学齐鲁医院（青岛）网站上同时发布。</w:t>
      </w:r>
    </w:p>
    <w:p>
      <w:pPr>
        <w:adjustRightInd w:val="0"/>
        <w:snapToGrid w:val="0"/>
        <w:spacing w:line="500" w:lineRule="exact"/>
        <w:ind w:firstLine="482" w:firstLineChars="200"/>
        <w:jc w:val="left"/>
        <w:rPr>
          <w:rFonts w:ascii="宋体" w:hAnsi="宋体" w:cs="仿宋"/>
          <w:b/>
          <w:bCs/>
          <w:kern w:val="0"/>
          <w:sz w:val="24"/>
          <w:highlight w:val="none"/>
        </w:rPr>
      </w:pPr>
      <w:r>
        <w:rPr>
          <w:rFonts w:hint="eastAsia" w:ascii="宋体" w:hAnsi="宋体" w:cs="仿宋"/>
          <w:b/>
          <w:bCs/>
          <w:kern w:val="0"/>
          <w:sz w:val="24"/>
          <w:highlight w:val="none"/>
        </w:rPr>
        <w:t>2.采购项目需要落实的政府采购政策</w:t>
      </w:r>
    </w:p>
    <w:p>
      <w:pPr>
        <w:adjustRightInd w:val="0"/>
        <w:snapToGrid w:val="0"/>
        <w:spacing w:line="500" w:lineRule="exact"/>
        <w:ind w:firstLine="480" w:firstLineChars="200"/>
        <w:jc w:val="left"/>
        <w:rPr>
          <w:rFonts w:ascii="宋体" w:hAnsi="宋体" w:cs="仿宋"/>
          <w:kern w:val="0"/>
          <w:sz w:val="24"/>
          <w:highlight w:val="none"/>
        </w:rPr>
      </w:pPr>
      <w:r>
        <w:rPr>
          <w:rFonts w:hint="eastAsia" w:ascii="宋体" w:hAnsi="宋体" w:cs="仿宋"/>
          <w:kern w:val="0"/>
          <w:sz w:val="24"/>
          <w:highlight w:val="none"/>
        </w:rPr>
        <w:t>详见竞争性磋商文件。</w:t>
      </w:r>
    </w:p>
    <w:p>
      <w:pPr>
        <w:adjustRightInd w:val="0"/>
        <w:snapToGrid w:val="0"/>
        <w:spacing w:line="360" w:lineRule="auto"/>
        <w:rPr>
          <w:rFonts w:ascii="宋体" w:hAnsi="宋体" w:cs="宋体"/>
          <w:sz w:val="24"/>
          <w:highlight w:val="none"/>
        </w:rPr>
      </w:pPr>
      <w:r>
        <w:rPr>
          <w:rFonts w:hint="eastAsia" w:ascii="宋体" w:hAnsi="宋体" w:cs="宋体"/>
          <w:sz w:val="24"/>
          <w:highlight w:val="none"/>
        </w:rPr>
        <w:t>八、凡对本次采购提出询问，请按以下方式联系。</w:t>
      </w:r>
      <w:bookmarkEnd w:id="30"/>
      <w:bookmarkEnd w:id="31"/>
      <w:bookmarkEnd w:id="32"/>
      <w:bookmarkEnd w:id="33"/>
    </w:p>
    <w:p>
      <w:pPr>
        <w:adjustRightInd w:val="0"/>
        <w:snapToGrid w:val="0"/>
        <w:spacing w:line="360" w:lineRule="auto"/>
        <w:ind w:firstLine="480" w:firstLineChars="200"/>
        <w:outlineLvl w:val="1"/>
        <w:rPr>
          <w:rFonts w:ascii="宋体" w:hAnsi="宋体" w:cs="仿宋"/>
          <w:kern w:val="0"/>
          <w:sz w:val="24"/>
          <w:highlight w:val="none"/>
        </w:rPr>
      </w:pPr>
      <w:bookmarkStart w:id="34" w:name="_Toc3884"/>
      <w:bookmarkStart w:id="35" w:name="_Toc22829"/>
      <w:bookmarkStart w:id="36" w:name="_Toc29512"/>
      <w:bookmarkStart w:id="37" w:name="_Toc16267"/>
      <w:bookmarkStart w:id="38" w:name="_Toc13508"/>
      <w:r>
        <w:rPr>
          <w:rFonts w:hint="eastAsia" w:ascii="宋体" w:hAnsi="宋体" w:cs="仿宋"/>
          <w:kern w:val="0"/>
          <w:sz w:val="24"/>
          <w:highlight w:val="none"/>
        </w:rPr>
        <w:t>1.采购人信息</w:t>
      </w:r>
      <w:bookmarkEnd w:id="34"/>
      <w:bookmarkEnd w:id="35"/>
      <w:bookmarkEnd w:id="36"/>
      <w:bookmarkEnd w:id="37"/>
      <w:bookmarkEnd w:id="38"/>
    </w:p>
    <w:p>
      <w:pPr>
        <w:adjustRightInd w:val="0"/>
        <w:snapToGrid w:val="0"/>
        <w:spacing w:line="360" w:lineRule="auto"/>
        <w:ind w:firstLine="480" w:firstLineChars="200"/>
        <w:rPr>
          <w:rFonts w:ascii="宋体" w:hAnsi="宋体" w:cs="仿宋"/>
          <w:kern w:val="0"/>
          <w:sz w:val="24"/>
          <w:highlight w:val="none"/>
        </w:rPr>
      </w:pPr>
      <w:r>
        <w:rPr>
          <w:rFonts w:hint="eastAsia" w:ascii="宋体" w:hAnsi="宋体" w:cs="仿宋"/>
          <w:kern w:val="0"/>
          <w:sz w:val="24"/>
          <w:highlight w:val="none"/>
        </w:rPr>
        <w:t>名称：山东大学齐鲁医院（青岛）</w:t>
      </w:r>
    </w:p>
    <w:p>
      <w:pPr>
        <w:adjustRightInd w:val="0"/>
        <w:snapToGrid w:val="0"/>
        <w:spacing w:line="360" w:lineRule="auto"/>
        <w:ind w:firstLine="480" w:firstLineChars="200"/>
        <w:rPr>
          <w:rFonts w:ascii="宋体" w:hAnsi="宋体" w:cs="仿宋"/>
          <w:kern w:val="0"/>
          <w:sz w:val="24"/>
          <w:highlight w:val="none"/>
        </w:rPr>
      </w:pPr>
      <w:r>
        <w:rPr>
          <w:rFonts w:hint="eastAsia" w:ascii="宋体" w:hAnsi="宋体" w:cs="仿宋"/>
          <w:kern w:val="0"/>
          <w:sz w:val="24"/>
          <w:highlight w:val="none"/>
        </w:rPr>
        <w:t>地址：青岛市市北区合肥路758号</w:t>
      </w:r>
    </w:p>
    <w:p>
      <w:pPr>
        <w:adjustRightInd w:val="0"/>
        <w:snapToGrid w:val="0"/>
        <w:spacing w:line="360" w:lineRule="auto"/>
        <w:ind w:firstLine="480" w:firstLineChars="200"/>
        <w:rPr>
          <w:rFonts w:ascii="宋体" w:hAnsi="宋体" w:cs="仿宋"/>
          <w:kern w:val="0"/>
          <w:sz w:val="24"/>
          <w:highlight w:val="none"/>
        </w:rPr>
      </w:pPr>
      <w:r>
        <w:rPr>
          <w:rFonts w:hint="eastAsia" w:ascii="宋体" w:hAnsi="宋体" w:cs="仿宋"/>
          <w:kern w:val="0"/>
          <w:sz w:val="24"/>
          <w:highlight w:val="none"/>
        </w:rPr>
        <w:t>联系人：王老师、刘老师</w:t>
      </w:r>
    </w:p>
    <w:p>
      <w:pPr>
        <w:adjustRightInd w:val="0"/>
        <w:snapToGrid w:val="0"/>
        <w:spacing w:line="360" w:lineRule="auto"/>
        <w:ind w:firstLine="480" w:firstLineChars="200"/>
        <w:rPr>
          <w:rFonts w:ascii="宋体" w:hAnsi="宋体" w:cs="仿宋"/>
          <w:kern w:val="0"/>
          <w:sz w:val="24"/>
          <w:highlight w:val="none"/>
        </w:rPr>
      </w:pPr>
      <w:r>
        <w:rPr>
          <w:rFonts w:hint="eastAsia" w:ascii="宋体" w:hAnsi="宋体" w:cs="仿宋"/>
          <w:kern w:val="0"/>
          <w:sz w:val="24"/>
          <w:highlight w:val="none"/>
        </w:rPr>
        <w:t>联系方式：0532-66850507、0532-66850508</w:t>
      </w:r>
    </w:p>
    <w:p>
      <w:pPr>
        <w:adjustRightInd w:val="0"/>
        <w:snapToGrid w:val="0"/>
        <w:spacing w:line="360" w:lineRule="auto"/>
        <w:ind w:firstLine="480" w:firstLineChars="200"/>
        <w:outlineLvl w:val="1"/>
        <w:rPr>
          <w:rFonts w:ascii="宋体" w:hAnsi="宋体" w:cs="仿宋"/>
          <w:kern w:val="0"/>
          <w:sz w:val="24"/>
          <w:highlight w:val="none"/>
        </w:rPr>
      </w:pPr>
      <w:bookmarkStart w:id="39" w:name="_Toc27310"/>
      <w:bookmarkStart w:id="40" w:name="_Toc32012"/>
      <w:bookmarkStart w:id="41" w:name="_Toc13625"/>
      <w:bookmarkStart w:id="42" w:name="_Toc9403"/>
      <w:bookmarkStart w:id="43" w:name="_Toc14680"/>
      <w:r>
        <w:rPr>
          <w:rFonts w:hint="eastAsia" w:ascii="宋体" w:hAnsi="宋体" w:cs="仿宋"/>
          <w:kern w:val="0"/>
          <w:sz w:val="24"/>
          <w:highlight w:val="none"/>
        </w:rPr>
        <w:t>2.采购代理机构信息</w:t>
      </w:r>
      <w:bookmarkEnd w:id="39"/>
      <w:bookmarkEnd w:id="40"/>
      <w:bookmarkEnd w:id="41"/>
      <w:bookmarkEnd w:id="42"/>
      <w:bookmarkEnd w:id="43"/>
    </w:p>
    <w:p>
      <w:pPr>
        <w:adjustRightInd w:val="0"/>
        <w:snapToGrid w:val="0"/>
        <w:spacing w:line="360" w:lineRule="auto"/>
        <w:ind w:firstLine="480" w:firstLineChars="200"/>
        <w:rPr>
          <w:rFonts w:ascii="宋体" w:hAnsi="宋体" w:cs="仿宋"/>
          <w:kern w:val="0"/>
          <w:sz w:val="24"/>
          <w:highlight w:val="none"/>
        </w:rPr>
      </w:pPr>
      <w:r>
        <w:rPr>
          <w:rFonts w:hint="eastAsia" w:ascii="宋体" w:hAnsi="宋体" w:cs="仿宋"/>
          <w:kern w:val="0"/>
          <w:sz w:val="24"/>
          <w:highlight w:val="none"/>
        </w:rPr>
        <w:t>名称：海逸恒安项目管理有限公司</w:t>
      </w:r>
    </w:p>
    <w:p>
      <w:pPr>
        <w:adjustRightInd w:val="0"/>
        <w:snapToGrid w:val="0"/>
        <w:spacing w:line="360" w:lineRule="auto"/>
        <w:ind w:firstLine="480" w:firstLineChars="200"/>
        <w:rPr>
          <w:rFonts w:ascii="宋体" w:hAnsi="宋体" w:cs="仿宋"/>
          <w:kern w:val="0"/>
          <w:sz w:val="24"/>
          <w:highlight w:val="none"/>
        </w:rPr>
      </w:pPr>
      <w:r>
        <w:rPr>
          <w:rFonts w:hint="eastAsia" w:ascii="宋体" w:hAnsi="宋体" w:cs="仿宋"/>
          <w:kern w:val="0"/>
          <w:sz w:val="24"/>
          <w:highlight w:val="none"/>
        </w:rPr>
        <w:t>地址：青岛市崂山区文岭路5号白金广场C座202室</w:t>
      </w:r>
    </w:p>
    <w:p>
      <w:pPr>
        <w:adjustRightInd w:val="0"/>
        <w:snapToGrid w:val="0"/>
        <w:spacing w:line="360" w:lineRule="auto"/>
        <w:ind w:firstLine="480" w:firstLineChars="200"/>
        <w:rPr>
          <w:rFonts w:ascii="宋体" w:hAnsi="宋体" w:cs="仿宋"/>
          <w:kern w:val="0"/>
          <w:sz w:val="24"/>
          <w:highlight w:val="none"/>
        </w:rPr>
      </w:pPr>
      <w:r>
        <w:rPr>
          <w:rFonts w:hint="eastAsia" w:ascii="宋体" w:hAnsi="宋体" w:cs="仿宋"/>
          <w:kern w:val="0"/>
          <w:sz w:val="24"/>
          <w:highlight w:val="none"/>
        </w:rPr>
        <w:t>联系人：逄昊晟</w:t>
      </w:r>
    </w:p>
    <w:p>
      <w:pPr>
        <w:adjustRightInd w:val="0"/>
        <w:snapToGrid w:val="0"/>
        <w:spacing w:line="360" w:lineRule="auto"/>
        <w:ind w:firstLine="480" w:firstLineChars="200"/>
        <w:rPr>
          <w:rFonts w:ascii="宋体" w:hAnsi="宋体" w:cs="仿宋"/>
          <w:kern w:val="0"/>
          <w:sz w:val="24"/>
          <w:highlight w:val="none"/>
        </w:rPr>
      </w:pPr>
      <w:r>
        <w:rPr>
          <w:rFonts w:hint="eastAsia" w:ascii="宋体" w:hAnsi="宋体" w:cs="仿宋"/>
          <w:kern w:val="0"/>
          <w:sz w:val="24"/>
          <w:highlight w:val="none"/>
        </w:rPr>
        <w:t>联系方式：0532-85761207</w:t>
      </w:r>
    </w:p>
    <w:p>
      <w:pPr>
        <w:adjustRightInd w:val="0"/>
        <w:snapToGrid w:val="0"/>
        <w:spacing w:line="360" w:lineRule="auto"/>
        <w:ind w:firstLine="480" w:firstLineChars="200"/>
        <w:outlineLvl w:val="1"/>
        <w:rPr>
          <w:rFonts w:ascii="宋体" w:hAnsi="宋体" w:cs="仿宋"/>
          <w:kern w:val="0"/>
          <w:sz w:val="24"/>
          <w:highlight w:val="none"/>
        </w:rPr>
      </w:pPr>
      <w:bookmarkStart w:id="44" w:name="_Toc26976"/>
      <w:bookmarkStart w:id="45" w:name="_Toc27437"/>
      <w:bookmarkStart w:id="46" w:name="_Toc8298"/>
      <w:bookmarkStart w:id="47" w:name="_Toc24395"/>
      <w:bookmarkStart w:id="48" w:name="_Toc26817"/>
      <w:r>
        <w:rPr>
          <w:rFonts w:hint="eastAsia" w:ascii="宋体" w:hAnsi="宋体" w:cs="仿宋"/>
          <w:kern w:val="0"/>
          <w:sz w:val="24"/>
          <w:highlight w:val="none"/>
        </w:rPr>
        <w:t>3.项目联系方式</w:t>
      </w:r>
      <w:bookmarkEnd w:id="44"/>
      <w:bookmarkEnd w:id="45"/>
      <w:bookmarkEnd w:id="46"/>
      <w:bookmarkEnd w:id="47"/>
      <w:bookmarkEnd w:id="48"/>
    </w:p>
    <w:p>
      <w:pPr>
        <w:adjustRightInd w:val="0"/>
        <w:snapToGrid w:val="0"/>
        <w:spacing w:line="360" w:lineRule="auto"/>
        <w:ind w:firstLine="480" w:firstLineChars="200"/>
        <w:rPr>
          <w:rFonts w:ascii="宋体" w:hAnsi="宋体" w:cs="仿宋"/>
          <w:kern w:val="0"/>
          <w:sz w:val="24"/>
          <w:highlight w:val="none"/>
        </w:rPr>
      </w:pPr>
      <w:r>
        <w:rPr>
          <w:rFonts w:hint="eastAsia" w:ascii="宋体" w:hAnsi="宋体" w:cs="仿宋"/>
          <w:kern w:val="0"/>
          <w:sz w:val="24"/>
          <w:highlight w:val="none"/>
        </w:rPr>
        <w:t>联系人：逄昊晟</w:t>
      </w:r>
    </w:p>
    <w:p>
      <w:pPr>
        <w:adjustRightInd w:val="0"/>
        <w:snapToGrid w:val="0"/>
        <w:spacing w:line="360" w:lineRule="auto"/>
        <w:ind w:firstLine="480" w:firstLineChars="200"/>
        <w:rPr>
          <w:rFonts w:ascii="宋体" w:hAnsi="宋体" w:cs="仿宋"/>
          <w:kern w:val="0"/>
          <w:sz w:val="24"/>
          <w:highlight w:val="none"/>
        </w:rPr>
      </w:pPr>
      <w:r>
        <w:rPr>
          <w:rFonts w:hint="eastAsia" w:ascii="宋体" w:hAnsi="宋体" w:cs="仿宋"/>
          <w:kern w:val="0"/>
          <w:sz w:val="24"/>
          <w:highlight w:val="none"/>
        </w:rPr>
        <w:t>联系方式：0532-85761207</w:t>
      </w:r>
    </w:p>
    <w:p>
      <w:pPr>
        <w:pStyle w:val="3"/>
        <w:spacing w:before="120" w:after="120" w:line="360" w:lineRule="auto"/>
        <w:jc w:val="center"/>
        <w:rPr>
          <w:rFonts w:ascii="宋体" w:hAnsi="宋体"/>
          <w:kern w:val="2"/>
          <w:sz w:val="32"/>
          <w:highlight w:val="none"/>
        </w:rPr>
      </w:pPr>
      <w:r>
        <w:rPr>
          <w:rFonts w:hint="eastAsia" w:ascii="宋体" w:hAnsi="宋体"/>
          <w:spacing w:val="-10"/>
          <w:sz w:val="24"/>
          <w:highlight w:val="none"/>
        </w:rPr>
        <w:br w:type="page"/>
      </w:r>
      <w:bookmarkStart w:id="49" w:name="_Toc60585206"/>
      <w:bookmarkStart w:id="50" w:name="_Toc3956"/>
      <w:bookmarkStart w:id="51" w:name="_Toc27201"/>
      <w:bookmarkStart w:id="52" w:name="_Toc15633"/>
      <w:bookmarkStart w:id="53" w:name="_Toc3002"/>
      <w:r>
        <w:rPr>
          <w:rFonts w:hint="eastAsia" w:ascii="宋体" w:hAnsi="宋体"/>
          <w:kern w:val="2"/>
          <w:sz w:val="32"/>
          <w:highlight w:val="none"/>
        </w:rPr>
        <w:t>第二章响应人须知</w:t>
      </w:r>
      <w:bookmarkEnd w:id="49"/>
      <w:bookmarkEnd w:id="50"/>
      <w:bookmarkEnd w:id="51"/>
      <w:bookmarkEnd w:id="52"/>
      <w:bookmarkEnd w:id="53"/>
    </w:p>
    <w:p>
      <w:pPr>
        <w:pStyle w:val="3"/>
        <w:spacing w:before="0" w:after="0"/>
        <w:jc w:val="center"/>
        <w:rPr>
          <w:rFonts w:ascii="宋体" w:hAnsi="宋体"/>
          <w:bCs w:val="0"/>
          <w:sz w:val="30"/>
          <w:szCs w:val="30"/>
          <w:highlight w:val="none"/>
        </w:rPr>
      </w:pPr>
      <w:bookmarkStart w:id="54" w:name="_Toc20103"/>
      <w:bookmarkStart w:id="55" w:name="_Toc11138"/>
      <w:bookmarkStart w:id="56" w:name="_Toc16278"/>
      <w:bookmarkStart w:id="57" w:name="_Toc60585207"/>
      <w:bookmarkStart w:id="58" w:name="_Toc5971"/>
      <w:r>
        <w:rPr>
          <w:rFonts w:hint="eastAsia" w:ascii="宋体" w:hAnsi="宋体"/>
          <w:bCs w:val="0"/>
          <w:sz w:val="30"/>
          <w:szCs w:val="30"/>
          <w:highlight w:val="none"/>
        </w:rPr>
        <w:t>响应人须知前附表</w:t>
      </w:r>
      <w:bookmarkEnd w:id="54"/>
      <w:bookmarkEnd w:id="55"/>
      <w:bookmarkEnd w:id="56"/>
      <w:bookmarkEnd w:id="57"/>
      <w:bookmarkEnd w:id="58"/>
    </w:p>
    <w:p>
      <w:pPr>
        <w:spacing w:line="360" w:lineRule="auto"/>
        <w:ind w:firstLine="480" w:firstLineChars="200"/>
        <w:rPr>
          <w:rFonts w:ascii="宋体" w:hAnsi="宋体"/>
          <w:sz w:val="24"/>
          <w:highlight w:val="none"/>
        </w:rPr>
      </w:pPr>
      <w:r>
        <w:rPr>
          <w:rFonts w:hint="eastAsia" w:ascii="宋体" w:hAnsi="宋体"/>
          <w:sz w:val="24"/>
          <w:highlight w:val="none"/>
        </w:rPr>
        <w:t>本表是对“响应人须知”正文的具体补充和修改，如有不一致，以“前附表”为准。</w:t>
      </w:r>
    </w:p>
    <w:tbl>
      <w:tblPr>
        <w:tblStyle w:val="76"/>
        <w:tblW w:w="897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
      <w:tblGrid>
        <w:gridCol w:w="646"/>
        <w:gridCol w:w="832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472" w:hRule="atLeast"/>
          <w:tblHeader/>
          <w:jc w:val="center"/>
        </w:trPr>
        <w:tc>
          <w:tcPr>
            <w:tcW w:w="646" w:type="dxa"/>
            <w:vAlign w:val="center"/>
          </w:tcPr>
          <w:p>
            <w:pPr>
              <w:spacing w:line="360" w:lineRule="auto"/>
              <w:jc w:val="center"/>
              <w:rPr>
                <w:rFonts w:ascii="宋体" w:hAnsi="宋体"/>
                <w:sz w:val="24"/>
                <w:highlight w:val="none"/>
              </w:rPr>
            </w:pPr>
            <w:bookmarkStart w:id="59" w:name="_Toc346372875"/>
            <w:r>
              <w:rPr>
                <w:rFonts w:hint="eastAsia" w:ascii="宋体" w:hAnsi="宋体"/>
                <w:sz w:val="24"/>
                <w:highlight w:val="none"/>
              </w:rPr>
              <w:t>序号</w:t>
            </w:r>
          </w:p>
        </w:tc>
        <w:tc>
          <w:tcPr>
            <w:tcW w:w="8325" w:type="dxa"/>
            <w:vAlign w:val="center"/>
          </w:tcPr>
          <w:p>
            <w:pPr>
              <w:spacing w:line="360" w:lineRule="auto"/>
              <w:jc w:val="center"/>
              <w:rPr>
                <w:rFonts w:ascii="宋体" w:hAnsi="宋体"/>
                <w:b/>
                <w:sz w:val="24"/>
                <w:highlight w:val="none"/>
              </w:rPr>
            </w:pPr>
            <w:r>
              <w:rPr>
                <w:rFonts w:hint="eastAsia" w:ascii="宋体" w:hAnsi="宋体"/>
                <w:b/>
                <w:sz w:val="24"/>
                <w:highlight w:val="none"/>
              </w:rPr>
              <w:t>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478" w:hRule="atLeast"/>
          <w:jc w:val="center"/>
        </w:trPr>
        <w:tc>
          <w:tcPr>
            <w:tcW w:w="8971" w:type="dxa"/>
            <w:gridSpan w:val="2"/>
            <w:vAlign w:val="center"/>
          </w:tcPr>
          <w:p>
            <w:pPr>
              <w:spacing w:line="360" w:lineRule="auto"/>
              <w:ind w:left="-27" w:firstLine="1"/>
              <w:jc w:val="center"/>
              <w:rPr>
                <w:rFonts w:ascii="宋体" w:hAnsi="宋体"/>
                <w:b/>
                <w:sz w:val="24"/>
                <w:highlight w:val="none"/>
              </w:rPr>
            </w:pPr>
            <w:r>
              <w:rPr>
                <w:rFonts w:hint="eastAsia" w:ascii="宋体" w:hAnsi="宋体"/>
                <w:b/>
                <w:sz w:val="24"/>
                <w:highlight w:val="none"/>
              </w:rPr>
              <w:t>说明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05" w:hRule="atLeast"/>
          <w:jc w:val="center"/>
        </w:trPr>
        <w:tc>
          <w:tcPr>
            <w:tcW w:w="646" w:type="dxa"/>
            <w:vAlign w:val="center"/>
          </w:tcPr>
          <w:p>
            <w:pPr>
              <w:spacing w:line="360" w:lineRule="auto"/>
              <w:jc w:val="center"/>
              <w:rPr>
                <w:rFonts w:ascii="宋体" w:hAnsi="宋体"/>
                <w:sz w:val="24"/>
                <w:highlight w:val="none"/>
              </w:rPr>
            </w:pPr>
          </w:p>
        </w:tc>
        <w:tc>
          <w:tcPr>
            <w:tcW w:w="8325" w:type="dxa"/>
            <w:vAlign w:val="center"/>
          </w:tcPr>
          <w:p>
            <w:pPr>
              <w:spacing w:line="360" w:lineRule="auto"/>
              <w:ind w:firstLine="482" w:firstLineChars="200"/>
              <w:rPr>
                <w:rFonts w:ascii="宋体" w:hAnsi="宋体"/>
                <w:b/>
                <w:sz w:val="24"/>
                <w:highlight w:val="none"/>
              </w:rPr>
            </w:pPr>
            <w:r>
              <w:rPr>
                <w:rFonts w:hint="eastAsia" w:ascii="宋体" w:hAnsi="宋体"/>
                <w:b/>
                <w:sz w:val="24"/>
                <w:highlight w:val="none"/>
              </w:rPr>
              <w:t>重要提示：</w:t>
            </w:r>
          </w:p>
          <w:p>
            <w:pPr>
              <w:spacing w:line="360" w:lineRule="auto"/>
              <w:ind w:firstLine="482" w:firstLineChars="200"/>
              <w:rPr>
                <w:rFonts w:ascii="宋体" w:hAnsi="宋体"/>
                <w:b/>
                <w:sz w:val="24"/>
                <w:highlight w:val="none"/>
              </w:rPr>
            </w:pPr>
            <w:r>
              <w:rPr>
                <w:rFonts w:hint="eastAsia" w:ascii="宋体" w:hAnsi="宋体"/>
                <w:b/>
                <w:sz w:val="24"/>
                <w:highlight w:val="none"/>
              </w:rPr>
              <w:t>本采购文件中，标注有“★”的条款，为本采购文件中的实质性条款，且属于在磋商过程中不会变动的内容。响应人未实质性响应的，将按无效报价处理。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445" w:hRule="atLeast"/>
          <w:jc w:val="center"/>
        </w:trPr>
        <w:tc>
          <w:tcPr>
            <w:tcW w:w="646" w:type="dxa"/>
            <w:vAlign w:val="center"/>
          </w:tcPr>
          <w:p>
            <w:pPr>
              <w:spacing w:line="360" w:lineRule="auto"/>
              <w:jc w:val="center"/>
              <w:rPr>
                <w:rFonts w:ascii="宋体" w:hAnsi="宋体"/>
                <w:sz w:val="24"/>
                <w:highlight w:val="none"/>
              </w:rPr>
            </w:pPr>
            <w:r>
              <w:rPr>
                <w:rFonts w:ascii="宋体" w:hAnsi="宋体"/>
                <w:sz w:val="24"/>
                <w:highlight w:val="none"/>
              </w:rPr>
              <w:t>1</w:t>
            </w:r>
          </w:p>
        </w:tc>
        <w:tc>
          <w:tcPr>
            <w:tcW w:w="8325" w:type="dxa"/>
            <w:vAlign w:val="center"/>
          </w:tcPr>
          <w:p>
            <w:pPr>
              <w:adjustRightInd w:val="0"/>
              <w:snapToGrid w:val="0"/>
              <w:spacing w:line="360" w:lineRule="auto"/>
              <w:ind w:firstLine="480" w:firstLineChars="200"/>
              <w:rPr>
                <w:rFonts w:hint="eastAsia" w:ascii="宋体" w:hAnsi="宋体" w:eastAsia="宋体"/>
                <w:sz w:val="24"/>
                <w:highlight w:val="none"/>
                <w:lang w:eastAsia="zh-CN"/>
              </w:rPr>
            </w:pPr>
            <w:r>
              <w:rPr>
                <w:rFonts w:hint="eastAsia" w:ascii="宋体" w:hAnsi="宋体"/>
                <w:sz w:val="24"/>
                <w:highlight w:val="none"/>
              </w:rPr>
              <w:t>项目名称：</w:t>
            </w:r>
            <w:r>
              <w:rPr>
                <w:rFonts w:hint="eastAsia" w:ascii="宋体" w:hAnsi="宋体" w:cs="宋体"/>
                <w:sz w:val="24"/>
                <w:highlight w:val="none"/>
                <w:lang w:eastAsia="zh-CN"/>
              </w:rPr>
              <w:t>山东大学齐鲁医院（青岛）计量检定服务项目（三次）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90" w:hRule="atLeast"/>
          <w:jc w:val="center"/>
        </w:trPr>
        <w:tc>
          <w:tcPr>
            <w:tcW w:w="646" w:type="dxa"/>
            <w:vAlign w:val="center"/>
          </w:tcPr>
          <w:p>
            <w:pPr>
              <w:spacing w:line="360" w:lineRule="auto"/>
              <w:jc w:val="center"/>
              <w:rPr>
                <w:rFonts w:ascii="宋体" w:hAnsi="宋体"/>
                <w:sz w:val="24"/>
                <w:highlight w:val="none"/>
              </w:rPr>
            </w:pPr>
            <w:r>
              <w:rPr>
                <w:rFonts w:ascii="宋体" w:hAnsi="宋体"/>
                <w:sz w:val="24"/>
                <w:highlight w:val="none"/>
              </w:rPr>
              <w:t>2</w:t>
            </w:r>
          </w:p>
        </w:tc>
        <w:tc>
          <w:tcPr>
            <w:tcW w:w="8325" w:type="dxa"/>
            <w:vAlign w:val="center"/>
          </w:tcPr>
          <w:p>
            <w:pPr>
              <w:spacing w:line="360" w:lineRule="auto"/>
              <w:ind w:firstLine="523" w:firstLineChars="218"/>
              <w:rPr>
                <w:rFonts w:hint="default" w:ascii="宋体" w:hAnsi="宋体" w:eastAsia="宋体"/>
                <w:sz w:val="24"/>
                <w:highlight w:val="none"/>
                <w:lang w:val="en-US" w:eastAsia="zh-CN"/>
              </w:rPr>
            </w:pPr>
            <w:r>
              <w:rPr>
                <w:rFonts w:hint="eastAsia" w:ascii="宋体" w:hAnsi="宋体"/>
                <w:sz w:val="24"/>
                <w:highlight w:val="none"/>
              </w:rPr>
              <w:t>项目编号：HYHAQD2023-0004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510" w:hRule="atLeast"/>
          <w:jc w:val="center"/>
        </w:trPr>
        <w:tc>
          <w:tcPr>
            <w:tcW w:w="646" w:type="dxa"/>
            <w:vAlign w:val="center"/>
          </w:tcPr>
          <w:p>
            <w:pPr>
              <w:spacing w:line="360" w:lineRule="auto"/>
              <w:jc w:val="center"/>
              <w:rPr>
                <w:rFonts w:ascii="宋体" w:hAnsi="宋体"/>
                <w:sz w:val="24"/>
                <w:highlight w:val="none"/>
              </w:rPr>
            </w:pPr>
            <w:r>
              <w:rPr>
                <w:rFonts w:ascii="宋体" w:hAnsi="宋体"/>
                <w:sz w:val="24"/>
                <w:highlight w:val="none"/>
              </w:rPr>
              <w:t>3</w:t>
            </w:r>
          </w:p>
        </w:tc>
        <w:tc>
          <w:tcPr>
            <w:tcW w:w="8325" w:type="dxa"/>
            <w:vAlign w:val="center"/>
          </w:tcPr>
          <w:p>
            <w:pPr>
              <w:adjustRightInd w:val="0"/>
              <w:snapToGrid w:val="0"/>
              <w:spacing w:line="360" w:lineRule="auto"/>
              <w:ind w:firstLine="480" w:firstLineChars="200"/>
              <w:rPr>
                <w:rFonts w:ascii="宋体" w:hAnsi="宋体" w:cs="仿宋"/>
                <w:kern w:val="0"/>
                <w:sz w:val="24"/>
                <w:highlight w:val="none"/>
              </w:rPr>
            </w:pPr>
            <w:r>
              <w:rPr>
                <w:rFonts w:hint="eastAsia" w:ascii="宋体" w:hAnsi="宋体" w:cs="仿宋"/>
                <w:kern w:val="0"/>
                <w:sz w:val="24"/>
                <w:highlight w:val="none"/>
              </w:rPr>
              <w:t>名称：山东大学齐鲁医院（青岛）</w:t>
            </w:r>
          </w:p>
          <w:p>
            <w:pPr>
              <w:adjustRightInd w:val="0"/>
              <w:snapToGrid w:val="0"/>
              <w:spacing w:line="360" w:lineRule="auto"/>
              <w:ind w:firstLine="480" w:firstLineChars="200"/>
              <w:rPr>
                <w:rFonts w:ascii="宋体" w:hAnsi="宋体" w:cs="仿宋"/>
                <w:kern w:val="0"/>
                <w:sz w:val="24"/>
                <w:highlight w:val="none"/>
              </w:rPr>
            </w:pPr>
            <w:r>
              <w:rPr>
                <w:rFonts w:hint="eastAsia" w:ascii="宋体" w:hAnsi="宋体" w:cs="仿宋"/>
                <w:kern w:val="0"/>
                <w:sz w:val="24"/>
                <w:highlight w:val="none"/>
              </w:rPr>
              <w:t>联系人：王老师、刘老师</w:t>
            </w:r>
          </w:p>
          <w:p>
            <w:pPr>
              <w:adjustRightInd w:val="0"/>
              <w:snapToGrid w:val="0"/>
              <w:spacing w:line="360" w:lineRule="auto"/>
              <w:ind w:firstLine="480" w:firstLineChars="200"/>
              <w:rPr>
                <w:rFonts w:ascii="宋体" w:hAnsi="宋体"/>
                <w:sz w:val="24"/>
                <w:highlight w:val="none"/>
              </w:rPr>
            </w:pPr>
            <w:r>
              <w:rPr>
                <w:rFonts w:hint="eastAsia" w:ascii="宋体" w:hAnsi="宋体" w:cs="仿宋"/>
                <w:kern w:val="0"/>
                <w:sz w:val="24"/>
                <w:highlight w:val="none"/>
              </w:rPr>
              <w:t>联系方式：0532-66850507、0532-66850508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586" w:hRule="atLeast"/>
          <w:jc w:val="center"/>
        </w:trPr>
        <w:tc>
          <w:tcPr>
            <w:tcW w:w="646" w:type="dxa"/>
            <w:vAlign w:val="center"/>
          </w:tcPr>
          <w:p>
            <w:pPr>
              <w:spacing w:line="360" w:lineRule="auto"/>
              <w:jc w:val="center"/>
              <w:rPr>
                <w:rFonts w:ascii="宋体" w:hAnsi="宋体"/>
                <w:sz w:val="24"/>
                <w:highlight w:val="none"/>
              </w:rPr>
            </w:pPr>
            <w:r>
              <w:rPr>
                <w:rFonts w:ascii="宋体" w:hAnsi="宋体"/>
                <w:sz w:val="24"/>
                <w:highlight w:val="none"/>
              </w:rPr>
              <w:t>4</w:t>
            </w:r>
          </w:p>
        </w:tc>
        <w:tc>
          <w:tcPr>
            <w:tcW w:w="8325" w:type="dxa"/>
            <w:vAlign w:val="center"/>
          </w:tcPr>
          <w:p>
            <w:pPr>
              <w:spacing w:line="360" w:lineRule="auto"/>
              <w:ind w:firstLine="523" w:firstLineChars="218"/>
              <w:rPr>
                <w:rFonts w:ascii="宋体" w:hAnsi="宋体"/>
                <w:sz w:val="24"/>
                <w:highlight w:val="none"/>
              </w:rPr>
            </w:pPr>
            <w:r>
              <w:rPr>
                <w:rFonts w:hint="eastAsia" w:ascii="宋体" w:hAnsi="宋体"/>
                <w:sz w:val="24"/>
                <w:highlight w:val="none"/>
              </w:rPr>
              <w:t>代理机构：海逸恒安项目管理有限公司</w:t>
            </w:r>
          </w:p>
          <w:p>
            <w:pPr>
              <w:adjustRightInd w:val="0"/>
              <w:snapToGrid w:val="0"/>
              <w:spacing w:line="360" w:lineRule="auto"/>
              <w:ind w:firstLine="480" w:firstLineChars="200"/>
              <w:rPr>
                <w:rFonts w:ascii="宋体" w:hAnsi="宋体" w:cs="仿宋"/>
                <w:kern w:val="0"/>
                <w:sz w:val="24"/>
                <w:highlight w:val="none"/>
              </w:rPr>
            </w:pPr>
            <w:r>
              <w:rPr>
                <w:rFonts w:hint="eastAsia" w:ascii="宋体" w:hAnsi="宋体" w:cs="仿宋"/>
                <w:kern w:val="0"/>
                <w:sz w:val="24"/>
                <w:highlight w:val="none"/>
              </w:rPr>
              <w:t>联系人：逄昊晟</w:t>
            </w:r>
          </w:p>
          <w:p>
            <w:pPr>
              <w:adjustRightInd w:val="0"/>
              <w:snapToGrid w:val="0"/>
              <w:spacing w:line="360" w:lineRule="auto"/>
              <w:ind w:firstLine="480" w:firstLineChars="200"/>
              <w:rPr>
                <w:rFonts w:ascii="宋体" w:hAnsi="宋体"/>
                <w:sz w:val="24"/>
                <w:highlight w:val="none"/>
              </w:rPr>
            </w:pPr>
            <w:r>
              <w:rPr>
                <w:rFonts w:hint="eastAsia" w:ascii="宋体" w:hAnsi="宋体" w:cs="仿宋"/>
                <w:kern w:val="0"/>
                <w:sz w:val="24"/>
                <w:highlight w:val="none"/>
              </w:rPr>
              <w:t>联系方式：0532-85761207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90" w:hRule="atLeast"/>
          <w:jc w:val="center"/>
        </w:trPr>
        <w:tc>
          <w:tcPr>
            <w:tcW w:w="646" w:type="dxa"/>
            <w:vAlign w:val="center"/>
          </w:tcPr>
          <w:p>
            <w:pPr>
              <w:spacing w:line="360" w:lineRule="auto"/>
              <w:jc w:val="center"/>
              <w:rPr>
                <w:rFonts w:ascii="宋体" w:hAnsi="宋体"/>
                <w:sz w:val="24"/>
                <w:highlight w:val="none"/>
              </w:rPr>
            </w:pPr>
            <w:r>
              <w:rPr>
                <w:rFonts w:ascii="宋体" w:hAnsi="宋体"/>
                <w:sz w:val="24"/>
                <w:highlight w:val="none"/>
              </w:rPr>
              <w:t>5</w:t>
            </w:r>
          </w:p>
        </w:tc>
        <w:tc>
          <w:tcPr>
            <w:tcW w:w="8325" w:type="dxa"/>
            <w:vAlign w:val="center"/>
          </w:tcPr>
          <w:p>
            <w:pPr>
              <w:spacing w:line="360" w:lineRule="auto"/>
              <w:ind w:firstLine="523" w:firstLineChars="218"/>
              <w:rPr>
                <w:rFonts w:ascii="宋体" w:hAnsi="宋体"/>
                <w:sz w:val="24"/>
                <w:highlight w:val="none"/>
              </w:rPr>
            </w:pPr>
            <w:r>
              <w:rPr>
                <w:rFonts w:hint="eastAsia" w:ascii="宋体" w:hAnsi="宋体"/>
                <w:sz w:val="24"/>
                <w:highlight w:val="none"/>
              </w:rPr>
              <w:t>资金来源：自筹资金。</w:t>
            </w:r>
          </w:p>
          <w:p>
            <w:pPr>
              <w:spacing w:line="360" w:lineRule="auto"/>
              <w:ind w:firstLine="523" w:firstLineChars="218"/>
              <w:rPr>
                <w:rFonts w:ascii="宋体" w:hAnsi="宋体"/>
                <w:sz w:val="24"/>
                <w:highlight w:val="none"/>
              </w:rPr>
            </w:pPr>
            <w:r>
              <w:rPr>
                <w:rFonts w:hint="eastAsia" w:ascii="宋体" w:hAnsi="宋体"/>
                <w:sz w:val="24"/>
                <w:highlight w:val="none"/>
              </w:rPr>
              <w:t>预算金额：</w:t>
            </w:r>
            <w:r>
              <w:rPr>
                <w:rFonts w:hint="eastAsia" w:ascii="宋体" w:hAnsi="宋体" w:cs="宋体"/>
                <w:sz w:val="24"/>
                <w:highlight w:val="none"/>
                <w:lang w:val="en-US" w:eastAsia="zh-CN"/>
              </w:rPr>
              <w:t>47</w:t>
            </w:r>
            <w:r>
              <w:rPr>
                <w:rFonts w:hint="eastAsia" w:ascii="宋体" w:hAnsi="宋体" w:cs="宋体"/>
                <w:sz w:val="24"/>
                <w:highlight w:val="none"/>
              </w:rPr>
              <w:t>.00万元</w:t>
            </w:r>
            <w:r>
              <w:rPr>
                <w:rFonts w:hint="eastAsia" w:ascii="宋体" w:hAnsi="宋体" w:cs="宋体"/>
                <w:sz w:val="24"/>
                <w:highlight w:val="none"/>
                <w:lang w:eastAsia="zh-CN"/>
              </w:rPr>
              <w:t>，</w:t>
            </w:r>
            <w:r>
              <w:rPr>
                <w:rFonts w:hint="eastAsia" w:ascii="宋体" w:hAnsi="宋体" w:cs="宋体"/>
                <w:sz w:val="24"/>
                <w:highlight w:val="none"/>
                <w:lang w:val="en-US" w:eastAsia="zh-CN"/>
              </w:rPr>
              <w:t>其中第一包：15.00万元，第二包：32.00万元。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16" w:hRule="atLeast"/>
          <w:jc w:val="center"/>
        </w:trPr>
        <w:tc>
          <w:tcPr>
            <w:tcW w:w="646" w:type="dxa"/>
            <w:vAlign w:val="center"/>
          </w:tcPr>
          <w:p>
            <w:pPr>
              <w:spacing w:line="360" w:lineRule="auto"/>
              <w:jc w:val="center"/>
              <w:rPr>
                <w:rFonts w:ascii="宋体" w:hAnsi="宋体"/>
                <w:sz w:val="24"/>
                <w:highlight w:val="none"/>
              </w:rPr>
            </w:pPr>
            <w:r>
              <w:rPr>
                <w:rFonts w:ascii="宋体" w:hAnsi="宋体"/>
                <w:sz w:val="24"/>
                <w:highlight w:val="none"/>
              </w:rPr>
              <w:t>6</w:t>
            </w:r>
          </w:p>
        </w:tc>
        <w:tc>
          <w:tcPr>
            <w:tcW w:w="8325" w:type="dxa"/>
            <w:vAlign w:val="center"/>
          </w:tcPr>
          <w:p>
            <w:pPr>
              <w:spacing w:line="360" w:lineRule="auto"/>
              <w:ind w:firstLine="525" w:firstLineChars="218"/>
              <w:rPr>
                <w:rFonts w:ascii="宋体" w:hAnsi="宋体"/>
                <w:b/>
                <w:sz w:val="24"/>
                <w:highlight w:val="none"/>
              </w:rPr>
            </w:pPr>
            <w:r>
              <w:rPr>
                <w:rFonts w:hint="eastAsia" w:ascii="宋体" w:hAnsi="宋体"/>
                <w:b/>
                <w:sz w:val="24"/>
                <w:highlight w:val="none"/>
              </w:rPr>
              <w:t>★响应人资格要求：详见本项目采购公告。</w:t>
            </w:r>
          </w:p>
          <w:p>
            <w:pPr>
              <w:autoSpaceDE w:val="0"/>
              <w:autoSpaceDN w:val="0"/>
              <w:adjustRightInd w:val="0"/>
              <w:snapToGrid w:val="0"/>
              <w:spacing w:line="560" w:lineRule="exact"/>
              <w:ind w:firstLine="600" w:firstLineChars="250"/>
              <w:jc w:val="left"/>
              <w:rPr>
                <w:rFonts w:ascii="宋体" w:hAnsi="宋体" w:cs="宋体"/>
                <w:kern w:val="0"/>
                <w:sz w:val="24"/>
                <w:highlight w:val="none"/>
              </w:rPr>
            </w:pPr>
            <w:r>
              <w:rPr>
                <w:rFonts w:hint="eastAsia" w:ascii="宋体" w:hAnsi="宋体" w:cs="宋体"/>
                <w:snapToGrid w:val="0"/>
                <w:kern w:val="0"/>
                <w:sz w:val="24"/>
                <w:highlight w:val="none"/>
              </w:rPr>
              <w:t>响应人应提供能够证明符合资格条件的下列材料：</w:t>
            </w:r>
          </w:p>
          <w:p>
            <w:pPr>
              <w:autoSpaceDE w:val="0"/>
              <w:autoSpaceDN w:val="0"/>
              <w:adjustRightInd w:val="0"/>
              <w:snapToGrid w:val="0"/>
              <w:spacing w:line="560" w:lineRule="exact"/>
              <w:ind w:firstLine="600" w:firstLineChars="250"/>
              <w:jc w:val="left"/>
              <w:rPr>
                <w:rFonts w:ascii="宋体" w:hAnsi="宋体" w:cs="宋体"/>
                <w:kern w:val="0"/>
                <w:sz w:val="24"/>
                <w:highlight w:val="none"/>
              </w:rPr>
            </w:pPr>
            <w:r>
              <w:rPr>
                <w:rFonts w:hint="eastAsia" w:ascii="宋体" w:hAnsi="宋体" w:cs="宋体"/>
                <w:kern w:val="0"/>
                <w:sz w:val="24"/>
                <w:highlight w:val="none"/>
              </w:rPr>
              <w:t>（1）</w:t>
            </w:r>
            <w:r>
              <w:rPr>
                <w:rFonts w:hint="eastAsia" w:ascii="宋体" w:hAnsi="宋体" w:cs="宋体"/>
                <w:kern w:val="0"/>
                <w:sz w:val="24"/>
                <w:highlight w:val="none"/>
              </w:rPr>
              <w:tab/>
            </w:r>
            <w:r>
              <w:rPr>
                <w:rFonts w:hint="eastAsia" w:ascii="宋体" w:hAnsi="宋体" w:cs="宋体"/>
                <w:kern w:val="0"/>
                <w:sz w:val="24"/>
                <w:highlight w:val="none"/>
              </w:rPr>
              <w:t>响应人须在中华人民共和国境内注册，具有独立承担民事责任的能力，向采购人提供货物和服务的法人、其他组织或自然人，须提供相关证明材料，其中：</w:t>
            </w:r>
          </w:p>
          <w:p>
            <w:pPr>
              <w:autoSpaceDE w:val="0"/>
              <w:autoSpaceDN w:val="0"/>
              <w:adjustRightInd w:val="0"/>
              <w:snapToGrid w:val="0"/>
              <w:spacing w:line="560" w:lineRule="exact"/>
              <w:ind w:firstLine="600" w:firstLineChars="250"/>
              <w:jc w:val="left"/>
              <w:rPr>
                <w:rFonts w:ascii="宋体" w:hAnsi="宋体" w:cs="宋体"/>
                <w:kern w:val="0"/>
                <w:sz w:val="24"/>
                <w:highlight w:val="none"/>
              </w:rPr>
            </w:pPr>
            <w:r>
              <w:rPr>
                <w:rFonts w:hint="eastAsia" w:ascii="宋体" w:hAnsi="宋体" w:cs="宋体"/>
                <w:kern w:val="0"/>
                <w:sz w:val="24"/>
                <w:highlight w:val="none"/>
              </w:rPr>
              <w:t>响应人是企业（包括合伙企业）的，应提供其在工商部门注册的有效</w:t>
            </w:r>
            <w:r>
              <w:rPr>
                <w:rFonts w:hint="eastAsia" w:ascii="宋体" w:hAnsi="宋体" w:cs="宋体"/>
                <w:b/>
                <w:bCs/>
                <w:kern w:val="0"/>
                <w:sz w:val="24"/>
                <w:highlight w:val="none"/>
              </w:rPr>
              <w:t>“企业法人营业执照”或“营业执照”的复印件</w:t>
            </w:r>
            <w:r>
              <w:rPr>
                <w:rFonts w:hint="eastAsia" w:ascii="宋体" w:hAnsi="宋体" w:cs="宋体"/>
                <w:kern w:val="0"/>
                <w:sz w:val="24"/>
                <w:highlight w:val="none"/>
              </w:rPr>
              <w:t>；</w:t>
            </w:r>
          </w:p>
          <w:p>
            <w:pPr>
              <w:autoSpaceDE w:val="0"/>
              <w:autoSpaceDN w:val="0"/>
              <w:adjustRightInd w:val="0"/>
              <w:snapToGrid w:val="0"/>
              <w:spacing w:line="560" w:lineRule="exact"/>
              <w:ind w:firstLine="600" w:firstLineChars="250"/>
              <w:jc w:val="left"/>
              <w:rPr>
                <w:rFonts w:ascii="宋体" w:hAnsi="宋体" w:cs="宋体"/>
                <w:kern w:val="0"/>
                <w:sz w:val="24"/>
                <w:highlight w:val="none"/>
              </w:rPr>
            </w:pPr>
            <w:r>
              <w:rPr>
                <w:rFonts w:hint="eastAsia" w:ascii="宋体" w:hAnsi="宋体" w:cs="宋体"/>
                <w:kern w:val="0"/>
                <w:sz w:val="24"/>
                <w:highlight w:val="none"/>
              </w:rPr>
              <w:t>响应人是事业单位的，应提供其有效的“事业单位法人证书”复印件；</w:t>
            </w:r>
          </w:p>
          <w:p>
            <w:pPr>
              <w:autoSpaceDE w:val="0"/>
              <w:autoSpaceDN w:val="0"/>
              <w:adjustRightInd w:val="0"/>
              <w:snapToGrid w:val="0"/>
              <w:spacing w:line="560" w:lineRule="exact"/>
              <w:ind w:firstLine="600" w:firstLineChars="250"/>
              <w:jc w:val="left"/>
              <w:rPr>
                <w:rFonts w:ascii="宋体" w:hAnsi="宋体" w:cs="宋体"/>
                <w:kern w:val="0"/>
                <w:sz w:val="24"/>
                <w:highlight w:val="none"/>
              </w:rPr>
            </w:pPr>
            <w:r>
              <w:rPr>
                <w:rFonts w:hint="eastAsia" w:ascii="宋体" w:hAnsi="宋体" w:cs="宋体"/>
                <w:kern w:val="0"/>
                <w:sz w:val="24"/>
                <w:highlight w:val="none"/>
              </w:rPr>
              <w:t>响应人是非企业专业服务机构的，应提供其有效的执业许可证复印件；</w:t>
            </w:r>
          </w:p>
          <w:p>
            <w:pPr>
              <w:autoSpaceDE w:val="0"/>
              <w:autoSpaceDN w:val="0"/>
              <w:adjustRightInd w:val="0"/>
              <w:snapToGrid w:val="0"/>
              <w:spacing w:line="560" w:lineRule="exact"/>
              <w:ind w:firstLine="600" w:firstLineChars="250"/>
              <w:jc w:val="left"/>
              <w:rPr>
                <w:rFonts w:ascii="宋体" w:hAnsi="宋体" w:cs="宋体"/>
                <w:kern w:val="0"/>
                <w:sz w:val="24"/>
                <w:highlight w:val="none"/>
              </w:rPr>
            </w:pPr>
            <w:r>
              <w:rPr>
                <w:rFonts w:hint="eastAsia" w:ascii="宋体" w:hAnsi="宋体" w:cs="宋体"/>
                <w:kern w:val="0"/>
                <w:sz w:val="24"/>
                <w:highlight w:val="none"/>
              </w:rPr>
              <w:t>响应人是个体工商户的，应提供其有效的“个体工商户营业执照”复印件；</w:t>
            </w:r>
          </w:p>
          <w:p>
            <w:pPr>
              <w:autoSpaceDE w:val="0"/>
              <w:autoSpaceDN w:val="0"/>
              <w:adjustRightInd w:val="0"/>
              <w:snapToGrid w:val="0"/>
              <w:spacing w:line="560" w:lineRule="exact"/>
              <w:ind w:firstLine="600" w:firstLineChars="250"/>
              <w:jc w:val="left"/>
              <w:rPr>
                <w:rFonts w:ascii="宋体" w:hAnsi="宋体" w:cs="宋体"/>
                <w:kern w:val="0"/>
                <w:sz w:val="24"/>
                <w:highlight w:val="none"/>
              </w:rPr>
            </w:pPr>
            <w:r>
              <w:rPr>
                <w:rFonts w:hint="eastAsia" w:ascii="宋体" w:hAnsi="宋体" w:cs="宋体"/>
                <w:kern w:val="0"/>
                <w:sz w:val="24"/>
                <w:highlight w:val="none"/>
              </w:rPr>
              <w:t>响应人是自然人的，应提供其有效的自然人身份证明。</w:t>
            </w:r>
          </w:p>
          <w:p>
            <w:pPr>
              <w:autoSpaceDE w:val="0"/>
              <w:autoSpaceDN w:val="0"/>
              <w:adjustRightInd w:val="0"/>
              <w:snapToGrid w:val="0"/>
              <w:spacing w:line="560" w:lineRule="exact"/>
              <w:ind w:firstLine="600" w:firstLineChars="250"/>
              <w:jc w:val="left"/>
              <w:rPr>
                <w:rFonts w:ascii="宋体" w:hAnsi="宋体" w:cs="宋体"/>
                <w:kern w:val="0"/>
                <w:sz w:val="24"/>
                <w:highlight w:val="none"/>
              </w:rPr>
            </w:pPr>
            <w:r>
              <w:rPr>
                <w:rFonts w:hint="eastAsia" w:ascii="宋体" w:hAnsi="宋体" w:cs="宋体"/>
                <w:kern w:val="0"/>
                <w:sz w:val="24"/>
                <w:highlight w:val="none"/>
              </w:rPr>
              <w:t>（2）</w:t>
            </w:r>
            <w:r>
              <w:rPr>
                <w:rFonts w:hint="eastAsia" w:ascii="宋体" w:hAnsi="宋体" w:cs="宋体"/>
                <w:kern w:val="0"/>
                <w:sz w:val="24"/>
                <w:highlight w:val="none"/>
              </w:rPr>
              <w:tab/>
            </w:r>
            <w:r>
              <w:rPr>
                <w:rFonts w:hint="eastAsia" w:ascii="宋体" w:hAnsi="宋体" w:cs="宋体"/>
                <w:kern w:val="0"/>
                <w:sz w:val="24"/>
                <w:highlight w:val="none"/>
              </w:rPr>
              <w:t>响应人须具有良好的商业信誉和健全的财务会计制度，须提供相关证明材料，其中：</w:t>
            </w:r>
          </w:p>
          <w:p>
            <w:pPr>
              <w:autoSpaceDE w:val="0"/>
              <w:autoSpaceDN w:val="0"/>
              <w:adjustRightInd w:val="0"/>
              <w:snapToGrid w:val="0"/>
              <w:spacing w:line="560" w:lineRule="exact"/>
              <w:ind w:firstLine="600" w:firstLineChars="250"/>
              <w:jc w:val="left"/>
              <w:rPr>
                <w:rFonts w:ascii="宋体" w:hAnsi="宋体" w:cs="宋体"/>
                <w:kern w:val="0"/>
                <w:sz w:val="24"/>
                <w:highlight w:val="none"/>
              </w:rPr>
            </w:pPr>
            <w:r>
              <w:rPr>
                <w:rFonts w:hint="eastAsia" w:ascii="宋体" w:hAnsi="宋体" w:cs="宋体"/>
                <w:kern w:val="0"/>
                <w:sz w:val="24"/>
                <w:highlight w:val="none"/>
              </w:rPr>
              <w:t>响应人是法人的，应提供</w:t>
            </w:r>
            <w:r>
              <w:rPr>
                <w:rFonts w:hint="eastAsia" w:ascii="宋体" w:hAnsi="宋体" w:cs="宋体"/>
                <w:b/>
                <w:bCs/>
                <w:sz w:val="24"/>
                <w:highlight w:val="none"/>
              </w:rPr>
              <w:t>财务会计报表，</w:t>
            </w:r>
            <w:r>
              <w:rPr>
                <w:rFonts w:hint="eastAsia" w:ascii="宋体" w:hAnsi="宋体" w:cs="宋体"/>
                <w:b/>
                <w:bCs/>
                <w:kern w:val="0"/>
                <w:sz w:val="24"/>
                <w:highlight w:val="none"/>
              </w:rPr>
              <w:t>或经审计的财务报告，或其基本开户银行出具的资信证明</w:t>
            </w:r>
            <w:r>
              <w:rPr>
                <w:rFonts w:hint="eastAsia" w:ascii="宋体" w:hAnsi="宋体" w:cs="宋体"/>
                <w:kern w:val="0"/>
                <w:sz w:val="24"/>
                <w:highlight w:val="none"/>
              </w:rPr>
              <w:t>；</w:t>
            </w:r>
          </w:p>
          <w:p>
            <w:pPr>
              <w:autoSpaceDE w:val="0"/>
              <w:autoSpaceDN w:val="0"/>
              <w:adjustRightInd w:val="0"/>
              <w:snapToGrid w:val="0"/>
              <w:spacing w:line="560" w:lineRule="exact"/>
              <w:ind w:firstLine="600" w:firstLineChars="250"/>
              <w:jc w:val="left"/>
              <w:rPr>
                <w:rFonts w:ascii="宋体" w:hAnsi="宋体" w:cs="宋体"/>
                <w:kern w:val="0"/>
                <w:sz w:val="24"/>
                <w:highlight w:val="none"/>
              </w:rPr>
            </w:pPr>
            <w:r>
              <w:rPr>
                <w:rFonts w:hint="eastAsia" w:ascii="宋体" w:hAnsi="宋体" w:cs="宋体"/>
                <w:kern w:val="0"/>
                <w:sz w:val="24"/>
                <w:highlight w:val="none"/>
              </w:rPr>
              <w:t>响应人是其他组织或自然人的，应提供银行出具的资信证明。</w:t>
            </w:r>
          </w:p>
          <w:p>
            <w:pPr>
              <w:autoSpaceDE w:val="0"/>
              <w:autoSpaceDN w:val="0"/>
              <w:adjustRightInd w:val="0"/>
              <w:snapToGrid w:val="0"/>
              <w:spacing w:line="560" w:lineRule="exact"/>
              <w:ind w:firstLine="600" w:firstLineChars="250"/>
              <w:jc w:val="left"/>
              <w:rPr>
                <w:rFonts w:ascii="宋体" w:hAnsi="宋体" w:cs="宋体"/>
                <w:kern w:val="0"/>
                <w:sz w:val="24"/>
                <w:highlight w:val="none"/>
              </w:rPr>
            </w:pPr>
            <w:r>
              <w:rPr>
                <w:rFonts w:hint="eastAsia" w:ascii="宋体" w:hAnsi="宋体" w:cs="宋体"/>
                <w:kern w:val="0"/>
                <w:sz w:val="24"/>
                <w:highlight w:val="none"/>
              </w:rPr>
              <w:t>（3）</w:t>
            </w:r>
            <w:r>
              <w:rPr>
                <w:rFonts w:hint="eastAsia" w:ascii="宋体" w:hAnsi="宋体" w:cs="宋体"/>
                <w:kern w:val="0"/>
                <w:sz w:val="24"/>
                <w:highlight w:val="none"/>
              </w:rPr>
              <w:tab/>
            </w:r>
            <w:r>
              <w:rPr>
                <w:rFonts w:hint="eastAsia" w:ascii="宋体" w:hAnsi="宋体" w:cs="宋体"/>
                <w:kern w:val="0"/>
                <w:sz w:val="24"/>
                <w:highlight w:val="none"/>
              </w:rPr>
              <w:t>响应人须具有履行合同所必需的设备和专业技术能力，须附</w:t>
            </w:r>
            <w:r>
              <w:rPr>
                <w:rFonts w:hint="eastAsia" w:ascii="宋体" w:hAnsi="宋体" w:cs="宋体"/>
                <w:b/>
                <w:bCs/>
                <w:kern w:val="0"/>
                <w:sz w:val="24"/>
                <w:highlight w:val="none"/>
              </w:rPr>
              <w:t>相关证明材料或书面声明</w:t>
            </w:r>
            <w:r>
              <w:rPr>
                <w:rFonts w:hint="eastAsia" w:ascii="宋体" w:hAnsi="宋体" w:cs="宋体"/>
                <w:kern w:val="0"/>
                <w:sz w:val="24"/>
                <w:highlight w:val="none"/>
              </w:rPr>
              <w:t>。</w:t>
            </w:r>
          </w:p>
          <w:p>
            <w:pPr>
              <w:autoSpaceDE w:val="0"/>
              <w:autoSpaceDN w:val="0"/>
              <w:adjustRightInd w:val="0"/>
              <w:snapToGrid w:val="0"/>
              <w:spacing w:line="560" w:lineRule="exact"/>
              <w:ind w:firstLine="600" w:firstLineChars="250"/>
              <w:jc w:val="left"/>
              <w:rPr>
                <w:rFonts w:ascii="宋体" w:hAnsi="宋体" w:cs="宋体"/>
                <w:kern w:val="0"/>
                <w:sz w:val="24"/>
                <w:highlight w:val="none"/>
              </w:rPr>
            </w:pPr>
            <w:r>
              <w:rPr>
                <w:rFonts w:hint="eastAsia" w:ascii="宋体" w:hAnsi="宋体" w:cs="宋体"/>
                <w:kern w:val="0"/>
                <w:sz w:val="24"/>
                <w:highlight w:val="none"/>
              </w:rPr>
              <w:t>（4）</w:t>
            </w:r>
            <w:r>
              <w:rPr>
                <w:rFonts w:hint="eastAsia" w:ascii="宋体" w:hAnsi="宋体" w:cs="宋体"/>
                <w:kern w:val="0"/>
                <w:sz w:val="24"/>
                <w:highlight w:val="none"/>
              </w:rPr>
              <w:tab/>
            </w:r>
            <w:r>
              <w:rPr>
                <w:rFonts w:hint="eastAsia" w:ascii="宋体" w:hAnsi="宋体" w:cs="宋体"/>
                <w:kern w:val="0"/>
                <w:sz w:val="24"/>
                <w:highlight w:val="none"/>
              </w:rPr>
              <w:t>响应人须具有依法缴纳税收和社会保障资金的良好记录，须提供相关证明材料，其中：</w:t>
            </w:r>
          </w:p>
          <w:p>
            <w:pPr>
              <w:autoSpaceDE w:val="0"/>
              <w:autoSpaceDN w:val="0"/>
              <w:adjustRightInd w:val="0"/>
              <w:snapToGrid w:val="0"/>
              <w:spacing w:line="560" w:lineRule="exact"/>
              <w:ind w:firstLine="600" w:firstLineChars="250"/>
              <w:jc w:val="left"/>
              <w:rPr>
                <w:rFonts w:ascii="宋体" w:hAnsi="宋体" w:cs="宋体"/>
                <w:kern w:val="0"/>
                <w:sz w:val="24"/>
                <w:highlight w:val="none"/>
              </w:rPr>
            </w:pPr>
            <w:r>
              <w:rPr>
                <w:rFonts w:hint="eastAsia" w:ascii="宋体" w:hAnsi="宋体" w:cs="宋体"/>
                <w:kern w:val="0"/>
                <w:sz w:val="24"/>
                <w:highlight w:val="none"/>
              </w:rPr>
              <w:t>响应人是法人的，缴纳税收的证明材料，应提供</w:t>
            </w:r>
            <w:r>
              <w:rPr>
                <w:rFonts w:hint="eastAsia" w:ascii="宋体" w:hAnsi="宋体" w:cs="宋体"/>
                <w:b/>
                <w:bCs/>
                <w:kern w:val="0"/>
                <w:sz w:val="24"/>
                <w:highlight w:val="none"/>
              </w:rPr>
              <w:t>磋商前三个月内任意一个月的依法缴税凭据</w:t>
            </w:r>
            <w:r>
              <w:rPr>
                <w:rFonts w:hint="eastAsia" w:ascii="宋体" w:hAnsi="宋体" w:cs="宋体"/>
                <w:kern w:val="0"/>
                <w:sz w:val="24"/>
                <w:highlight w:val="none"/>
              </w:rPr>
              <w:t>；</w:t>
            </w:r>
          </w:p>
          <w:p>
            <w:pPr>
              <w:autoSpaceDE w:val="0"/>
              <w:autoSpaceDN w:val="0"/>
              <w:adjustRightInd w:val="0"/>
              <w:snapToGrid w:val="0"/>
              <w:spacing w:line="560" w:lineRule="exact"/>
              <w:ind w:firstLine="600" w:firstLineChars="250"/>
              <w:jc w:val="left"/>
              <w:rPr>
                <w:rFonts w:ascii="宋体" w:hAnsi="宋体" w:cs="宋体"/>
                <w:kern w:val="0"/>
                <w:sz w:val="24"/>
                <w:highlight w:val="none"/>
              </w:rPr>
            </w:pPr>
            <w:r>
              <w:rPr>
                <w:rFonts w:hint="eastAsia" w:ascii="宋体" w:hAnsi="宋体" w:cs="宋体"/>
                <w:kern w:val="0"/>
                <w:sz w:val="24"/>
                <w:highlight w:val="none"/>
              </w:rPr>
              <w:t>响应人是法人的，缴纳社会保障资金的证明材料，应提供</w:t>
            </w:r>
            <w:r>
              <w:rPr>
                <w:rFonts w:hint="eastAsia" w:ascii="宋体" w:hAnsi="宋体" w:cs="宋体"/>
                <w:b/>
                <w:bCs/>
                <w:kern w:val="0"/>
                <w:sz w:val="24"/>
                <w:highlight w:val="none"/>
              </w:rPr>
              <w:t>磋商前三个月内任意一个月的缴纳社会保险的凭据</w:t>
            </w:r>
            <w:r>
              <w:rPr>
                <w:rFonts w:hint="eastAsia" w:ascii="宋体" w:hAnsi="宋体" w:cs="宋体"/>
                <w:kern w:val="0"/>
                <w:sz w:val="24"/>
                <w:highlight w:val="none"/>
              </w:rPr>
              <w:t>；</w:t>
            </w:r>
          </w:p>
          <w:p>
            <w:pPr>
              <w:autoSpaceDE w:val="0"/>
              <w:autoSpaceDN w:val="0"/>
              <w:adjustRightInd w:val="0"/>
              <w:snapToGrid w:val="0"/>
              <w:spacing w:line="560" w:lineRule="exact"/>
              <w:ind w:firstLine="600" w:firstLineChars="250"/>
              <w:jc w:val="left"/>
              <w:rPr>
                <w:rFonts w:ascii="宋体" w:hAnsi="宋体" w:cs="宋体"/>
                <w:kern w:val="0"/>
                <w:sz w:val="24"/>
                <w:highlight w:val="none"/>
              </w:rPr>
            </w:pPr>
            <w:r>
              <w:rPr>
                <w:rFonts w:hint="eastAsia" w:ascii="宋体" w:hAnsi="宋体" w:cs="宋体"/>
                <w:kern w:val="0"/>
                <w:sz w:val="24"/>
                <w:highlight w:val="none"/>
              </w:rPr>
              <w:t>响应人是其他组织和自然人的，需要提供磋商前三个月内任意一个月的缴纳税收和社会保险的凭据。</w:t>
            </w:r>
          </w:p>
          <w:p>
            <w:pPr>
              <w:autoSpaceDE w:val="0"/>
              <w:autoSpaceDN w:val="0"/>
              <w:adjustRightInd w:val="0"/>
              <w:snapToGrid w:val="0"/>
              <w:spacing w:line="560" w:lineRule="exact"/>
              <w:ind w:firstLine="600" w:firstLineChars="250"/>
              <w:jc w:val="left"/>
              <w:rPr>
                <w:rFonts w:ascii="宋体" w:hAnsi="宋体" w:cs="宋体"/>
                <w:kern w:val="0"/>
                <w:sz w:val="24"/>
                <w:highlight w:val="none"/>
              </w:rPr>
            </w:pPr>
            <w:r>
              <w:rPr>
                <w:rFonts w:hint="eastAsia" w:ascii="宋体" w:hAnsi="宋体" w:cs="宋体"/>
                <w:kern w:val="0"/>
                <w:sz w:val="24"/>
                <w:highlight w:val="none"/>
              </w:rPr>
              <w:t>注：依法免税或不需要缴纳社会保障资金的响应人，须提供相应文件证明其依法免税或不需要缴纳社会保障资金。</w:t>
            </w:r>
          </w:p>
          <w:p>
            <w:pPr>
              <w:autoSpaceDE w:val="0"/>
              <w:autoSpaceDN w:val="0"/>
              <w:adjustRightInd w:val="0"/>
              <w:snapToGrid w:val="0"/>
              <w:spacing w:line="560" w:lineRule="exact"/>
              <w:ind w:firstLine="600" w:firstLineChars="250"/>
              <w:jc w:val="left"/>
              <w:rPr>
                <w:rFonts w:ascii="宋体" w:hAnsi="宋体" w:cs="宋体"/>
                <w:kern w:val="0"/>
                <w:sz w:val="24"/>
                <w:highlight w:val="none"/>
              </w:rPr>
            </w:pPr>
            <w:r>
              <w:rPr>
                <w:rFonts w:hint="eastAsia" w:ascii="宋体" w:hAnsi="宋体" w:cs="宋体"/>
                <w:kern w:val="0"/>
                <w:sz w:val="24"/>
                <w:highlight w:val="none"/>
              </w:rPr>
              <w:t>（</w:t>
            </w:r>
            <w:r>
              <w:rPr>
                <w:rFonts w:ascii="宋体" w:hAnsi="宋体" w:cs="宋体"/>
                <w:kern w:val="0"/>
                <w:sz w:val="24"/>
                <w:highlight w:val="none"/>
              </w:rPr>
              <w:t>5</w:t>
            </w:r>
            <w:r>
              <w:rPr>
                <w:rFonts w:hint="eastAsia" w:ascii="宋体" w:hAnsi="宋体" w:cs="宋体"/>
                <w:kern w:val="0"/>
                <w:sz w:val="24"/>
                <w:highlight w:val="none"/>
              </w:rPr>
              <w:t>）</w:t>
            </w:r>
            <w:r>
              <w:rPr>
                <w:rFonts w:hint="eastAsia" w:ascii="宋体" w:hAnsi="宋体" w:cs="宋体"/>
                <w:kern w:val="0"/>
                <w:sz w:val="24"/>
                <w:highlight w:val="none"/>
              </w:rPr>
              <w:tab/>
            </w:r>
            <w:r>
              <w:rPr>
                <w:rFonts w:hint="eastAsia" w:ascii="宋体" w:hAnsi="宋体" w:cs="宋体"/>
                <w:kern w:val="0"/>
                <w:sz w:val="24"/>
                <w:highlight w:val="none"/>
              </w:rPr>
              <w:t>近三年内（本项目递交响应文件截止日前）响应人在经营活动中没有重大违法记录，其中：</w:t>
            </w:r>
          </w:p>
          <w:p>
            <w:pPr>
              <w:autoSpaceDE w:val="0"/>
              <w:autoSpaceDN w:val="0"/>
              <w:adjustRightInd w:val="0"/>
              <w:snapToGrid w:val="0"/>
              <w:spacing w:line="560" w:lineRule="exact"/>
              <w:ind w:firstLine="600" w:firstLineChars="250"/>
              <w:jc w:val="left"/>
              <w:rPr>
                <w:rFonts w:ascii="宋体" w:hAnsi="宋体" w:cs="宋体"/>
                <w:kern w:val="0"/>
                <w:sz w:val="24"/>
                <w:highlight w:val="none"/>
              </w:rPr>
            </w:pPr>
            <w:r>
              <w:rPr>
                <w:rFonts w:hint="eastAsia" w:ascii="宋体" w:hAnsi="宋体" w:cs="宋体"/>
                <w:kern w:val="0"/>
                <w:sz w:val="24"/>
                <w:highlight w:val="none"/>
              </w:rPr>
              <w:t>重大违法记录是指响应人因违法经营受到刑事处罚或者责令停产停业、吊销许可证或者执照、较大数额罚款等行政处罚；</w:t>
            </w:r>
          </w:p>
          <w:p>
            <w:pPr>
              <w:autoSpaceDE w:val="0"/>
              <w:autoSpaceDN w:val="0"/>
              <w:adjustRightInd w:val="0"/>
              <w:snapToGrid w:val="0"/>
              <w:spacing w:line="560" w:lineRule="exact"/>
              <w:ind w:firstLine="600" w:firstLineChars="250"/>
              <w:jc w:val="left"/>
              <w:rPr>
                <w:rFonts w:ascii="宋体" w:hAnsi="宋体" w:cs="宋体"/>
                <w:kern w:val="0"/>
                <w:sz w:val="24"/>
                <w:highlight w:val="none"/>
              </w:rPr>
            </w:pPr>
            <w:r>
              <w:rPr>
                <w:rFonts w:hint="eastAsia" w:ascii="宋体" w:hAnsi="宋体" w:cs="宋体"/>
                <w:kern w:val="0"/>
                <w:sz w:val="24"/>
                <w:highlight w:val="none"/>
              </w:rPr>
              <w:t>响应人须提供参与本采购活动前三年内在经营活动中没有重大违法记录的</w:t>
            </w:r>
            <w:r>
              <w:rPr>
                <w:rFonts w:hint="eastAsia" w:ascii="宋体" w:hAnsi="宋体" w:cs="宋体"/>
                <w:b/>
                <w:bCs/>
                <w:kern w:val="0"/>
                <w:sz w:val="24"/>
                <w:highlight w:val="none"/>
              </w:rPr>
              <w:t>书面声明</w:t>
            </w:r>
            <w:r>
              <w:rPr>
                <w:rFonts w:hint="eastAsia" w:ascii="宋体" w:hAnsi="宋体" w:cs="宋体"/>
                <w:kern w:val="0"/>
                <w:sz w:val="24"/>
                <w:highlight w:val="none"/>
              </w:rPr>
              <w:t>。</w:t>
            </w:r>
          </w:p>
          <w:p>
            <w:pPr>
              <w:autoSpaceDE w:val="0"/>
              <w:autoSpaceDN w:val="0"/>
              <w:adjustRightInd w:val="0"/>
              <w:snapToGrid w:val="0"/>
              <w:spacing w:line="560" w:lineRule="exact"/>
              <w:ind w:firstLine="600" w:firstLineChars="250"/>
              <w:jc w:val="left"/>
              <w:rPr>
                <w:rFonts w:ascii="宋体" w:hAnsi="宋体" w:cs="宋体"/>
                <w:kern w:val="0"/>
                <w:sz w:val="24"/>
                <w:highlight w:val="none"/>
              </w:rPr>
            </w:pPr>
            <w:r>
              <w:rPr>
                <w:rFonts w:hint="eastAsia" w:ascii="宋体" w:hAnsi="宋体" w:cs="宋体"/>
                <w:kern w:val="0"/>
                <w:sz w:val="24"/>
                <w:highlight w:val="none"/>
              </w:rPr>
              <w:t>（6）</w:t>
            </w:r>
            <w:r>
              <w:rPr>
                <w:rFonts w:hint="eastAsia" w:ascii="宋体" w:hAnsi="宋体" w:cs="宋体"/>
                <w:kern w:val="0"/>
                <w:sz w:val="24"/>
                <w:highlight w:val="none"/>
              </w:rPr>
              <w:tab/>
            </w:r>
            <w:r>
              <w:rPr>
                <w:rFonts w:hint="eastAsia" w:ascii="宋体" w:hAnsi="宋体" w:cs="宋体"/>
                <w:kern w:val="0"/>
                <w:sz w:val="24"/>
                <w:highlight w:val="none"/>
              </w:rPr>
              <w:t>响应人在“信用中国”网站（www.creditchina.gov.cn）、“中国政府采购网”网站（www.ccgp.gov.cn）</w:t>
            </w:r>
            <w:r>
              <w:rPr>
                <w:rFonts w:hint="eastAsia" w:ascii="宋体" w:hAnsi="宋体"/>
                <w:sz w:val="24"/>
                <w:highlight w:val="none"/>
              </w:rPr>
              <w:t>被</w:t>
            </w:r>
            <w:r>
              <w:rPr>
                <w:rFonts w:hint="eastAsia" w:ascii="宋体" w:hAnsi="宋体" w:cs="宋体"/>
                <w:kern w:val="0"/>
                <w:sz w:val="24"/>
                <w:highlight w:val="none"/>
              </w:rPr>
              <w:t>列入失信被执行人、重大税收违法案件当事人名单的、政府采购严重违法失信行为记录名单（处罚期限尚未届满的）的，不得参与本项目的政府采购活动。</w:t>
            </w:r>
          </w:p>
          <w:p>
            <w:pPr>
              <w:autoSpaceDE w:val="0"/>
              <w:autoSpaceDN w:val="0"/>
              <w:adjustRightInd w:val="0"/>
              <w:snapToGrid w:val="0"/>
              <w:spacing w:line="560" w:lineRule="exact"/>
              <w:ind w:firstLine="600" w:firstLineChars="250"/>
              <w:jc w:val="left"/>
              <w:rPr>
                <w:rFonts w:ascii="宋体" w:hAnsi="宋体" w:cs="宋体"/>
                <w:kern w:val="0"/>
                <w:sz w:val="24"/>
                <w:highlight w:val="none"/>
              </w:rPr>
            </w:pPr>
            <w:r>
              <w:rPr>
                <w:rFonts w:hint="eastAsia" w:ascii="宋体" w:hAnsi="宋体" w:cs="宋体"/>
                <w:kern w:val="0"/>
                <w:sz w:val="24"/>
                <w:highlight w:val="none"/>
              </w:rPr>
              <w:t>采购人或采购代理机构将在“信用中国”和“中国政府采购网”网站上对响应人进行查询并打印查询记录，查询截止时点为：递交响应文件截止时间当日。对经查询被“信用中国”网站（www.creditchina.gov.cn）、“中国政府采购网”网站（www.ccgp.gov.cn）</w:t>
            </w:r>
            <w:r>
              <w:rPr>
                <w:rFonts w:hint="eastAsia" w:ascii="宋体" w:hAnsi="宋体"/>
                <w:sz w:val="24"/>
                <w:highlight w:val="none"/>
              </w:rPr>
              <w:t>被</w:t>
            </w:r>
            <w:r>
              <w:rPr>
                <w:rFonts w:hint="eastAsia" w:ascii="宋体" w:hAnsi="宋体" w:cs="宋体"/>
                <w:kern w:val="0"/>
                <w:sz w:val="24"/>
                <w:highlight w:val="none"/>
              </w:rPr>
              <w:t>列入失信被执行人、重大税收违法案件当事人名单的、政府采购严重违法失信行为记录名单（处罚期限尚未届满的）的响应人，其报价将按无效报价处理。</w:t>
            </w:r>
            <w:r>
              <w:rPr>
                <w:rFonts w:hint="eastAsia"/>
                <w:sz w:val="24"/>
                <w:highlight w:val="none"/>
              </w:rPr>
              <w:t>两个以上的自然人、法人或者其他组织组成一个联合体，以一个响应人的身份共同参加政府采购活动的，应当对所有联合体成员进行信用记录查询，联合体成员存在上述不良信用记录的，视同联合体存在不良信用记录，其报价将按无效报价处理。</w:t>
            </w:r>
          </w:p>
          <w:p>
            <w:pPr>
              <w:pStyle w:val="31"/>
              <w:spacing w:after="0" w:line="560" w:lineRule="exact"/>
              <w:ind w:firstLine="600" w:firstLineChars="250"/>
              <w:rPr>
                <w:rFonts w:ascii="宋体" w:hAnsi="宋体"/>
                <w:b/>
                <w:bCs/>
                <w:sz w:val="24"/>
                <w:highlight w:val="none"/>
              </w:rPr>
            </w:pPr>
            <w:r>
              <w:rPr>
                <w:rFonts w:hint="eastAsia" w:ascii="宋体" w:hAnsi="宋体"/>
                <w:bCs/>
                <w:sz w:val="24"/>
                <w:highlight w:val="none"/>
              </w:rPr>
              <w:t>采购人或采购代理机构对于查询到的响应人失信行为事由、处理机关名称及处理日期、处理有效期间等，以屏幕截图的方式保存，并承诺查询记录仅用于本次采购活动过程中，不用于其他目的。</w:t>
            </w:r>
          </w:p>
          <w:p>
            <w:pPr>
              <w:autoSpaceDE w:val="0"/>
              <w:autoSpaceDN w:val="0"/>
              <w:adjustRightInd w:val="0"/>
              <w:snapToGrid w:val="0"/>
              <w:spacing w:line="560" w:lineRule="exact"/>
              <w:ind w:firstLine="600" w:firstLineChars="250"/>
              <w:jc w:val="left"/>
              <w:rPr>
                <w:rFonts w:hint="eastAsia" w:ascii="宋体" w:hAnsi="宋体" w:eastAsia="宋体" w:cs="宋体"/>
                <w:kern w:val="0"/>
                <w:sz w:val="24"/>
                <w:highlight w:val="none"/>
                <w:lang w:eastAsia="zh-CN"/>
              </w:rPr>
            </w:pPr>
            <w:r>
              <w:rPr>
                <w:rFonts w:hint="eastAsia" w:ascii="宋体" w:hAnsi="宋体" w:cs="宋体"/>
                <w:kern w:val="0"/>
                <w:sz w:val="24"/>
                <w:highlight w:val="none"/>
              </w:rPr>
              <w:t>（7）</w:t>
            </w:r>
            <w:r>
              <w:rPr>
                <w:rFonts w:hint="eastAsia" w:ascii="宋体" w:hAnsi="宋体" w:cs="宋体"/>
                <w:b/>
                <w:bCs/>
                <w:kern w:val="0"/>
                <w:sz w:val="24"/>
                <w:highlight w:val="none"/>
              </w:rPr>
              <w:t>中国合格评定国家认可委员会（CNAS）的实验室认可有效证书</w:t>
            </w:r>
            <w:r>
              <w:rPr>
                <w:rFonts w:hint="eastAsia" w:ascii="宋体" w:hAnsi="宋体" w:cs="宋体"/>
                <w:b/>
                <w:bCs/>
                <w:kern w:val="0"/>
                <w:sz w:val="24"/>
                <w:highlight w:val="none"/>
                <w:lang w:val="en-US" w:eastAsia="zh-CN"/>
              </w:rPr>
              <w:t>复印件</w:t>
            </w:r>
            <w:r>
              <w:rPr>
                <w:rFonts w:hint="eastAsia" w:ascii="宋体" w:hAnsi="宋体" w:cs="宋体"/>
                <w:kern w:val="0"/>
                <w:sz w:val="24"/>
                <w:highlight w:val="none"/>
                <w:lang w:eastAsia="zh-CN"/>
              </w:rPr>
              <w:t>。</w:t>
            </w:r>
          </w:p>
          <w:p>
            <w:pPr>
              <w:autoSpaceDE w:val="0"/>
              <w:autoSpaceDN w:val="0"/>
              <w:adjustRightInd w:val="0"/>
              <w:snapToGrid w:val="0"/>
              <w:spacing w:line="560" w:lineRule="exact"/>
              <w:ind w:firstLine="602" w:firstLineChars="250"/>
              <w:jc w:val="left"/>
              <w:rPr>
                <w:rFonts w:ascii="宋体" w:hAnsi="宋体"/>
                <w:b/>
                <w:sz w:val="24"/>
                <w:highlight w:val="none"/>
              </w:rPr>
            </w:pPr>
            <w:r>
              <w:rPr>
                <w:rFonts w:hint="eastAsia" w:ascii="宋体" w:hAnsi="宋体" w:cs="宋体"/>
                <w:b/>
                <w:bCs/>
                <w:kern w:val="0"/>
                <w:sz w:val="24"/>
                <w:highlight w:val="none"/>
              </w:rPr>
              <w:t>注：本项目实行资格后审，响应文件中须包含上述材料（第6条所要求的信用中国等网站查询截图无需提供，由采购代理机构负责查询），资格审查未通过，不进入下一步评审。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16" w:hRule="atLeast"/>
          <w:jc w:val="center"/>
        </w:trPr>
        <w:tc>
          <w:tcPr>
            <w:tcW w:w="8971" w:type="dxa"/>
            <w:gridSpan w:val="2"/>
            <w:vAlign w:val="center"/>
          </w:tcPr>
          <w:p>
            <w:pPr>
              <w:spacing w:line="360" w:lineRule="auto"/>
              <w:jc w:val="center"/>
              <w:rPr>
                <w:rFonts w:ascii="宋体" w:hAnsi="宋体"/>
                <w:b/>
                <w:sz w:val="24"/>
                <w:highlight w:val="none"/>
              </w:rPr>
            </w:pPr>
            <w:r>
              <w:rPr>
                <w:rFonts w:hint="eastAsia" w:ascii="宋体" w:hAnsi="宋体"/>
                <w:b/>
                <w:sz w:val="24"/>
                <w:highlight w:val="none"/>
              </w:rPr>
              <w:t>采购文件的答疑、澄清和修改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16" w:hRule="atLeast"/>
          <w:jc w:val="center"/>
        </w:trPr>
        <w:tc>
          <w:tcPr>
            <w:tcW w:w="646" w:type="dxa"/>
            <w:vAlign w:val="center"/>
          </w:tcPr>
          <w:p>
            <w:pPr>
              <w:spacing w:line="360" w:lineRule="auto"/>
              <w:jc w:val="center"/>
              <w:rPr>
                <w:rFonts w:ascii="宋体" w:hAnsi="宋体"/>
                <w:sz w:val="24"/>
                <w:highlight w:val="none"/>
              </w:rPr>
            </w:pPr>
            <w:r>
              <w:rPr>
                <w:rFonts w:ascii="宋体" w:hAnsi="宋体"/>
                <w:sz w:val="24"/>
                <w:highlight w:val="none"/>
              </w:rPr>
              <w:t>7</w:t>
            </w:r>
          </w:p>
        </w:tc>
        <w:tc>
          <w:tcPr>
            <w:tcW w:w="8325" w:type="dxa"/>
            <w:vAlign w:val="center"/>
          </w:tcPr>
          <w:p>
            <w:pPr>
              <w:snapToGrid w:val="0"/>
              <w:spacing w:line="360" w:lineRule="auto"/>
              <w:ind w:firstLine="480" w:firstLineChars="200"/>
              <w:rPr>
                <w:rFonts w:ascii="宋体" w:hAnsi="宋体"/>
                <w:sz w:val="24"/>
                <w:highlight w:val="none"/>
              </w:rPr>
            </w:pPr>
            <w:r>
              <w:rPr>
                <w:rFonts w:hint="eastAsia" w:ascii="宋体" w:hAnsi="宋体"/>
                <w:sz w:val="24"/>
                <w:highlight w:val="none"/>
              </w:rPr>
              <w:t>提交疑问时间：202</w:t>
            </w:r>
            <w:r>
              <w:rPr>
                <w:rFonts w:hint="eastAsia" w:ascii="宋体" w:hAnsi="宋体"/>
                <w:sz w:val="24"/>
                <w:highlight w:val="none"/>
                <w:lang w:val="en-US" w:eastAsia="zh-CN"/>
              </w:rPr>
              <w:t>3</w:t>
            </w:r>
            <w:r>
              <w:rPr>
                <w:rFonts w:hint="eastAsia" w:ascii="宋体" w:hAnsi="宋体"/>
                <w:sz w:val="24"/>
                <w:highlight w:val="none"/>
              </w:rPr>
              <w:t>年</w:t>
            </w:r>
            <w:r>
              <w:rPr>
                <w:rFonts w:hint="eastAsia" w:ascii="宋体" w:hAnsi="宋体"/>
                <w:sz w:val="24"/>
                <w:highlight w:val="none"/>
                <w:lang w:val="en-US" w:eastAsia="zh-CN"/>
              </w:rPr>
              <w:t>1</w:t>
            </w:r>
            <w:r>
              <w:rPr>
                <w:rFonts w:hint="eastAsia" w:ascii="宋体" w:hAnsi="宋体"/>
                <w:sz w:val="24"/>
                <w:highlight w:val="none"/>
              </w:rPr>
              <w:t>月</w:t>
            </w:r>
            <w:r>
              <w:rPr>
                <w:rFonts w:hint="eastAsia" w:ascii="宋体" w:hAnsi="宋体"/>
                <w:sz w:val="24"/>
                <w:highlight w:val="none"/>
                <w:lang w:val="en-US" w:eastAsia="zh-CN"/>
              </w:rPr>
              <w:t>16</w:t>
            </w:r>
            <w:r>
              <w:rPr>
                <w:rFonts w:hint="eastAsia" w:ascii="宋体" w:hAnsi="宋体"/>
                <w:sz w:val="24"/>
                <w:highlight w:val="none"/>
              </w:rPr>
              <w:t>日17：00前。</w:t>
            </w:r>
          </w:p>
          <w:p>
            <w:pPr>
              <w:snapToGrid w:val="0"/>
              <w:spacing w:line="360" w:lineRule="auto"/>
              <w:ind w:firstLine="480" w:firstLineChars="200"/>
              <w:rPr>
                <w:rFonts w:ascii="宋体" w:hAnsi="宋体"/>
                <w:sz w:val="24"/>
                <w:highlight w:val="none"/>
              </w:rPr>
            </w:pPr>
            <w:r>
              <w:rPr>
                <w:rFonts w:hint="eastAsia" w:ascii="宋体" w:hAnsi="宋体"/>
                <w:sz w:val="24"/>
                <w:highlight w:val="none"/>
              </w:rPr>
              <w:t>提交疑问方式：发电子邮件至panghaosheng@sdhyha.com（</w:t>
            </w:r>
            <w:r>
              <w:rPr>
                <w:rFonts w:ascii="宋体" w:hAnsi="宋体"/>
                <w:sz w:val="24"/>
                <w:highlight w:val="none"/>
              </w:rPr>
              <w:t>word</w:t>
            </w:r>
            <w:r>
              <w:rPr>
                <w:rFonts w:hint="eastAsia" w:ascii="宋体" w:hAnsi="宋体"/>
                <w:sz w:val="24"/>
                <w:highlight w:val="none"/>
              </w:rPr>
              <w:t>文档及加盖公章的扫描件各一份）。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16" w:hRule="atLeast"/>
          <w:jc w:val="center"/>
        </w:trPr>
        <w:tc>
          <w:tcPr>
            <w:tcW w:w="646" w:type="dxa"/>
            <w:vAlign w:val="center"/>
          </w:tcPr>
          <w:p>
            <w:pPr>
              <w:spacing w:line="360" w:lineRule="auto"/>
              <w:jc w:val="center"/>
              <w:rPr>
                <w:rFonts w:ascii="宋体" w:hAnsi="宋体"/>
                <w:sz w:val="24"/>
                <w:highlight w:val="none"/>
              </w:rPr>
            </w:pPr>
            <w:r>
              <w:rPr>
                <w:rFonts w:ascii="宋体" w:hAnsi="宋体"/>
                <w:sz w:val="24"/>
                <w:highlight w:val="none"/>
              </w:rPr>
              <w:t>8</w:t>
            </w:r>
          </w:p>
        </w:tc>
        <w:tc>
          <w:tcPr>
            <w:tcW w:w="8325" w:type="dxa"/>
            <w:vAlign w:val="center"/>
          </w:tcPr>
          <w:p>
            <w:pPr>
              <w:snapToGrid w:val="0"/>
              <w:spacing w:line="360" w:lineRule="auto"/>
              <w:ind w:firstLine="480" w:firstLineChars="200"/>
              <w:rPr>
                <w:rFonts w:ascii="宋体" w:hAnsi="宋体"/>
                <w:sz w:val="24"/>
                <w:highlight w:val="none"/>
              </w:rPr>
            </w:pPr>
            <w:r>
              <w:rPr>
                <w:rFonts w:hint="eastAsia" w:ascii="宋体" w:hAnsi="宋体"/>
                <w:sz w:val="24"/>
                <w:highlight w:val="none"/>
              </w:rPr>
              <w:t>领取答疑文件时间：202</w:t>
            </w:r>
            <w:r>
              <w:rPr>
                <w:rFonts w:hint="eastAsia" w:ascii="宋体" w:hAnsi="宋体"/>
                <w:sz w:val="24"/>
                <w:highlight w:val="none"/>
                <w:lang w:val="en-US" w:eastAsia="zh-CN"/>
              </w:rPr>
              <w:t>3</w:t>
            </w:r>
            <w:r>
              <w:rPr>
                <w:rFonts w:hint="eastAsia" w:ascii="宋体" w:hAnsi="宋体"/>
                <w:sz w:val="24"/>
                <w:highlight w:val="none"/>
              </w:rPr>
              <w:t>年</w:t>
            </w:r>
            <w:r>
              <w:rPr>
                <w:rFonts w:hint="eastAsia" w:ascii="宋体" w:hAnsi="宋体"/>
                <w:sz w:val="24"/>
                <w:highlight w:val="none"/>
                <w:lang w:val="en-US" w:eastAsia="zh-CN"/>
              </w:rPr>
              <w:t>1</w:t>
            </w:r>
            <w:r>
              <w:rPr>
                <w:rFonts w:hint="eastAsia" w:ascii="宋体" w:hAnsi="宋体"/>
                <w:sz w:val="24"/>
                <w:highlight w:val="none"/>
              </w:rPr>
              <w:t>月</w:t>
            </w:r>
            <w:r>
              <w:rPr>
                <w:rFonts w:hint="eastAsia" w:ascii="宋体" w:hAnsi="宋体"/>
                <w:sz w:val="24"/>
                <w:highlight w:val="none"/>
                <w:lang w:val="en-US" w:eastAsia="zh-CN"/>
              </w:rPr>
              <w:t>17</w:t>
            </w:r>
            <w:r>
              <w:rPr>
                <w:rFonts w:hint="eastAsia" w:ascii="宋体" w:hAnsi="宋体"/>
                <w:sz w:val="24"/>
                <w:highlight w:val="none"/>
              </w:rPr>
              <w:t>日17:00前。</w:t>
            </w:r>
          </w:p>
          <w:p>
            <w:pPr>
              <w:snapToGrid w:val="0"/>
              <w:spacing w:line="360" w:lineRule="auto"/>
              <w:ind w:firstLine="480" w:firstLineChars="200"/>
              <w:rPr>
                <w:rFonts w:ascii="宋体" w:hAnsi="宋体"/>
                <w:sz w:val="24"/>
                <w:highlight w:val="none"/>
              </w:rPr>
            </w:pPr>
            <w:r>
              <w:rPr>
                <w:rFonts w:hint="eastAsia" w:ascii="宋体" w:hAnsi="宋体" w:cs="TimesNewRomanPSMT"/>
                <w:snapToGrid w:val="0"/>
                <w:kern w:val="0"/>
                <w:sz w:val="24"/>
                <w:highlight w:val="none"/>
              </w:rPr>
              <w:t>答疑文件为采购文件的组成部分。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16" w:hRule="atLeast"/>
          <w:jc w:val="center"/>
        </w:trPr>
        <w:tc>
          <w:tcPr>
            <w:tcW w:w="646" w:type="dxa"/>
            <w:vAlign w:val="center"/>
          </w:tcPr>
          <w:p>
            <w:pPr>
              <w:spacing w:line="360" w:lineRule="auto"/>
              <w:jc w:val="center"/>
              <w:rPr>
                <w:rFonts w:ascii="宋体" w:hAnsi="宋体"/>
                <w:sz w:val="24"/>
                <w:highlight w:val="none"/>
              </w:rPr>
            </w:pPr>
            <w:r>
              <w:rPr>
                <w:rFonts w:ascii="宋体" w:hAnsi="宋体"/>
                <w:sz w:val="24"/>
                <w:highlight w:val="none"/>
              </w:rPr>
              <w:t>9</w:t>
            </w:r>
          </w:p>
        </w:tc>
        <w:tc>
          <w:tcPr>
            <w:tcW w:w="8325" w:type="dxa"/>
            <w:vAlign w:val="center"/>
          </w:tcPr>
          <w:p>
            <w:pPr>
              <w:snapToGrid w:val="0"/>
              <w:spacing w:line="360" w:lineRule="auto"/>
              <w:ind w:firstLine="480" w:firstLineChars="200"/>
              <w:rPr>
                <w:rFonts w:ascii="宋体" w:hAnsi="宋体"/>
                <w:sz w:val="24"/>
                <w:highlight w:val="none"/>
              </w:rPr>
            </w:pPr>
            <w:r>
              <w:rPr>
                <w:rFonts w:hint="eastAsia" w:ascii="宋体" w:hAnsi="宋体"/>
                <w:sz w:val="24"/>
                <w:highlight w:val="none"/>
              </w:rPr>
              <w:t>“响应文件组成”详见“响应人须知”第9条。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16" w:hRule="atLeast"/>
          <w:jc w:val="center"/>
        </w:trPr>
        <w:tc>
          <w:tcPr>
            <w:tcW w:w="646" w:type="dxa"/>
            <w:vAlign w:val="center"/>
          </w:tcPr>
          <w:p>
            <w:pPr>
              <w:spacing w:line="360" w:lineRule="auto"/>
              <w:jc w:val="center"/>
              <w:rPr>
                <w:rFonts w:ascii="宋体" w:hAnsi="宋体"/>
                <w:sz w:val="24"/>
                <w:highlight w:val="none"/>
              </w:rPr>
            </w:pPr>
            <w:r>
              <w:rPr>
                <w:rFonts w:ascii="宋体" w:hAnsi="宋体"/>
                <w:sz w:val="24"/>
                <w:highlight w:val="none"/>
              </w:rPr>
              <w:t>10</w:t>
            </w:r>
          </w:p>
        </w:tc>
        <w:tc>
          <w:tcPr>
            <w:tcW w:w="8325" w:type="dxa"/>
            <w:vAlign w:val="center"/>
          </w:tcPr>
          <w:p>
            <w:pPr>
              <w:snapToGrid w:val="0"/>
              <w:spacing w:line="360" w:lineRule="auto"/>
              <w:ind w:firstLine="480" w:firstLineChars="200"/>
              <w:rPr>
                <w:rFonts w:ascii="宋体" w:hAnsi="宋体"/>
                <w:sz w:val="24"/>
                <w:highlight w:val="none"/>
              </w:rPr>
            </w:pPr>
            <w:r>
              <w:rPr>
                <w:rFonts w:hint="eastAsia" w:ascii="宋体" w:hAnsi="宋体"/>
                <w:sz w:val="24"/>
                <w:highlight w:val="none"/>
              </w:rPr>
              <w:t>“报价”详见“响应人须知”第10条。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16" w:hRule="atLeast"/>
          <w:jc w:val="center"/>
        </w:trPr>
        <w:tc>
          <w:tcPr>
            <w:tcW w:w="646" w:type="dxa"/>
            <w:vAlign w:val="center"/>
          </w:tcPr>
          <w:p>
            <w:pPr>
              <w:spacing w:line="360" w:lineRule="auto"/>
              <w:jc w:val="center"/>
              <w:rPr>
                <w:rFonts w:ascii="宋体" w:hAnsi="宋体"/>
                <w:sz w:val="24"/>
                <w:highlight w:val="none"/>
              </w:rPr>
            </w:pPr>
            <w:r>
              <w:rPr>
                <w:rFonts w:hint="eastAsia" w:ascii="宋体" w:hAnsi="宋体"/>
                <w:sz w:val="24"/>
                <w:highlight w:val="none"/>
              </w:rPr>
              <w:t>11</w:t>
            </w:r>
          </w:p>
        </w:tc>
        <w:tc>
          <w:tcPr>
            <w:tcW w:w="8325" w:type="dxa"/>
            <w:vAlign w:val="center"/>
          </w:tcPr>
          <w:p>
            <w:pPr>
              <w:spacing w:line="360" w:lineRule="auto"/>
              <w:ind w:firstLine="480" w:firstLineChars="200"/>
              <w:rPr>
                <w:rFonts w:ascii="宋体" w:hAnsi="宋体"/>
                <w:sz w:val="24"/>
                <w:highlight w:val="none"/>
              </w:rPr>
            </w:pPr>
            <w:r>
              <w:rPr>
                <w:rFonts w:hint="eastAsia" w:ascii="宋体" w:hAnsi="宋体"/>
                <w:sz w:val="24"/>
                <w:highlight w:val="none"/>
              </w:rPr>
              <w:t>是否允许递交备选报价方案：不允许。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16" w:hRule="atLeast"/>
          <w:jc w:val="center"/>
        </w:trPr>
        <w:tc>
          <w:tcPr>
            <w:tcW w:w="646" w:type="dxa"/>
            <w:vAlign w:val="center"/>
          </w:tcPr>
          <w:p>
            <w:pPr>
              <w:spacing w:line="360" w:lineRule="auto"/>
              <w:jc w:val="center"/>
              <w:rPr>
                <w:rFonts w:ascii="宋体" w:hAnsi="宋体"/>
                <w:sz w:val="24"/>
                <w:highlight w:val="none"/>
              </w:rPr>
            </w:pPr>
            <w:r>
              <w:rPr>
                <w:rFonts w:hint="eastAsia" w:ascii="宋体" w:hAnsi="宋体"/>
                <w:sz w:val="24"/>
                <w:highlight w:val="none"/>
              </w:rPr>
              <w:t>12</w:t>
            </w:r>
          </w:p>
        </w:tc>
        <w:tc>
          <w:tcPr>
            <w:tcW w:w="8325" w:type="dxa"/>
            <w:vAlign w:val="center"/>
          </w:tcPr>
          <w:p>
            <w:pPr>
              <w:spacing w:line="360" w:lineRule="auto"/>
              <w:ind w:firstLine="480" w:firstLineChars="200"/>
              <w:rPr>
                <w:rFonts w:ascii="宋体" w:hAnsi="宋体"/>
                <w:sz w:val="24"/>
                <w:highlight w:val="none"/>
              </w:rPr>
            </w:pPr>
            <w:r>
              <w:rPr>
                <w:rFonts w:hint="eastAsia" w:ascii="宋体" w:hAnsi="宋体"/>
                <w:sz w:val="24"/>
                <w:highlight w:val="none"/>
              </w:rPr>
              <w:t>再次报价：竞争性磋商过程中，初步审查合格的响应人将有再次报价的机会，且再次报价原则上不得高于首次报价。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16" w:hRule="atLeast"/>
          <w:jc w:val="center"/>
        </w:trPr>
        <w:tc>
          <w:tcPr>
            <w:tcW w:w="646" w:type="dxa"/>
            <w:vAlign w:val="center"/>
          </w:tcPr>
          <w:p>
            <w:pPr>
              <w:spacing w:line="360" w:lineRule="auto"/>
              <w:jc w:val="center"/>
              <w:rPr>
                <w:rFonts w:ascii="宋体" w:hAnsi="宋体"/>
                <w:sz w:val="24"/>
                <w:highlight w:val="none"/>
              </w:rPr>
            </w:pPr>
            <w:r>
              <w:rPr>
                <w:rFonts w:hint="eastAsia" w:ascii="宋体" w:hAnsi="宋体"/>
                <w:sz w:val="24"/>
                <w:highlight w:val="none"/>
              </w:rPr>
              <w:t>13</w:t>
            </w:r>
          </w:p>
        </w:tc>
        <w:tc>
          <w:tcPr>
            <w:tcW w:w="8325" w:type="dxa"/>
            <w:vAlign w:val="center"/>
          </w:tcPr>
          <w:p>
            <w:pPr>
              <w:spacing w:line="360" w:lineRule="auto"/>
              <w:ind w:firstLine="480" w:firstLineChars="200"/>
              <w:rPr>
                <w:rFonts w:ascii="宋体" w:hAnsi="宋体"/>
                <w:sz w:val="24"/>
                <w:highlight w:val="none"/>
              </w:rPr>
            </w:pPr>
            <w:r>
              <w:rPr>
                <w:rFonts w:hint="eastAsia" w:ascii="宋体" w:hAnsi="宋体"/>
                <w:sz w:val="24"/>
                <w:highlight w:val="none"/>
              </w:rPr>
              <w:t>最终报价：最终报价前必须告知所有参加磋商的响应人，在规定的时间内提交最终报价，并以最终报价为最终报价。</w:t>
            </w:r>
          </w:p>
          <w:p>
            <w:pPr>
              <w:spacing w:line="360" w:lineRule="auto"/>
              <w:ind w:firstLine="480" w:firstLineChars="200"/>
              <w:rPr>
                <w:rFonts w:ascii="宋体" w:hAnsi="宋体"/>
                <w:sz w:val="24"/>
                <w:highlight w:val="none"/>
              </w:rPr>
            </w:pPr>
            <w:r>
              <w:rPr>
                <w:rFonts w:hint="eastAsia" w:ascii="宋体" w:hAnsi="宋体"/>
                <w:sz w:val="24"/>
                <w:highlight w:val="none"/>
              </w:rPr>
              <w:t>对于未在限时内提交最终报价、退出磋商的响应人，按其前一次报价进行评审。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16" w:hRule="atLeast"/>
          <w:jc w:val="center"/>
        </w:trPr>
        <w:tc>
          <w:tcPr>
            <w:tcW w:w="646" w:type="dxa"/>
            <w:vAlign w:val="center"/>
          </w:tcPr>
          <w:p>
            <w:pPr>
              <w:spacing w:line="360" w:lineRule="auto"/>
              <w:jc w:val="center"/>
              <w:rPr>
                <w:rFonts w:ascii="宋体" w:hAnsi="宋体"/>
                <w:sz w:val="24"/>
                <w:highlight w:val="none"/>
              </w:rPr>
            </w:pPr>
            <w:r>
              <w:rPr>
                <w:rFonts w:ascii="宋体" w:hAnsi="宋体"/>
                <w:sz w:val="24"/>
                <w:highlight w:val="none"/>
              </w:rPr>
              <w:t>1</w:t>
            </w:r>
            <w:r>
              <w:rPr>
                <w:rFonts w:hint="eastAsia" w:ascii="宋体" w:hAnsi="宋体"/>
                <w:sz w:val="24"/>
                <w:highlight w:val="none"/>
              </w:rPr>
              <w:t>4</w:t>
            </w:r>
          </w:p>
        </w:tc>
        <w:tc>
          <w:tcPr>
            <w:tcW w:w="8325" w:type="dxa"/>
            <w:vAlign w:val="center"/>
          </w:tcPr>
          <w:p>
            <w:pPr>
              <w:pStyle w:val="31"/>
              <w:spacing w:after="0" w:line="360" w:lineRule="auto"/>
              <w:ind w:firstLine="600" w:firstLineChars="250"/>
              <w:rPr>
                <w:rFonts w:ascii="宋体" w:hAnsi="宋体"/>
                <w:kern w:val="2"/>
                <w:sz w:val="24"/>
                <w:highlight w:val="none"/>
              </w:rPr>
            </w:pPr>
            <w:r>
              <w:rPr>
                <w:rFonts w:hint="eastAsia" w:ascii="宋体" w:hAnsi="宋体"/>
                <w:kern w:val="2"/>
                <w:sz w:val="24"/>
                <w:highlight w:val="none"/>
              </w:rPr>
              <w:t>响应文件份数：</w:t>
            </w:r>
          </w:p>
          <w:p>
            <w:pPr>
              <w:pStyle w:val="31"/>
              <w:spacing w:after="0" w:line="360" w:lineRule="auto"/>
              <w:ind w:firstLine="600" w:firstLineChars="250"/>
              <w:rPr>
                <w:rFonts w:ascii="宋体" w:hAnsi="宋体"/>
                <w:bCs/>
                <w:kern w:val="2"/>
                <w:sz w:val="24"/>
                <w:highlight w:val="none"/>
              </w:rPr>
            </w:pPr>
            <w:r>
              <w:rPr>
                <w:rFonts w:hint="eastAsia" w:ascii="宋体" w:hAnsi="宋体"/>
                <w:bCs/>
                <w:kern w:val="2"/>
                <w:sz w:val="24"/>
                <w:highlight w:val="none"/>
              </w:rPr>
              <w:t>纸质响应文件</w:t>
            </w:r>
            <w:r>
              <w:rPr>
                <w:rFonts w:hint="eastAsia" w:ascii="宋体" w:hAnsi="宋体"/>
                <w:bCs/>
                <w:kern w:val="2"/>
                <w:sz w:val="24"/>
                <w:highlight w:val="none"/>
                <w:u w:val="single"/>
              </w:rPr>
              <w:t>5</w:t>
            </w:r>
            <w:r>
              <w:rPr>
                <w:rFonts w:hint="eastAsia" w:ascii="宋体" w:hAnsi="宋体"/>
                <w:bCs/>
                <w:kern w:val="2"/>
                <w:sz w:val="24"/>
                <w:highlight w:val="none"/>
              </w:rPr>
              <w:t>份，其中正本</w:t>
            </w:r>
            <w:r>
              <w:rPr>
                <w:rFonts w:hint="eastAsia" w:ascii="宋体" w:hAnsi="宋体"/>
                <w:bCs/>
                <w:kern w:val="2"/>
                <w:sz w:val="24"/>
                <w:highlight w:val="none"/>
                <w:u w:val="single"/>
              </w:rPr>
              <w:t>1</w:t>
            </w:r>
            <w:r>
              <w:rPr>
                <w:rFonts w:hint="eastAsia" w:ascii="宋体" w:hAnsi="宋体"/>
                <w:bCs/>
                <w:kern w:val="2"/>
                <w:sz w:val="24"/>
                <w:highlight w:val="none"/>
              </w:rPr>
              <w:t>份和副本</w:t>
            </w:r>
            <w:r>
              <w:rPr>
                <w:rFonts w:hint="eastAsia" w:ascii="宋体" w:hAnsi="宋体"/>
                <w:bCs/>
                <w:kern w:val="2"/>
                <w:sz w:val="24"/>
                <w:highlight w:val="none"/>
                <w:u w:val="single"/>
              </w:rPr>
              <w:t>4</w:t>
            </w:r>
            <w:r>
              <w:rPr>
                <w:rFonts w:hint="eastAsia" w:ascii="宋体" w:hAnsi="宋体"/>
                <w:bCs/>
                <w:kern w:val="2"/>
                <w:sz w:val="24"/>
                <w:highlight w:val="none"/>
              </w:rPr>
              <w:t>份；</w:t>
            </w:r>
          </w:p>
          <w:p>
            <w:pPr>
              <w:pStyle w:val="31"/>
              <w:spacing w:after="0" w:line="360" w:lineRule="auto"/>
              <w:ind w:firstLine="600" w:firstLineChars="250"/>
              <w:rPr>
                <w:rFonts w:ascii="宋体" w:hAnsi="宋体"/>
                <w:b/>
                <w:kern w:val="2"/>
                <w:sz w:val="24"/>
                <w:highlight w:val="none"/>
              </w:rPr>
            </w:pPr>
            <w:r>
              <w:rPr>
                <w:rFonts w:hint="eastAsia" w:ascii="宋体" w:hAnsi="宋体"/>
                <w:kern w:val="2"/>
                <w:sz w:val="24"/>
                <w:highlight w:val="none"/>
              </w:rPr>
              <w:t>电子版响应文件份数：</w:t>
            </w:r>
            <w:r>
              <w:rPr>
                <w:rFonts w:hint="eastAsia" w:ascii="宋体" w:hAnsi="宋体"/>
                <w:kern w:val="2"/>
                <w:sz w:val="24"/>
                <w:highlight w:val="none"/>
                <w:u w:val="single"/>
              </w:rPr>
              <w:t>1</w:t>
            </w:r>
            <w:r>
              <w:rPr>
                <w:rFonts w:hint="eastAsia" w:ascii="宋体" w:hAnsi="宋体"/>
                <w:kern w:val="2"/>
                <w:sz w:val="24"/>
                <w:highlight w:val="none"/>
              </w:rPr>
              <w:t>份（介质为USB接口的移动存储设备）；电子版内容应包含响应文件的全部商务、报价、技术内容及技术资料，其中有英文资料的还应提供中、英文对照文本。</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16" w:hRule="atLeast"/>
          <w:jc w:val="center"/>
        </w:trPr>
        <w:tc>
          <w:tcPr>
            <w:tcW w:w="646" w:type="dxa"/>
            <w:vAlign w:val="center"/>
          </w:tcPr>
          <w:p>
            <w:pPr>
              <w:spacing w:line="360" w:lineRule="auto"/>
              <w:jc w:val="center"/>
              <w:rPr>
                <w:rFonts w:ascii="宋体" w:hAnsi="宋体"/>
                <w:sz w:val="24"/>
                <w:highlight w:val="none"/>
              </w:rPr>
            </w:pPr>
            <w:r>
              <w:rPr>
                <w:rFonts w:ascii="宋体" w:hAnsi="宋体"/>
                <w:sz w:val="24"/>
                <w:highlight w:val="none"/>
              </w:rPr>
              <w:t>1</w:t>
            </w:r>
            <w:r>
              <w:rPr>
                <w:rFonts w:hint="eastAsia" w:ascii="宋体" w:hAnsi="宋体"/>
                <w:sz w:val="24"/>
                <w:highlight w:val="none"/>
              </w:rPr>
              <w:t>5</w:t>
            </w:r>
          </w:p>
        </w:tc>
        <w:tc>
          <w:tcPr>
            <w:tcW w:w="8325" w:type="dxa"/>
            <w:vAlign w:val="center"/>
          </w:tcPr>
          <w:p>
            <w:pPr>
              <w:spacing w:line="360" w:lineRule="auto"/>
              <w:ind w:firstLine="480" w:firstLineChars="200"/>
              <w:rPr>
                <w:rFonts w:ascii="宋体" w:hAnsi="宋体"/>
                <w:sz w:val="24"/>
                <w:highlight w:val="none"/>
              </w:rPr>
            </w:pPr>
            <w:r>
              <w:rPr>
                <w:rFonts w:hint="eastAsia" w:ascii="宋体" w:hAnsi="宋体"/>
                <w:sz w:val="24"/>
                <w:highlight w:val="none"/>
              </w:rPr>
              <w:t>响应文件密封和标记：</w:t>
            </w:r>
          </w:p>
          <w:p>
            <w:pPr>
              <w:spacing w:line="360" w:lineRule="auto"/>
              <w:ind w:firstLine="480" w:firstLineChars="200"/>
              <w:rPr>
                <w:rFonts w:ascii="宋体" w:hAnsi="宋体"/>
                <w:sz w:val="24"/>
                <w:highlight w:val="none"/>
              </w:rPr>
            </w:pPr>
            <w:r>
              <w:rPr>
                <w:rFonts w:hint="eastAsia" w:ascii="宋体" w:hAnsi="宋体"/>
                <w:sz w:val="24"/>
                <w:highlight w:val="none"/>
              </w:rPr>
              <w:t>响应人应将响应文件正本、副本、电子版及首轮报价一览表密封，并在封面明显处注明以下内容：</w:t>
            </w:r>
          </w:p>
          <w:p>
            <w:pPr>
              <w:spacing w:line="360" w:lineRule="auto"/>
              <w:ind w:firstLine="480" w:firstLineChars="200"/>
              <w:rPr>
                <w:rFonts w:hint="default" w:ascii="宋体" w:hAnsi="宋体" w:eastAsia="宋体"/>
                <w:sz w:val="24"/>
                <w:highlight w:val="none"/>
                <w:lang w:val="en-US" w:eastAsia="zh-CN"/>
              </w:rPr>
            </w:pPr>
            <w:r>
              <w:rPr>
                <w:rFonts w:ascii="宋体" w:hAnsi="宋体"/>
                <w:sz w:val="24"/>
                <w:highlight w:val="none"/>
              </w:rPr>
              <w:t>1</w:t>
            </w:r>
            <w:r>
              <w:rPr>
                <w:rFonts w:hint="eastAsia" w:ascii="宋体" w:hAnsi="宋体"/>
                <w:sz w:val="24"/>
                <w:highlight w:val="none"/>
              </w:rPr>
              <w:t>）项目编号、项目名称</w:t>
            </w:r>
            <w:r>
              <w:rPr>
                <w:rFonts w:hint="eastAsia" w:ascii="宋体" w:hAnsi="宋体"/>
                <w:sz w:val="24"/>
                <w:highlight w:val="none"/>
                <w:lang w:eastAsia="zh-CN"/>
              </w:rPr>
              <w:t>、</w:t>
            </w:r>
            <w:r>
              <w:rPr>
                <w:rFonts w:hint="eastAsia" w:ascii="宋体" w:hAnsi="宋体"/>
                <w:sz w:val="24"/>
                <w:highlight w:val="none"/>
                <w:lang w:val="en-US" w:eastAsia="zh-CN"/>
              </w:rPr>
              <w:t>包号</w:t>
            </w:r>
          </w:p>
          <w:p>
            <w:pPr>
              <w:spacing w:line="360" w:lineRule="auto"/>
              <w:ind w:firstLine="480" w:firstLineChars="200"/>
              <w:rPr>
                <w:rFonts w:ascii="宋体" w:hAnsi="宋体"/>
                <w:sz w:val="24"/>
                <w:highlight w:val="none"/>
              </w:rPr>
            </w:pPr>
            <w:r>
              <w:rPr>
                <w:rFonts w:ascii="宋体" w:hAnsi="宋体"/>
                <w:sz w:val="24"/>
                <w:highlight w:val="none"/>
              </w:rPr>
              <w:t>2</w:t>
            </w:r>
            <w:r>
              <w:rPr>
                <w:rFonts w:hint="eastAsia" w:ascii="宋体" w:hAnsi="宋体"/>
                <w:sz w:val="24"/>
                <w:highlight w:val="none"/>
              </w:rPr>
              <w:t>）正本或副本或电子版或首轮报价一览表</w:t>
            </w:r>
          </w:p>
          <w:p>
            <w:pPr>
              <w:spacing w:line="360" w:lineRule="auto"/>
              <w:ind w:firstLine="480" w:firstLineChars="200"/>
              <w:rPr>
                <w:rFonts w:ascii="宋体" w:hAnsi="宋体"/>
                <w:sz w:val="24"/>
                <w:highlight w:val="none"/>
              </w:rPr>
            </w:pPr>
            <w:r>
              <w:rPr>
                <w:rFonts w:ascii="宋体" w:hAnsi="宋体"/>
                <w:sz w:val="24"/>
                <w:highlight w:val="none"/>
              </w:rPr>
              <w:t>3</w:t>
            </w:r>
            <w:r>
              <w:rPr>
                <w:rFonts w:hint="eastAsia" w:ascii="宋体" w:hAnsi="宋体"/>
                <w:sz w:val="24"/>
                <w:highlight w:val="none"/>
              </w:rPr>
              <w:t>）响应人名称（加盖公章）、地址、邮编、电话、传真</w:t>
            </w:r>
          </w:p>
          <w:p>
            <w:pPr>
              <w:spacing w:line="360" w:lineRule="auto"/>
              <w:ind w:firstLine="480" w:firstLineChars="200"/>
              <w:rPr>
                <w:rFonts w:ascii="宋体" w:hAnsi="宋体"/>
                <w:sz w:val="24"/>
                <w:highlight w:val="none"/>
              </w:rPr>
            </w:pPr>
            <w:r>
              <w:rPr>
                <w:rFonts w:ascii="宋体" w:hAnsi="宋体"/>
                <w:sz w:val="24"/>
                <w:highlight w:val="none"/>
              </w:rPr>
              <w:t>4</w:t>
            </w:r>
            <w:r>
              <w:rPr>
                <w:rFonts w:hint="eastAsia" w:ascii="宋体" w:hAnsi="宋体"/>
                <w:sz w:val="24"/>
                <w:highlight w:val="none"/>
              </w:rPr>
              <w:t>）每一密封件在封口处注明“于XX</w:t>
            </w:r>
            <w:r>
              <w:rPr>
                <w:rFonts w:ascii="宋体" w:hAnsi="宋体"/>
                <w:sz w:val="24"/>
                <w:highlight w:val="none"/>
              </w:rPr>
              <w:t>年</w:t>
            </w:r>
            <w:r>
              <w:rPr>
                <w:rFonts w:hint="eastAsia" w:ascii="宋体" w:hAnsi="宋体"/>
                <w:sz w:val="24"/>
                <w:highlight w:val="none"/>
              </w:rPr>
              <w:t>XX月XX日时之前不准启封”字样。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16" w:hRule="atLeast"/>
          <w:jc w:val="center"/>
        </w:trPr>
        <w:tc>
          <w:tcPr>
            <w:tcW w:w="646" w:type="dxa"/>
            <w:vAlign w:val="center"/>
          </w:tcPr>
          <w:p>
            <w:pPr>
              <w:spacing w:line="360" w:lineRule="auto"/>
              <w:jc w:val="center"/>
              <w:rPr>
                <w:rFonts w:ascii="宋体" w:hAnsi="宋体"/>
                <w:sz w:val="24"/>
                <w:highlight w:val="none"/>
              </w:rPr>
            </w:pPr>
            <w:r>
              <w:rPr>
                <w:rFonts w:ascii="宋体" w:hAnsi="宋体"/>
                <w:sz w:val="24"/>
                <w:highlight w:val="none"/>
              </w:rPr>
              <w:t>1</w:t>
            </w:r>
            <w:r>
              <w:rPr>
                <w:rFonts w:hint="eastAsia" w:ascii="宋体" w:hAnsi="宋体"/>
                <w:sz w:val="24"/>
                <w:highlight w:val="none"/>
              </w:rPr>
              <w:t>6</w:t>
            </w:r>
          </w:p>
        </w:tc>
        <w:tc>
          <w:tcPr>
            <w:tcW w:w="8325" w:type="dxa"/>
            <w:vAlign w:val="center"/>
          </w:tcPr>
          <w:p>
            <w:pPr>
              <w:pStyle w:val="31"/>
              <w:spacing w:after="0" w:line="360" w:lineRule="auto"/>
              <w:ind w:firstLine="602" w:firstLineChars="250"/>
              <w:rPr>
                <w:rFonts w:ascii="宋体" w:hAnsi="宋体"/>
                <w:kern w:val="2"/>
                <w:sz w:val="24"/>
                <w:highlight w:val="none"/>
              </w:rPr>
            </w:pPr>
            <w:r>
              <w:rPr>
                <w:rFonts w:hint="eastAsia" w:ascii="宋体" w:hAnsi="宋体"/>
                <w:b/>
                <w:kern w:val="2"/>
                <w:sz w:val="24"/>
                <w:highlight w:val="none"/>
              </w:rPr>
              <w:t>响应文件的装订</w:t>
            </w:r>
            <w:r>
              <w:rPr>
                <w:rFonts w:hint="eastAsia" w:ascii="宋体" w:hAnsi="宋体"/>
                <w:kern w:val="2"/>
                <w:sz w:val="24"/>
                <w:highlight w:val="none"/>
              </w:rPr>
              <w:t>：</w:t>
            </w:r>
          </w:p>
          <w:p>
            <w:pPr>
              <w:pStyle w:val="31"/>
              <w:spacing w:after="0" w:line="360" w:lineRule="auto"/>
              <w:ind w:firstLine="600" w:firstLineChars="250"/>
              <w:rPr>
                <w:rFonts w:ascii="宋体" w:hAnsi="宋体"/>
                <w:kern w:val="2"/>
                <w:sz w:val="24"/>
                <w:highlight w:val="none"/>
              </w:rPr>
            </w:pPr>
            <w:r>
              <w:rPr>
                <w:rFonts w:hint="eastAsia" w:ascii="宋体" w:hAnsi="宋体"/>
                <w:kern w:val="2"/>
                <w:sz w:val="24"/>
                <w:highlight w:val="none"/>
              </w:rPr>
              <w:t>响应文件（正本、副本）</w:t>
            </w:r>
            <w:r>
              <w:rPr>
                <w:rFonts w:hint="eastAsia" w:ascii="宋体" w:hAnsi="宋体" w:cs="宋体"/>
                <w:sz w:val="24"/>
                <w:highlight w:val="none"/>
              </w:rPr>
              <w:t>应按照响应文件组成的顺序分别胶装成册，并在首页编制“响应文件目录”，响应文件建议双面打印，每页均应标注页码，装订应牢固、不易拆散和换页</w:t>
            </w:r>
            <w:r>
              <w:rPr>
                <w:rFonts w:hint="eastAsia" w:ascii="宋体" w:hAnsi="宋体" w:cs="TimesNewRomanPSMT"/>
                <w:sz w:val="24"/>
                <w:highlight w:val="none"/>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29" w:hRule="atLeast"/>
          <w:jc w:val="center"/>
        </w:trPr>
        <w:tc>
          <w:tcPr>
            <w:tcW w:w="646" w:type="dxa"/>
            <w:vAlign w:val="center"/>
          </w:tcPr>
          <w:p>
            <w:pPr>
              <w:spacing w:line="360" w:lineRule="auto"/>
              <w:jc w:val="center"/>
              <w:rPr>
                <w:rFonts w:ascii="宋体" w:hAnsi="宋体"/>
                <w:sz w:val="24"/>
                <w:highlight w:val="none"/>
              </w:rPr>
            </w:pPr>
            <w:r>
              <w:rPr>
                <w:rFonts w:ascii="宋体" w:hAnsi="宋体"/>
                <w:sz w:val="24"/>
                <w:highlight w:val="none"/>
              </w:rPr>
              <w:t>1</w:t>
            </w:r>
            <w:r>
              <w:rPr>
                <w:rFonts w:hint="eastAsia" w:ascii="宋体" w:hAnsi="宋体"/>
                <w:sz w:val="24"/>
                <w:highlight w:val="none"/>
              </w:rPr>
              <w:t>7</w:t>
            </w:r>
          </w:p>
        </w:tc>
        <w:tc>
          <w:tcPr>
            <w:tcW w:w="8325" w:type="dxa"/>
            <w:vAlign w:val="center"/>
          </w:tcPr>
          <w:p>
            <w:pPr>
              <w:spacing w:line="360" w:lineRule="auto"/>
              <w:ind w:firstLine="525" w:firstLineChars="218"/>
              <w:rPr>
                <w:rFonts w:ascii="宋体" w:hAnsi="宋体"/>
                <w:b/>
                <w:sz w:val="24"/>
                <w:highlight w:val="none"/>
              </w:rPr>
            </w:pPr>
            <w:r>
              <w:rPr>
                <w:rFonts w:hint="eastAsia" w:ascii="宋体" w:hAnsi="宋体"/>
                <w:b/>
                <w:sz w:val="24"/>
                <w:highlight w:val="none"/>
                <w:lang w:val="zh-CN"/>
              </w:rPr>
              <w:t>本项目不收取磋商保证金。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474" w:hRule="atLeast"/>
          <w:jc w:val="center"/>
        </w:trPr>
        <w:tc>
          <w:tcPr>
            <w:tcW w:w="646" w:type="dxa"/>
            <w:vAlign w:val="center"/>
          </w:tcPr>
          <w:p>
            <w:pPr>
              <w:spacing w:line="360" w:lineRule="auto"/>
              <w:jc w:val="center"/>
              <w:rPr>
                <w:rFonts w:ascii="宋体" w:hAnsi="宋体"/>
                <w:sz w:val="24"/>
                <w:highlight w:val="none"/>
              </w:rPr>
            </w:pPr>
            <w:r>
              <w:rPr>
                <w:rFonts w:ascii="宋体" w:hAnsi="宋体"/>
                <w:sz w:val="24"/>
                <w:highlight w:val="none"/>
              </w:rPr>
              <w:t>1</w:t>
            </w:r>
            <w:r>
              <w:rPr>
                <w:rFonts w:hint="eastAsia" w:ascii="宋体" w:hAnsi="宋体"/>
                <w:sz w:val="24"/>
                <w:highlight w:val="none"/>
              </w:rPr>
              <w:t>8</w:t>
            </w:r>
          </w:p>
        </w:tc>
        <w:tc>
          <w:tcPr>
            <w:tcW w:w="8325" w:type="dxa"/>
            <w:vAlign w:val="center"/>
          </w:tcPr>
          <w:p>
            <w:pPr>
              <w:spacing w:line="360" w:lineRule="auto"/>
              <w:ind w:firstLine="523" w:firstLineChars="218"/>
              <w:rPr>
                <w:rFonts w:ascii="宋体" w:hAnsi="宋体"/>
                <w:sz w:val="24"/>
                <w:highlight w:val="none"/>
              </w:rPr>
            </w:pPr>
            <w:r>
              <w:rPr>
                <w:rFonts w:hint="eastAsia" w:ascii="宋体" w:hAnsi="宋体"/>
                <w:sz w:val="24"/>
                <w:highlight w:val="none"/>
              </w:rPr>
              <w:t>★报价有效期：自提交响应文件的截止之日起</w:t>
            </w:r>
            <w:r>
              <w:rPr>
                <w:rFonts w:hint="eastAsia" w:ascii="宋体" w:hAnsi="宋体"/>
                <w:sz w:val="24"/>
                <w:highlight w:val="none"/>
                <w:u w:val="single"/>
              </w:rPr>
              <w:t>90</w:t>
            </w:r>
            <w:r>
              <w:rPr>
                <w:rFonts w:hint="eastAsia" w:ascii="宋体" w:hAnsi="宋体"/>
                <w:sz w:val="24"/>
                <w:highlight w:val="none"/>
              </w:rPr>
              <w:t>日历天。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90" w:hRule="atLeast"/>
          <w:jc w:val="center"/>
        </w:trPr>
        <w:tc>
          <w:tcPr>
            <w:tcW w:w="646" w:type="dxa"/>
            <w:vAlign w:val="center"/>
          </w:tcPr>
          <w:p>
            <w:pPr>
              <w:spacing w:line="360" w:lineRule="auto"/>
              <w:jc w:val="center"/>
              <w:rPr>
                <w:rFonts w:ascii="宋体" w:hAnsi="宋体"/>
                <w:sz w:val="24"/>
                <w:highlight w:val="none"/>
              </w:rPr>
            </w:pPr>
            <w:r>
              <w:rPr>
                <w:rFonts w:ascii="宋体" w:hAnsi="宋体"/>
                <w:sz w:val="24"/>
                <w:highlight w:val="none"/>
              </w:rPr>
              <w:t>1</w:t>
            </w:r>
            <w:r>
              <w:rPr>
                <w:rFonts w:hint="eastAsia" w:ascii="宋体" w:hAnsi="宋体"/>
                <w:sz w:val="24"/>
                <w:highlight w:val="none"/>
              </w:rPr>
              <w:t>9</w:t>
            </w:r>
          </w:p>
        </w:tc>
        <w:tc>
          <w:tcPr>
            <w:tcW w:w="8325" w:type="dxa"/>
            <w:vAlign w:val="center"/>
          </w:tcPr>
          <w:p>
            <w:pPr>
              <w:spacing w:line="360" w:lineRule="auto"/>
              <w:ind w:firstLine="523" w:firstLineChars="218"/>
              <w:rPr>
                <w:rFonts w:ascii="宋体" w:hAnsi="宋体"/>
                <w:sz w:val="24"/>
                <w:highlight w:val="none"/>
              </w:rPr>
            </w:pPr>
            <w:r>
              <w:rPr>
                <w:rFonts w:hint="eastAsia" w:ascii="宋体" w:hAnsi="宋体"/>
                <w:sz w:val="24"/>
                <w:highlight w:val="none"/>
              </w:rPr>
              <w:t>响应文件递交截止时间：详见竞争性磋商公告。</w:t>
            </w:r>
          </w:p>
          <w:p>
            <w:pPr>
              <w:spacing w:line="360" w:lineRule="auto"/>
              <w:ind w:firstLine="523" w:firstLineChars="218"/>
              <w:rPr>
                <w:rFonts w:ascii="宋体" w:hAnsi="宋体"/>
                <w:sz w:val="24"/>
                <w:highlight w:val="none"/>
              </w:rPr>
            </w:pPr>
            <w:r>
              <w:rPr>
                <w:rFonts w:hint="eastAsia" w:ascii="宋体" w:hAnsi="宋体"/>
                <w:sz w:val="24"/>
                <w:highlight w:val="none"/>
              </w:rPr>
              <w:t>响应文件递交地点：详见竞争性磋商公告。</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79" w:hRule="atLeast"/>
          <w:jc w:val="center"/>
        </w:trPr>
        <w:tc>
          <w:tcPr>
            <w:tcW w:w="646" w:type="dxa"/>
            <w:vAlign w:val="center"/>
          </w:tcPr>
          <w:p>
            <w:pPr>
              <w:spacing w:line="360" w:lineRule="auto"/>
              <w:jc w:val="center"/>
              <w:rPr>
                <w:rFonts w:ascii="宋体" w:hAnsi="宋体"/>
                <w:sz w:val="24"/>
                <w:highlight w:val="none"/>
              </w:rPr>
            </w:pPr>
            <w:r>
              <w:rPr>
                <w:rFonts w:hint="eastAsia" w:ascii="宋体" w:hAnsi="宋体"/>
                <w:sz w:val="24"/>
                <w:highlight w:val="none"/>
              </w:rPr>
              <w:t>20</w:t>
            </w:r>
          </w:p>
        </w:tc>
        <w:tc>
          <w:tcPr>
            <w:tcW w:w="8325" w:type="dxa"/>
            <w:vAlign w:val="center"/>
          </w:tcPr>
          <w:p>
            <w:pPr>
              <w:spacing w:line="360" w:lineRule="auto"/>
              <w:ind w:firstLine="523" w:firstLineChars="218"/>
              <w:rPr>
                <w:rFonts w:ascii="宋体" w:hAnsi="宋体"/>
                <w:sz w:val="24"/>
                <w:highlight w:val="none"/>
              </w:rPr>
            </w:pPr>
            <w:r>
              <w:rPr>
                <w:rFonts w:hint="eastAsia" w:ascii="宋体" w:hAnsi="宋体"/>
                <w:sz w:val="24"/>
                <w:highlight w:val="none"/>
              </w:rPr>
              <w:t>磋商会议仪式时间：同响应文件递交截止时间。</w:t>
            </w:r>
          </w:p>
          <w:p>
            <w:pPr>
              <w:spacing w:line="360" w:lineRule="auto"/>
              <w:ind w:firstLine="523" w:firstLineChars="218"/>
              <w:rPr>
                <w:rFonts w:ascii="宋体" w:hAnsi="宋体"/>
                <w:sz w:val="24"/>
                <w:highlight w:val="none"/>
              </w:rPr>
            </w:pPr>
            <w:r>
              <w:rPr>
                <w:rFonts w:hint="eastAsia" w:ascii="宋体" w:hAnsi="宋体"/>
                <w:sz w:val="24"/>
                <w:highlight w:val="none"/>
              </w:rPr>
              <w:t>磋商会议地点：同响应文件递交地点。</w:t>
            </w:r>
          </w:p>
          <w:p>
            <w:pPr>
              <w:spacing w:line="360" w:lineRule="auto"/>
              <w:ind w:firstLine="523" w:firstLineChars="218"/>
              <w:rPr>
                <w:rFonts w:ascii="宋体" w:hAnsi="宋体"/>
                <w:sz w:val="24"/>
                <w:highlight w:val="none"/>
              </w:rPr>
            </w:pPr>
            <w:r>
              <w:rPr>
                <w:rFonts w:hint="eastAsia" w:ascii="宋体" w:hAnsi="宋体"/>
                <w:sz w:val="24"/>
                <w:highlight w:val="none"/>
              </w:rPr>
              <w:t>是否公开响应文件报价（首轮报价）等主要内容:公开。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498" w:hRule="atLeast"/>
          <w:jc w:val="center"/>
        </w:trPr>
        <w:tc>
          <w:tcPr>
            <w:tcW w:w="646" w:type="dxa"/>
            <w:vAlign w:val="center"/>
          </w:tcPr>
          <w:p>
            <w:pPr>
              <w:spacing w:line="360" w:lineRule="auto"/>
              <w:jc w:val="center"/>
              <w:rPr>
                <w:rFonts w:ascii="宋体" w:hAnsi="宋体"/>
                <w:sz w:val="24"/>
                <w:highlight w:val="none"/>
              </w:rPr>
            </w:pPr>
            <w:r>
              <w:rPr>
                <w:rFonts w:hint="eastAsia" w:ascii="宋体" w:hAnsi="宋体"/>
                <w:sz w:val="24"/>
                <w:highlight w:val="none"/>
              </w:rPr>
              <w:t>21</w:t>
            </w:r>
          </w:p>
        </w:tc>
        <w:tc>
          <w:tcPr>
            <w:tcW w:w="8325" w:type="dxa"/>
            <w:vAlign w:val="center"/>
          </w:tcPr>
          <w:p>
            <w:pPr>
              <w:spacing w:line="360" w:lineRule="auto"/>
              <w:ind w:firstLine="523" w:firstLineChars="218"/>
              <w:jc w:val="left"/>
              <w:rPr>
                <w:rFonts w:hint="eastAsia" w:ascii="宋体" w:hAnsi="宋体" w:cs="Times New Roman"/>
                <w:snapToGrid/>
                <w:kern w:val="2"/>
                <w:sz w:val="24"/>
                <w:highlight w:val="none"/>
              </w:rPr>
            </w:pPr>
            <w:r>
              <w:rPr>
                <w:rFonts w:hint="eastAsia" w:ascii="宋体" w:hAnsi="宋体" w:cs="Times New Roman"/>
                <w:snapToGrid/>
                <w:kern w:val="2"/>
                <w:sz w:val="24"/>
                <w:highlight w:val="none"/>
              </w:rPr>
              <w:t>财务状况年份要求：2021年；</w:t>
            </w:r>
          </w:p>
          <w:p>
            <w:pPr>
              <w:spacing w:after="0" w:line="360" w:lineRule="auto"/>
              <w:ind w:firstLine="523" w:firstLineChars="218"/>
              <w:jc w:val="left"/>
              <w:rPr>
                <w:rFonts w:hint="eastAsia" w:ascii="宋体" w:hAnsi="宋体"/>
                <w:snapToGrid/>
                <w:kern w:val="2"/>
                <w:sz w:val="24"/>
                <w:highlight w:val="none"/>
              </w:rPr>
            </w:pPr>
            <w:r>
              <w:rPr>
                <w:rFonts w:hint="eastAsia" w:ascii="宋体" w:hAnsi="宋体"/>
                <w:snapToGrid/>
                <w:kern w:val="2"/>
                <w:sz w:val="24"/>
                <w:highlight w:val="none"/>
              </w:rPr>
              <w:t>近年:20</w:t>
            </w:r>
            <w:r>
              <w:rPr>
                <w:rFonts w:hint="eastAsia" w:ascii="宋体" w:hAnsi="宋体"/>
                <w:snapToGrid/>
                <w:kern w:val="2"/>
                <w:sz w:val="24"/>
                <w:highlight w:val="none"/>
                <w:lang w:val="en-US" w:eastAsia="zh-CN"/>
              </w:rPr>
              <w:t>20</w:t>
            </w:r>
            <w:r>
              <w:rPr>
                <w:rFonts w:hint="eastAsia" w:ascii="宋体" w:hAnsi="宋体"/>
                <w:snapToGrid/>
                <w:kern w:val="2"/>
                <w:sz w:val="24"/>
                <w:highlight w:val="none"/>
              </w:rPr>
              <w:t>年</w:t>
            </w:r>
            <w:r>
              <w:rPr>
                <w:rFonts w:hint="eastAsia" w:ascii="宋体" w:hAnsi="宋体"/>
                <w:snapToGrid/>
                <w:kern w:val="2"/>
                <w:sz w:val="24"/>
                <w:highlight w:val="none"/>
                <w:lang w:val="en-US" w:eastAsia="zh-CN"/>
              </w:rPr>
              <w:t>1</w:t>
            </w:r>
            <w:r>
              <w:rPr>
                <w:rFonts w:hint="eastAsia" w:ascii="宋体" w:hAnsi="宋体"/>
                <w:snapToGrid/>
                <w:kern w:val="2"/>
                <w:sz w:val="24"/>
                <w:highlight w:val="none"/>
              </w:rPr>
              <w:t>月1日至今；</w:t>
            </w:r>
          </w:p>
          <w:p>
            <w:pPr>
              <w:spacing w:line="360" w:lineRule="auto"/>
              <w:ind w:firstLine="523" w:firstLineChars="218"/>
              <w:rPr>
                <w:rFonts w:ascii="宋体" w:hAnsi="宋体"/>
                <w:sz w:val="24"/>
                <w:highlight w:val="none"/>
              </w:rPr>
            </w:pPr>
            <w:r>
              <w:rPr>
                <w:rFonts w:hint="eastAsia" w:ascii="宋体" w:hAnsi="宋体" w:cs="Times New Roman"/>
                <w:snapToGrid/>
                <w:sz w:val="24"/>
                <w:highlight w:val="none"/>
              </w:rPr>
              <w:t>如成立时间较短的响应人，可提供成立至今的相关证明材料。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508" w:hRule="atLeast"/>
          <w:jc w:val="center"/>
        </w:trPr>
        <w:tc>
          <w:tcPr>
            <w:tcW w:w="646" w:type="dxa"/>
            <w:vAlign w:val="center"/>
          </w:tcPr>
          <w:p>
            <w:pPr>
              <w:spacing w:line="360" w:lineRule="auto"/>
              <w:jc w:val="center"/>
              <w:rPr>
                <w:rFonts w:ascii="宋体" w:hAnsi="宋体"/>
                <w:sz w:val="24"/>
                <w:highlight w:val="none"/>
              </w:rPr>
            </w:pPr>
            <w:r>
              <w:rPr>
                <w:rFonts w:hint="eastAsia" w:ascii="宋体" w:hAnsi="宋体"/>
                <w:sz w:val="24"/>
                <w:highlight w:val="none"/>
              </w:rPr>
              <w:t>22</w:t>
            </w:r>
          </w:p>
        </w:tc>
        <w:tc>
          <w:tcPr>
            <w:tcW w:w="8325" w:type="dxa"/>
            <w:vAlign w:val="center"/>
          </w:tcPr>
          <w:p>
            <w:pPr>
              <w:spacing w:line="360" w:lineRule="auto"/>
              <w:ind w:firstLine="523" w:firstLineChars="218"/>
              <w:rPr>
                <w:rFonts w:ascii="宋体" w:hAnsi="宋体"/>
                <w:sz w:val="24"/>
                <w:highlight w:val="none"/>
              </w:rPr>
            </w:pPr>
            <w:r>
              <w:rPr>
                <w:rFonts w:hint="eastAsia" w:ascii="宋体" w:hAnsi="宋体"/>
                <w:sz w:val="24"/>
                <w:highlight w:val="none"/>
              </w:rPr>
              <w:t>用于评分的证明材料：</w:t>
            </w:r>
          </w:p>
          <w:p>
            <w:pPr>
              <w:spacing w:line="360" w:lineRule="auto"/>
              <w:ind w:firstLine="523" w:firstLineChars="218"/>
              <w:rPr>
                <w:rFonts w:ascii="宋体" w:hAnsi="宋体" w:cs="宋体"/>
                <w:snapToGrid w:val="0"/>
                <w:sz w:val="24"/>
                <w:highlight w:val="none"/>
              </w:rPr>
            </w:pPr>
            <w:r>
              <w:rPr>
                <w:rFonts w:hint="eastAsia" w:ascii="宋体" w:hAnsi="宋体"/>
                <w:sz w:val="24"/>
                <w:highlight w:val="none"/>
              </w:rPr>
              <w:t>响应文件中提供评分办法涉及的业绩合同、信誉或荣誉证书、获奖证书等证明材料</w:t>
            </w:r>
            <w:r>
              <w:rPr>
                <w:rFonts w:hint="eastAsia" w:ascii="宋体" w:hAnsi="宋体" w:cs="宋体"/>
                <w:sz w:val="24"/>
                <w:highlight w:val="none"/>
              </w:rPr>
              <w:t>（详见评分办法）</w:t>
            </w:r>
            <w:r>
              <w:rPr>
                <w:rFonts w:hint="eastAsia" w:ascii="宋体" w:hAnsi="宋体"/>
                <w:sz w:val="24"/>
                <w:highlight w:val="none"/>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483" w:hRule="atLeast"/>
          <w:jc w:val="center"/>
        </w:trPr>
        <w:tc>
          <w:tcPr>
            <w:tcW w:w="646" w:type="dxa"/>
            <w:vAlign w:val="center"/>
          </w:tcPr>
          <w:p>
            <w:pPr>
              <w:spacing w:line="360" w:lineRule="auto"/>
              <w:jc w:val="center"/>
              <w:rPr>
                <w:rFonts w:ascii="宋体" w:hAnsi="宋体"/>
                <w:bCs/>
                <w:sz w:val="24"/>
                <w:highlight w:val="none"/>
              </w:rPr>
            </w:pPr>
            <w:r>
              <w:rPr>
                <w:rFonts w:hint="eastAsia" w:ascii="宋体" w:hAnsi="宋体"/>
                <w:bCs/>
                <w:sz w:val="24"/>
                <w:highlight w:val="none"/>
              </w:rPr>
              <w:t>23</w:t>
            </w:r>
          </w:p>
        </w:tc>
        <w:tc>
          <w:tcPr>
            <w:tcW w:w="8325" w:type="dxa"/>
            <w:vAlign w:val="center"/>
          </w:tcPr>
          <w:p>
            <w:pPr>
              <w:spacing w:line="360" w:lineRule="auto"/>
              <w:ind w:firstLine="523" w:firstLineChars="218"/>
              <w:rPr>
                <w:rFonts w:ascii="宋体" w:hAnsi="宋体"/>
                <w:sz w:val="24"/>
                <w:highlight w:val="none"/>
              </w:rPr>
            </w:pPr>
            <w:r>
              <w:rPr>
                <w:rFonts w:hint="eastAsia" w:ascii="宋体" w:hAnsi="宋体"/>
                <w:sz w:val="24"/>
                <w:highlight w:val="none"/>
              </w:rPr>
              <w:t>磋商小组组成：采购人将根据本项目的特点组建磋商小组，其成员由有关评审专家和采购人代表等3人或以上单数组成，其中评审专家不得少于成员总数的三分之二。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640" w:hRule="atLeast"/>
          <w:jc w:val="center"/>
        </w:trPr>
        <w:tc>
          <w:tcPr>
            <w:tcW w:w="646" w:type="dxa"/>
            <w:vAlign w:val="center"/>
          </w:tcPr>
          <w:p>
            <w:pPr>
              <w:spacing w:line="360" w:lineRule="auto"/>
              <w:jc w:val="center"/>
              <w:rPr>
                <w:rFonts w:ascii="宋体" w:hAnsi="宋体"/>
                <w:bCs/>
                <w:sz w:val="24"/>
                <w:highlight w:val="none"/>
              </w:rPr>
            </w:pPr>
            <w:r>
              <w:rPr>
                <w:rFonts w:ascii="宋体" w:hAnsi="宋体"/>
                <w:bCs/>
                <w:sz w:val="24"/>
                <w:highlight w:val="none"/>
              </w:rPr>
              <w:t>2</w:t>
            </w:r>
            <w:r>
              <w:rPr>
                <w:rFonts w:hint="eastAsia" w:ascii="宋体" w:hAnsi="宋体"/>
                <w:bCs/>
                <w:sz w:val="24"/>
                <w:highlight w:val="none"/>
              </w:rPr>
              <w:t>4</w:t>
            </w:r>
          </w:p>
        </w:tc>
        <w:tc>
          <w:tcPr>
            <w:tcW w:w="8325" w:type="dxa"/>
            <w:vAlign w:val="center"/>
          </w:tcPr>
          <w:p>
            <w:pPr>
              <w:spacing w:line="360" w:lineRule="auto"/>
              <w:ind w:firstLine="523" w:firstLineChars="218"/>
              <w:rPr>
                <w:rFonts w:ascii="宋体" w:hAnsi="宋体"/>
                <w:sz w:val="24"/>
                <w:highlight w:val="none"/>
              </w:rPr>
            </w:pPr>
            <w:r>
              <w:rPr>
                <w:rFonts w:hint="eastAsia" w:ascii="宋体" w:hAnsi="宋体"/>
                <w:sz w:val="24"/>
                <w:highlight w:val="none"/>
              </w:rPr>
              <w:t>评审方法：本次评审采用综合评分法，磋商小组成员根据第三章“评分办法”进行打分，按照得分由高到低顺序对各响应人进行排序，提出书面评审报告，推荐成交候选响应人。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028" w:hRule="atLeast"/>
          <w:jc w:val="center"/>
        </w:trPr>
        <w:tc>
          <w:tcPr>
            <w:tcW w:w="646" w:type="dxa"/>
            <w:vAlign w:val="center"/>
          </w:tcPr>
          <w:p>
            <w:pPr>
              <w:spacing w:line="360" w:lineRule="auto"/>
              <w:jc w:val="center"/>
              <w:rPr>
                <w:rFonts w:ascii="宋体" w:hAnsi="宋体"/>
                <w:bCs/>
                <w:sz w:val="24"/>
                <w:highlight w:val="none"/>
              </w:rPr>
            </w:pPr>
            <w:r>
              <w:rPr>
                <w:rFonts w:hint="eastAsia" w:ascii="宋体" w:hAnsi="宋体"/>
                <w:bCs/>
                <w:sz w:val="24"/>
                <w:highlight w:val="none"/>
              </w:rPr>
              <w:t>25</w:t>
            </w:r>
          </w:p>
        </w:tc>
        <w:tc>
          <w:tcPr>
            <w:tcW w:w="8325" w:type="dxa"/>
            <w:vAlign w:val="center"/>
          </w:tcPr>
          <w:p>
            <w:pPr>
              <w:spacing w:line="360" w:lineRule="auto"/>
              <w:ind w:firstLine="523" w:firstLineChars="218"/>
              <w:rPr>
                <w:rFonts w:ascii="宋体" w:hAnsi="宋体"/>
                <w:sz w:val="24"/>
                <w:highlight w:val="none"/>
              </w:rPr>
            </w:pPr>
            <w:r>
              <w:rPr>
                <w:rFonts w:hint="eastAsia" w:ascii="宋体" w:hAnsi="宋体" w:cs="宋体"/>
                <w:sz w:val="24"/>
                <w:highlight w:val="none"/>
              </w:rPr>
              <w:t>是否授权磋商小组确定成交人：是，磋商小组推荐3名成交候选人，并按照采购人授权确定1名成交人。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203" w:hRule="atLeast"/>
          <w:jc w:val="center"/>
        </w:trPr>
        <w:tc>
          <w:tcPr>
            <w:tcW w:w="646" w:type="dxa"/>
            <w:vAlign w:val="center"/>
          </w:tcPr>
          <w:p>
            <w:pPr>
              <w:spacing w:line="360" w:lineRule="auto"/>
              <w:jc w:val="center"/>
              <w:rPr>
                <w:rFonts w:ascii="宋体" w:hAnsi="宋体"/>
                <w:sz w:val="24"/>
                <w:highlight w:val="none"/>
              </w:rPr>
            </w:pPr>
            <w:r>
              <w:rPr>
                <w:rFonts w:ascii="宋体" w:hAnsi="宋体"/>
                <w:sz w:val="24"/>
                <w:highlight w:val="none"/>
              </w:rPr>
              <w:t>2</w:t>
            </w:r>
            <w:r>
              <w:rPr>
                <w:rFonts w:hint="eastAsia" w:ascii="宋体" w:hAnsi="宋体"/>
                <w:sz w:val="24"/>
                <w:highlight w:val="none"/>
              </w:rPr>
              <w:t>6</w:t>
            </w:r>
          </w:p>
        </w:tc>
        <w:tc>
          <w:tcPr>
            <w:tcW w:w="8325" w:type="dxa"/>
            <w:vAlign w:val="center"/>
          </w:tcPr>
          <w:p>
            <w:pPr>
              <w:spacing w:line="360" w:lineRule="auto"/>
              <w:ind w:firstLine="523" w:firstLineChars="218"/>
              <w:rPr>
                <w:rFonts w:ascii="宋体" w:hAnsi="宋体"/>
                <w:sz w:val="24"/>
                <w:highlight w:val="none"/>
              </w:rPr>
            </w:pPr>
            <w:r>
              <w:rPr>
                <w:rFonts w:hint="eastAsia" w:ascii="宋体" w:hAnsi="宋体"/>
                <w:sz w:val="24"/>
                <w:highlight w:val="none"/>
                <w:lang w:val="zh-CN"/>
              </w:rPr>
              <w:t>成交服务费：成交</w:t>
            </w:r>
            <w:r>
              <w:rPr>
                <w:rFonts w:hint="eastAsia" w:ascii="宋体" w:hAnsi="宋体"/>
                <w:sz w:val="24"/>
                <w:highlight w:val="none"/>
              </w:rPr>
              <w:t>人</w:t>
            </w:r>
            <w:r>
              <w:rPr>
                <w:rFonts w:hint="eastAsia" w:ascii="宋体" w:hAnsi="宋体"/>
                <w:sz w:val="24"/>
                <w:highlight w:val="none"/>
                <w:lang w:val="zh-CN"/>
              </w:rPr>
              <w:t>支付，成交</w:t>
            </w:r>
            <w:r>
              <w:rPr>
                <w:rFonts w:hint="eastAsia" w:ascii="宋体" w:hAnsi="宋体"/>
                <w:sz w:val="24"/>
                <w:highlight w:val="none"/>
              </w:rPr>
              <w:t>人</w:t>
            </w:r>
            <w:r>
              <w:rPr>
                <w:rFonts w:hint="eastAsia" w:ascii="宋体" w:hAnsi="宋体"/>
                <w:sz w:val="24"/>
                <w:highlight w:val="none"/>
                <w:lang w:val="zh-CN"/>
              </w:rPr>
              <w:t>参照《国家发展改革委办公厅关于招标代理服务收费有关问题的通知》（发改办价格[2003]857号）、国家计划员会《招标代理服务收费管理暂行办法》（计价格[2002]1980号）文件规定的“</w:t>
            </w:r>
            <w:r>
              <w:rPr>
                <w:rFonts w:hint="eastAsia" w:ascii="宋体" w:hAnsi="宋体"/>
                <w:sz w:val="24"/>
                <w:highlight w:val="none"/>
              </w:rPr>
              <w:t>服务</w:t>
            </w:r>
            <w:r>
              <w:rPr>
                <w:rFonts w:hint="eastAsia" w:ascii="宋体" w:hAnsi="宋体"/>
                <w:sz w:val="24"/>
                <w:highlight w:val="none"/>
                <w:lang w:val="zh-CN"/>
              </w:rPr>
              <w:t>类”收费标准下浮40%向代理机构交纳。招标代理服务费采用差额定率累进计费方式。注：采购代理服务费收费不足</w:t>
            </w:r>
            <w:r>
              <w:rPr>
                <w:rFonts w:hint="eastAsia" w:ascii="宋体" w:hAnsi="宋体"/>
                <w:sz w:val="24"/>
                <w:highlight w:val="none"/>
              </w:rPr>
              <w:t>3000</w:t>
            </w:r>
            <w:r>
              <w:rPr>
                <w:rFonts w:hint="eastAsia" w:ascii="宋体" w:hAnsi="宋体"/>
                <w:sz w:val="24"/>
                <w:highlight w:val="none"/>
                <w:lang w:val="zh-CN"/>
              </w:rPr>
              <w:t>元的按照</w:t>
            </w:r>
            <w:r>
              <w:rPr>
                <w:rFonts w:hint="eastAsia" w:ascii="宋体" w:hAnsi="宋体"/>
                <w:sz w:val="24"/>
                <w:highlight w:val="none"/>
              </w:rPr>
              <w:t>3</w:t>
            </w:r>
            <w:r>
              <w:rPr>
                <w:rFonts w:hint="eastAsia" w:ascii="宋体" w:hAnsi="宋体"/>
                <w:sz w:val="24"/>
                <w:highlight w:val="none"/>
                <w:lang w:val="zh-CN"/>
              </w:rPr>
              <w:t>000元收取。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90" w:hRule="atLeast"/>
          <w:jc w:val="center"/>
        </w:trPr>
        <w:tc>
          <w:tcPr>
            <w:tcW w:w="8971" w:type="dxa"/>
            <w:gridSpan w:val="2"/>
            <w:vAlign w:val="center"/>
          </w:tcPr>
          <w:p>
            <w:pPr>
              <w:spacing w:line="360" w:lineRule="auto"/>
              <w:jc w:val="center"/>
              <w:rPr>
                <w:rFonts w:ascii="宋体" w:hAnsi="宋体"/>
                <w:b/>
                <w:sz w:val="24"/>
                <w:highlight w:val="none"/>
              </w:rPr>
            </w:pPr>
            <w:r>
              <w:rPr>
                <w:rFonts w:hint="eastAsia" w:ascii="宋体" w:hAnsi="宋体"/>
                <w:b/>
                <w:sz w:val="24"/>
                <w:highlight w:val="none"/>
              </w:rPr>
              <w:t>其他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29" w:hRule="atLeast"/>
          <w:jc w:val="center"/>
        </w:trPr>
        <w:tc>
          <w:tcPr>
            <w:tcW w:w="646" w:type="dxa"/>
            <w:vAlign w:val="center"/>
          </w:tcPr>
          <w:p>
            <w:pPr>
              <w:spacing w:line="360" w:lineRule="auto"/>
              <w:jc w:val="center"/>
              <w:rPr>
                <w:rFonts w:ascii="宋体" w:hAnsi="宋体"/>
                <w:sz w:val="24"/>
                <w:highlight w:val="none"/>
              </w:rPr>
            </w:pPr>
            <w:r>
              <w:rPr>
                <w:rFonts w:ascii="宋体" w:hAnsi="宋体"/>
                <w:sz w:val="24"/>
                <w:highlight w:val="none"/>
              </w:rPr>
              <w:t>2</w:t>
            </w:r>
            <w:r>
              <w:rPr>
                <w:rFonts w:hint="eastAsia" w:ascii="宋体" w:hAnsi="宋体"/>
                <w:sz w:val="24"/>
                <w:highlight w:val="none"/>
              </w:rPr>
              <w:t>7</w:t>
            </w:r>
          </w:p>
        </w:tc>
        <w:tc>
          <w:tcPr>
            <w:tcW w:w="8325" w:type="dxa"/>
            <w:vAlign w:val="center"/>
          </w:tcPr>
          <w:p>
            <w:pPr>
              <w:spacing w:line="360" w:lineRule="auto"/>
              <w:ind w:firstLine="523" w:firstLineChars="218"/>
              <w:rPr>
                <w:rFonts w:ascii="宋体" w:hAnsi="宋体"/>
                <w:sz w:val="24"/>
                <w:highlight w:val="none"/>
              </w:rPr>
            </w:pPr>
            <w:r>
              <w:rPr>
                <w:rFonts w:hint="eastAsia" w:ascii="宋体" w:hAnsi="宋体"/>
                <w:sz w:val="24"/>
                <w:highlight w:val="none"/>
              </w:rPr>
              <w:t>服务期：</w:t>
            </w:r>
            <w:r>
              <w:rPr>
                <w:rFonts w:hint="eastAsia" w:ascii="宋体" w:hAnsi="宋体"/>
                <w:sz w:val="24"/>
                <w:highlight w:val="none"/>
                <w:lang w:val="en-US" w:eastAsia="zh-CN"/>
              </w:rPr>
              <w:t>服务期3年，采用“1+1+1”签署方式，由采购人每年对成交人进行服务满意度考核，根据考核结果决定是否继续履行该合同。如成交人在采购人的考核中不达标，则采购人可以解除该合同。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79" w:hRule="atLeast"/>
          <w:jc w:val="center"/>
        </w:trPr>
        <w:tc>
          <w:tcPr>
            <w:tcW w:w="646" w:type="dxa"/>
            <w:tcBorders>
              <w:right w:val="single" w:color="auto" w:sz="4" w:space="0"/>
            </w:tcBorders>
            <w:vAlign w:val="center"/>
          </w:tcPr>
          <w:p>
            <w:pPr>
              <w:spacing w:line="360" w:lineRule="auto"/>
              <w:jc w:val="center"/>
              <w:rPr>
                <w:rFonts w:ascii="宋体" w:hAnsi="宋体"/>
                <w:sz w:val="24"/>
                <w:highlight w:val="none"/>
              </w:rPr>
            </w:pPr>
            <w:r>
              <w:rPr>
                <w:rFonts w:ascii="宋体" w:hAnsi="宋体"/>
                <w:sz w:val="24"/>
                <w:highlight w:val="none"/>
              </w:rPr>
              <w:t>2</w:t>
            </w:r>
            <w:r>
              <w:rPr>
                <w:rFonts w:hint="eastAsia" w:ascii="宋体" w:hAnsi="宋体"/>
                <w:sz w:val="24"/>
                <w:highlight w:val="none"/>
              </w:rPr>
              <w:t>8</w:t>
            </w:r>
          </w:p>
        </w:tc>
        <w:tc>
          <w:tcPr>
            <w:tcW w:w="8325" w:type="dxa"/>
            <w:tcBorders>
              <w:left w:val="single" w:color="auto" w:sz="4" w:space="0"/>
            </w:tcBorders>
            <w:vAlign w:val="center"/>
          </w:tcPr>
          <w:p>
            <w:pPr>
              <w:spacing w:line="360" w:lineRule="auto"/>
              <w:ind w:firstLine="523" w:firstLineChars="218"/>
              <w:rPr>
                <w:rFonts w:ascii="宋体" w:hAnsi="宋体"/>
                <w:sz w:val="24"/>
                <w:highlight w:val="none"/>
              </w:rPr>
            </w:pPr>
            <w:r>
              <w:rPr>
                <w:rFonts w:hint="eastAsia" w:ascii="宋体" w:hAnsi="宋体"/>
                <w:sz w:val="24"/>
                <w:highlight w:val="none"/>
              </w:rPr>
              <w:t>付款方式：</w:t>
            </w:r>
            <w:r>
              <w:rPr>
                <w:rFonts w:hint="eastAsia" w:ascii="宋体" w:hAnsi="宋体"/>
                <w:sz w:val="24"/>
                <w:highlight w:val="none"/>
                <w:lang w:val="en-US" w:eastAsia="zh-CN"/>
              </w:rPr>
              <w:t>每3个月结算一次计量费用，采购人收到计量检定证书和发票后30个工作日内支付当前计量费用</w:t>
            </w:r>
            <w:r>
              <w:rPr>
                <w:rFonts w:hint="eastAsia" w:ascii="宋体" w:hAnsi="宋体"/>
                <w:sz w:val="24"/>
                <w:highlight w:val="none"/>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597" w:hRule="atLeast"/>
          <w:jc w:val="center"/>
        </w:trPr>
        <w:tc>
          <w:tcPr>
            <w:tcW w:w="646" w:type="dxa"/>
            <w:tcBorders>
              <w:right w:val="single" w:color="auto" w:sz="4" w:space="0"/>
            </w:tcBorders>
            <w:vAlign w:val="center"/>
          </w:tcPr>
          <w:p>
            <w:pPr>
              <w:spacing w:line="360" w:lineRule="auto"/>
              <w:jc w:val="center"/>
              <w:rPr>
                <w:rFonts w:ascii="宋体" w:hAnsi="宋体"/>
                <w:sz w:val="24"/>
                <w:highlight w:val="none"/>
              </w:rPr>
            </w:pPr>
            <w:r>
              <w:rPr>
                <w:rFonts w:ascii="宋体" w:hAnsi="宋体"/>
                <w:sz w:val="24"/>
                <w:highlight w:val="none"/>
              </w:rPr>
              <w:t>2</w:t>
            </w:r>
            <w:r>
              <w:rPr>
                <w:rFonts w:hint="eastAsia" w:ascii="宋体" w:hAnsi="宋体"/>
                <w:sz w:val="24"/>
                <w:highlight w:val="none"/>
              </w:rPr>
              <w:t>9</w:t>
            </w:r>
          </w:p>
        </w:tc>
        <w:tc>
          <w:tcPr>
            <w:tcW w:w="8325" w:type="dxa"/>
            <w:tcBorders>
              <w:left w:val="single" w:color="auto" w:sz="4" w:space="0"/>
            </w:tcBorders>
            <w:vAlign w:val="center"/>
          </w:tcPr>
          <w:p>
            <w:pPr>
              <w:adjustRightInd w:val="0"/>
              <w:snapToGrid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本项目不需缴纳履约担保。</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597" w:hRule="atLeast"/>
          <w:jc w:val="center"/>
        </w:trPr>
        <w:tc>
          <w:tcPr>
            <w:tcW w:w="646" w:type="dxa"/>
            <w:tcBorders>
              <w:right w:val="single" w:color="auto" w:sz="4" w:space="0"/>
            </w:tcBorders>
            <w:vAlign w:val="center"/>
          </w:tcPr>
          <w:p>
            <w:pPr>
              <w:spacing w:line="360" w:lineRule="auto"/>
              <w:jc w:val="center"/>
              <w:rPr>
                <w:rFonts w:ascii="宋体" w:hAnsi="宋体"/>
                <w:sz w:val="24"/>
                <w:highlight w:val="none"/>
              </w:rPr>
            </w:pPr>
            <w:r>
              <w:rPr>
                <w:rFonts w:hint="eastAsia" w:ascii="宋体" w:hAnsi="宋体"/>
                <w:sz w:val="24"/>
                <w:highlight w:val="none"/>
              </w:rPr>
              <w:t>30</w:t>
            </w:r>
          </w:p>
        </w:tc>
        <w:tc>
          <w:tcPr>
            <w:tcW w:w="8325" w:type="dxa"/>
            <w:tcBorders>
              <w:left w:val="single" w:color="auto" w:sz="4" w:space="0"/>
            </w:tcBorders>
            <w:vAlign w:val="center"/>
          </w:tcPr>
          <w:p>
            <w:pPr>
              <w:adjustRightInd w:val="0"/>
              <w:snapToGrid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采购标的对应的中小企业划分标准所属行业:</w:t>
            </w:r>
          </w:p>
          <w:p>
            <w:pPr>
              <w:adjustRightInd w:val="0"/>
              <w:snapToGrid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其他未列明行业，具体划分标准详见本章附表2。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597" w:hRule="atLeast"/>
          <w:jc w:val="center"/>
        </w:trPr>
        <w:tc>
          <w:tcPr>
            <w:tcW w:w="646" w:type="dxa"/>
            <w:tcBorders>
              <w:right w:val="single" w:color="auto" w:sz="4" w:space="0"/>
            </w:tcBorders>
            <w:vAlign w:val="center"/>
          </w:tcPr>
          <w:p>
            <w:pPr>
              <w:spacing w:line="360" w:lineRule="auto"/>
              <w:jc w:val="center"/>
              <w:rPr>
                <w:rFonts w:ascii="宋体" w:hAnsi="宋体"/>
                <w:sz w:val="24"/>
                <w:highlight w:val="none"/>
              </w:rPr>
            </w:pPr>
            <w:r>
              <w:rPr>
                <w:rFonts w:hint="eastAsia" w:ascii="宋体" w:hAnsi="宋体"/>
                <w:sz w:val="24"/>
                <w:highlight w:val="none"/>
              </w:rPr>
              <w:t>31</w:t>
            </w:r>
          </w:p>
        </w:tc>
        <w:tc>
          <w:tcPr>
            <w:tcW w:w="8325" w:type="dxa"/>
            <w:tcBorders>
              <w:left w:val="single" w:color="auto" w:sz="4" w:space="0"/>
            </w:tcBorders>
            <w:vAlign w:val="center"/>
          </w:tcPr>
          <w:p>
            <w:pPr>
              <w:adjustRightInd w:val="0"/>
              <w:snapToGrid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1）磋商文件各章节中，有加粗的文字，表示是重要的内容，应引起响应人的注意。</w:t>
            </w:r>
          </w:p>
          <w:p>
            <w:pPr>
              <w:adjustRightInd w:val="0"/>
              <w:snapToGrid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2）采购人认为具备相关条件的，将在签订合同时对中小企业在资金支付期限、预付款比例等方面提供明确的优惠措施。</w:t>
            </w:r>
          </w:p>
          <w:p>
            <w:pPr>
              <w:adjustRightInd w:val="0"/>
              <w:snapToGrid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3）本文件中涉及的“单位公章”、“单位章”、“公章”“盖章”处均指与响应人名称全称相一致的标准公章，不得使用其他形式（如带有“专用章”、“合同章”、“财务章”、“业务章”等字样）的印章；如响应人为自然人，上述关于印章的约定均指参与项目的该自然人签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816" w:hRule="atLeast"/>
          <w:jc w:val="center"/>
        </w:trPr>
        <w:tc>
          <w:tcPr>
            <w:tcW w:w="646" w:type="dxa"/>
            <w:tcBorders>
              <w:right w:val="single" w:color="auto" w:sz="4" w:space="0"/>
            </w:tcBorders>
            <w:vAlign w:val="center"/>
          </w:tcPr>
          <w:p>
            <w:pPr>
              <w:spacing w:line="360" w:lineRule="auto"/>
              <w:jc w:val="center"/>
              <w:rPr>
                <w:rFonts w:ascii="宋体" w:hAnsi="宋体"/>
                <w:sz w:val="24"/>
                <w:highlight w:val="none"/>
              </w:rPr>
            </w:pPr>
            <w:r>
              <w:rPr>
                <w:rFonts w:hint="eastAsia" w:ascii="宋体" w:hAnsi="宋体"/>
                <w:sz w:val="24"/>
                <w:highlight w:val="none"/>
              </w:rPr>
              <w:t>32</w:t>
            </w:r>
          </w:p>
        </w:tc>
        <w:tc>
          <w:tcPr>
            <w:tcW w:w="8325" w:type="dxa"/>
            <w:tcBorders>
              <w:left w:val="single" w:color="auto" w:sz="4" w:space="0"/>
            </w:tcBorders>
            <w:vAlign w:val="center"/>
          </w:tcPr>
          <w:p>
            <w:pPr>
              <w:adjustRightInd w:val="0"/>
              <w:snapToGrid w:val="0"/>
              <w:spacing w:line="360" w:lineRule="auto"/>
              <w:ind w:firstLine="482" w:firstLineChars="200"/>
              <w:jc w:val="left"/>
              <w:rPr>
                <w:rFonts w:ascii="宋体" w:hAnsi="宋体" w:cs="宋体"/>
                <w:kern w:val="0"/>
                <w:sz w:val="24"/>
                <w:highlight w:val="none"/>
              </w:rPr>
            </w:pPr>
            <w:r>
              <w:rPr>
                <w:rFonts w:hint="eastAsia" w:ascii="宋体" w:hAnsi="宋体" w:cs="宋体"/>
                <w:b/>
                <w:bCs/>
                <w:kern w:val="0"/>
                <w:sz w:val="24"/>
                <w:highlight w:val="none"/>
              </w:rPr>
              <w:t>响应人应派熟知本项目的人员出席磋商会议，在评审过程中磋商小组可能会要求响应人代表进行澄清、说明或补正。</w:t>
            </w:r>
          </w:p>
        </w:tc>
      </w:tr>
    </w:tbl>
    <w:p>
      <w:pPr>
        <w:spacing w:line="360" w:lineRule="auto"/>
        <w:rPr>
          <w:rFonts w:ascii="宋体" w:hAnsi="宋体"/>
          <w:sz w:val="24"/>
          <w:highlight w:val="none"/>
        </w:rPr>
      </w:pPr>
      <w:r>
        <w:rPr>
          <w:rFonts w:ascii="宋体" w:hAnsi="宋体"/>
          <w:sz w:val="24"/>
          <w:highlight w:val="none"/>
        </w:rPr>
        <w:br w:type="page"/>
      </w:r>
      <w:r>
        <w:rPr>
          <w:rFonts w:ascii="宋体" w:hAnsi="宋体"/>
          <w:sz w:val="24"/>
          <w:highlight w:val="none"/>
        </w:rPr>
        <w:t>附表</w:t>
      </w:r>
      <w:r>
        <w:rPr>
          <w:rFonts w:hint="eastAsia" w:ascii="宋体" w:hAnsi="宋体"/>
          <w:sz w:val="24"/>
          <w:highlight w:val="none"/>
        </w:rPr>
        <w:t>1：</w:t>
      </w:r>
    </w:p>
    <w:p>
      <w:pPr>
        <w:spacing w:line="360" w:lineRule="auto"/>
        <w:jc w:val="center"/>
        <w:rPr>
          <w:rFonts w:ascii="宋体" w:hAnsi="宋体"/>
          <w:sz w:val="24"/>
          <w:highlight w:val="none"/>
        </w:rPr>
      </w:pPr>
      <w:r>
        <w:rPr>
          <w:rFonts w:hint="eastAsia" w:ascii="宋体" w:hAnsi="宋体"/>
          <w:sz w:val="24"/>
          <w:highlight w:val="none"/>
        </w:rPr>
        <w:t>采购代理服务费收费标准</w:t>
      </w:r>
    </w:p>
    <w:tbl>
      <w:tblPr>
        <w:tblStyle w:val="76"/>
        <w:tblW w:w="0" w:type="auto"/>
        <w:tblInd w:w="3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43"/>
        <w:gridCol w:w="1755"/>
        <w:gridCol w:w="2023"/>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3643" w:type="dxa"/>
            <w:tcBorders>
              <w:tl2br w:val="single" w:color="auto" w:sz="2" w:space="0"/>
            </w:tcBorders>
            <w:vAlign w:val="center"/>
          </w:tcPr>
          <w:p>
            <w:pPr>
              <w:widowControl/>
              <w:spacing w:line="360" w:lineRule="auto"/>
              <w:jc w:val="right"/>
              <w:rPr>
                <w:rFonts w:ascii="宋体" w:hAnsi="宋体" w:cs="楷体"/>
                <w:bCs/>
                <w:kern w:val="0"/>
                <w:sz w:val="24"/>
                <w:highlight w:val="none"/>
              </w:rPr>
            </w:pPr>
            <w:r>
              <w:rPr>
                <w:rFonts w:hint="eastAsia" w:ascii="宋体" w:hAnsi="宋体" w:cs="楷体"/>
                <w:bCs/>
                <w:kern w:val="0"/>
                <w:sz w:val="24"/>
                <w:highlight w:val="none"/>
              </w:rPr>
              <w:t>代理服务类型</w:t>
            </w:r>
          </w:p>
          <w:p>
            <w:pPr>
              <w:widowControl/>
              <w:spacing w:line="360" w:lineRule="auto"/>
              <w:jc w:val="left"/>
              <w:rPr>
                <w:rFonts w:ascii="宋体" w:hAnsi="宋体" w:cs="楷体"/>
                <w:bCs/>
                <w:kern w:val="0"/>
                <w:sz w:val="24"/>
                <w:highlight w:val="none"/>
              </w:rPr>
            </w:pPr>
            <w:r>
              <w:rPr>
                <w:rFonts w:hint="eastAsia" w:ascii="宋体" w:hAnsi="宋体" w:cs="楷体"/>
                <w:bCs/>
                <w:kern w:val="0"/>
                <w:sz w:val="24"/>
                <w:highlight w:val="none"/>
              </w:rPr>
              <w:t>中标（成交）</w:t>
            </w:r>
          </w:p>
          <w:p>
            <w:pPr>
              <w:widowControl/>
              <w:spacing w:line="360" w:lineRule="auto"/>
              <w:jc w:val="left"/>
              <w:rPr>
                <w:rFonts w:ascii="宋体" w:hAnsi="宋体" w:cs="楷体"/>
                <w:kern w:val="0"/>
                <w:sz w:val="24"/>
                <w:highlight w:val="none"/>
              </w:rPr>
            </w:pPr>
            <w:r>
              <w:rPr>
                <w:rFonts w:hint="eastAsia" w:ascii="宋体" w:hAnsi="宋体" w:cs="楷体"/>
                <w:bCs/>
                <w:kern w:val="0"/>
                <w:sz w:val="24"/>
                <w:highlight w:val="none"/>
              </w:rPr>
              <w:t>金额（万元）</w:t>
            </w:r>
          </w:p>
        </w:tc>
        <w:tc>
          <w:tcPr>
            <w:tcW w:w="1755" w:type="dxa"/>
            <w:vAlign w:val="center"/>
          </w:tcPr>
          <w:p>
            <w:pPr>
              <w:widowControl/>
              <w:spacing w:line="360" w:lineRule="auto"/>
              <w:jc w:val="center"/>
              <w:rPr>
                <w:rFonts w:ascii="宋体" w:hAnsi="宋体" w:cs="楷体"/>
                <w:kern w:val="0"/>
                <w:sz w:val="24"/>
                <w:highlight w:val="none"/>
              </w:rPr>
            </w:pPr>
            <w:r>
              <w:rPr>
                <w:rFonts w:hint="eastAsia" w:ascii="宋体" w:hAnsi="宋体" w:cs="楷体"/>
                <w:bCs/>
                <w:kern w:val="0"/>
                <w:sz w:val="24"/>
                <w:highlight w:val="none"/>
              </w:rPr>
              <w:t>货物采购</w:t>
            </w:r>
          </w:p>
        </w:tc>
        <w:tc>
          <w:tcPr>
            <w:tcW w:w="2023" w:type="dxa"/>
            <w:vAlign w:val="center"/>
          </w:tcPr>
          <w:p>
            <w:pPr>
              <w:widowControl/>
              <w:spacing w:line="360" w:lineRule="auto"/>
              <w:jc w:val="center"/>
              <w:rPr>
                <w:rFonts w:ascii="宋体" w:hAnsi="宋体" w:cs="楷体"/>
                <w:kern w:val="0"/>
                <w:sz w:val="24"/>
                <w:highlight w:val="none"/>
              </w:rPr>
            </w:pPr>
            <w:r>
              <w:rPr>
                <w:rFonts w:hint="eastAsia" w:ascii="宋体" w:hAnsi="宋体" w:cs="楷体"/>
                <w:bCs/>
                <w:kern w:val="0"/>
                <w:sz w:val="24"/>
                <w:highlight w:val="none"/>
              </w:rPr>
              <w:t>服务采购</w:t>
            </w:r>
          </w:p>
        </w:tc>
        <w:tc>
          <w:tcPr>
            <w:tcW w:w="1863" w:type="dxa"/>
            <w:vAlign w:val="center"/>
          </w:tcPr>
          <w:p>
            <w:pPr>
              <w:widowControl/>
              <w:spacing w:line="360" w:lineRule="auto"/>
              <w:jc w:val="center"/>
              <w:rPr>
                <w:rFonts w:ascii="宋体" w:hAnsi="宋体" w:cs="楷体"/>
                <w:kern w:val="0"/>
                <w:sz w:val="24"/>
                <w:highlight w:val="none"/>
              </w:rPr>
            </w:pPr>
            <w:r>
              <w:rPr>
                <w:rFonts w:hint="eastAsia" w:ascii="宋体" w:hAnsi="宋体" w:cs="楷体"/>
                <w:bCs/>
                <w:kern w:val="0"/>
                <w:sz w:val="24"/>
                <w:highlight w:val="none"/>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3643" w:type="dxa"/>
            <w:vAlign w:val="center"/>
          </w:tcPr>
          <w:p>
            <w:pPr>
              <w:widowControl/>
              <w:jc w:val="left"/>
              <w:rPr>
                <w:rFonts w:ascii="宋体" w:hAnsi="宋体" w:cs="楷体"/>
                <w:kern w:val="0"/>
                <w:sz w:val="24"/>
                <w:highlight w:val="none"/>
              </w:rPr>
            </w:pPr>
            <w:r>
              <w:rPr>
                <w:rFonts w:hint="eastAsia" w:ascii="宋体" w:hAnsi="宋体" w:cs="楷体"/>
                <w:kern w:val="0"/>
                <w:sz w:val="24"/>
                <w:highlight w:val="none"/>
              </w:rPr>
              <w:t>100以下</w:t>
            </w:r>
          </w:p>
        </w:tc>
        <w:tc>
          <w:tcPr>
            <w:tcW w:w="1755" w:type="dxa"/>
            <w:vAlign w:val="center"/>
          </w:tcPr>
          <w:p>
            <w:pPr>
              <w:widowControl/>
              <w:jc w:val="center"/>
              <w:rPr>
                <w:rFonts w:ascii="宋体" w:hAnsi="宋体" w:cs="楷体"/>
                <w:kern w:val="0"/>
                <w:sz w:val="24"/>
                <w:highlight w:val="none"/>
              </w:rPr>
            </w:pPr>
            <w:r>
              <w:rPr>
                <w:rFonts w:hint="eastAsia" w:ascii="宋体" w:hAnsi="宋体" w:cs="楷体"/>
                <w:kern w:val="0"/>
                <w:sz w:val="24"/>
                <w:highlight w:val="none"/>
              </w:rPr>
              <w:t>1.5％</w:t>
            </w:r>
          </w:p>
        </w:tc>
        <w:tc>
          <w:tcPr>
            <w:tcW w:w="2023" w:type="dxa"/>
            <w:vAlign w:val="center"/>
          </w:tcPr>
          <w:p>
            <w:pPr>
              <w:widowControl/>
              <w:jc w:val="center"/>
              <w:rPr>
                <w:rFonts w:ascii="宋体" w:hAnsi="宋体" w:cs="楷体"/>
                <w:kern w:val="0"/>
                <w:sz w:val="24"/>
                <w:highlight w:val="none"/>
              </w:rPr>
            </w:pPr>
            <w:r>
              <w:rPr>
                <w:rFonts w:hint="eastAsia" w:ascii="宋体" w:hAnsi="宋体" w:cs="楷体"/>
                <w:kern w:val="0"/>
                <w:sz w:val="24"/>
                <w:highlight w:val="none"/>
              </w:rPr>
              <w:t>1.5％</w:t>
            </w:r>
          </w:p>
        </w:tc>
        <w:tc>
          <w:tcPr>
            <w:tcW w:w="1863" w:type="dxa"/>
            <w:vAlign w:val="center"/>
          </w:tcPr>
          <w:p>
            <w:pPr>
              <w:widowControl/>
              <w:jc w:val="center"/>
              <w:rPr>
                <w:rFonts w:ascii="宋体" w:hAnsi="宋体" w:cs="楷体"/>
                <w:kern w:val="0"/>
                <w:sz w:val="24"/>
                <w:highlight w:val="none"/>
              </w:rPr>
            </w:pPr>
            <w:r>
              <w:rPr>
                <w:rFonts w:hint="eastAsia" w:ascii="宋体" w:hAnsi="宋体" w:cs="楷体"/>
                <w:kern w:val="0"/>
                <w:sz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3643" w:type="dxa"/>
            <w:vAlign w:val="center"/>
          </w:tcPr>
          <w:p>
            <w:pPr>
              <w:widowControl/>
              <w:jc w:val="left"/>
              <w:rPr>
                <w:rFonts w:ascii="宋体" w:hAnsi="宋体" w:cs="楷体"/>
                <w:kern w:val="0"/>
                <w:sz w:val="24"/>
                <w:highlight w:val="none"/>
              </w:rPr>
            </w:pPr>
            <w:r>
              <w:rPr>
                <w:rFonts w:hint="eastAsia" w:ascii="宋体" w:hAnsi="宋体" w:cs="楷体"/>
                <w:kern w:val="0"/>
                <w:sz w:val="24"/>
                <w:highlight w:val="none"/>
              </w:rPr>
              <w:t>100—500</w:t>
            </w:r>
          </w:p>
        </w:tc>
        <w:tc>
          <w:tcPr>
            <w:tcW w:w="1755" w:type="dxa"/>
            <w:vAlign w:val="center"/>
          </w:tcPr>
          <w:p>
            <w:pPr>
              <w:widowControl/>
              <w:jc w:val="center"/>
              <w:rPr>
                <w:rFonts w:ascii="宋体" w:hAnsi="宋体" w:cs="楷体"/>
                <w:kern w:val="0"/>
                <w:sz w:val="24"/>
                <w:highlight w:val="none"/>
              </w:rPr>
            </w:pPr>
            <w:r>
              <w:rPr>
                <w:rFonts w:hint="eastAsia" w:ascii="宋体" w:hAnsi="宋体" w:cs="楷体"/>
                <w:kern w:val="0"/>
                <w:sz w:val="24"/>
                <w:highlight w:val="none"/>
              </w:rPr>
              <w:t>1.1％</w:t>
            </w:r>
          </w:p>
        </w:tc>
        <w:tc>
          <w:tcPr>
            <w:tcW w:w="2023" w:type="dxa"/>
            <w:vAlign w:val="center"/>
          </w:tcPr>
          <w:p>
            <w:pPr>
              <w:widowControl/>
              <w:jc w:val="center"/>
              <w:rPr>
                <w:rFonts w:ascii="宋体" w:hAnsi="宋体" w:cs="楷体"/>
                <w:kern w:val="0"/>
                <w:sz w:val="24"/>
                <w:highlight w:val="none"/>
              </w:rPr>
            </w:pPr>
            <w:r>
              <w:rPr>
                <w:rFonts w:hint="eastAsia" w:ascii="宋体" w:hAnsi="宋体" w:cs="楷体"/>
                <w:kern w:val="0"/>
                <w:sz w:val="24"/>
                <w:highlight w:val="none"/>
              </w:rPr>
              <w:t>0.8％</w:t>
            </w:r>
          </w:p>
        </w:tc>
        <w:tc>
          <w:tcPr>
            <w:tcW w:w="1863" w:type="dxa"/>
            <w:vAlign w:val="center"/>
          </w:tcPr>
          <w:p>
            <w:pPr>
              <w:widowControl/>
              <w:jc w:val="center"/>
              <w:rPr>
                <w:rFonts w:ascii="宋体" w:hAnsi="宋体" w:cs="楷体"/>
                <w:kern w:val="0"/>
                <w:sz w:val="24"/>
                <w:highlight w:val="none"/>
              </w:rPr>
            </w:pPr>
            <w:r>
              <w:rPr>
                <w:rFonts w:hint="eastAsia" w:ascii="宋体" w:hAnsi="宋体" w:cs="楷体"/>
                <w:kern w:val="0"/>
                <w:sz w:val="24"/>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3643" w:type="dxa"/>
            <w:vAlign w:val="center"/>
          </w:tcPr>
          <w:p>
            <w:pPr>
              <w:widowControl/>
              <w:jc w:val="left"/>
              <w:rPr>
                <w:rFonts w:ascii="宋体" w:hAnsi="宋体" w:cs="楷体"/>
                <w:kern w:val="0"/>
                <w:sz w:val="24"/>
                <w:highlight w:val="none"/>
              </w:rPr>
            </w:pPr>
            <w:r>
              <w:rPr>
                <w:rFonts w:hint="eastAsia" w:ascii="宋体" w:hAnsi="宋体" w:cs="楷体"/>
                <w:kern w:val="0"/>
                <w:sz w:val="24"/>
                <w:highlight w:val="none"/>
              </w:rPr>
              <w:t>500—1000</w:t>
            </w:r>
          </w:p>
        </w:tc>
        <w:tc>
          <w:tcPr>
            <w:tcW w:w="1755" w:type="dxa"/>
            <w:vAlign w:val="center"/>
          </w:tcPr>
          <w:p>
            <w:pPr>
              <w:widowControl/>
              <w:jc w:val="center"/>
              <w:rPr>
                <w:rFonts w:ascii="宋体" w:hAnsi="宋体" w:cs="楷体"/>
                <w:kern w:val="0"/>
                <w:sz w:val="24"/>
                <w:highlight w:val="none"/>
              </w:rPr>
            </w:pPr>
            <w:r>
              <w:rPr>
                <w:rFonts w:hint="eastAsia" w:ascii="宋体" w:hAnsi="宋体" w:cs="楷体"/>
                <w:kern w:val="0"/>
                <w:sz w:val="24"/>
                <w:highlight w:val="none"/>
              </w:rPr>
              <w:t>0.8％</w:t>
            </w:r>
          </w:p>
        </w:tc>
        <w:tc>
          <w:tcPr>
            <w:tcW w:w="2023" w:type="dxa"/>
            <w:vAlign w:val="center"/>
          </w:tcPr>
          <w:p>
            <w:pPr>
              <w:widowControl/>
              <w:jc w:val="center"/>
              <w:rPr>
                <w:rFonts w:ascii="宋体" w:hAnsi="宋体" w:cs="楷体"/>
                <w:kern w:val="0"/>
                <w:sz w:val="24"/>
                <w:highlight w:val="none"/>
              </w:rPr>
            </w:pPr>
            <w:r>
              <w:rPr>
                <w:rFonts w:hint="eastAsia" w:ascii="宋体" w:hAnsi="宋体" w:cs="楷体"/>
                <w:kern w:val="0"/>
                <w:sz w:val="24"/>
                <w:highlight w:val="none"/>
              </w:rPr>
              <w:t>0.45％</w:t>
            </w:r>
          </w:p>
        </w:tc>
        <w:tc>
          <w:tcPr>
            <w:tcW w:w="1863" w:type="dxa"/>
            <w:vAlign w:val="center"/>
          </w:tcPr>
          <w:p>
            <w:pPr>
              <w:widowControl/>
              <w:jc w:val="center"/>
              <w:rPr>
                <w:rFonts w:ascii="宋体" w:hAnsi="宋体" w:cs="楷体"/>
                <w:kern w:val="0"/>
                <w:sz w:val="24"/>
                <w:highlight w:val="none"/>
              </w:rPr>
            </w:pPr>
            <w:r>
              <w:rPr>
                <w:rFonts w:hint="eastAsia" w:ascii="宋体" w:hAnsi="宋体" w:cs="楷体"/>
                <w:kern w:val="0"/>
                <w:sz w:val="24"/>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3643" w:type="dxa"/>
            <w:vAlign w:val="center"/>
          </w:tcPr>
          <w:p>
            <w:pPr>
              <w:widowControl/>
              <w:jc w:val="left"/>
              <w:rPr>
                <w:rFonts w:ascii="宋体" w:hAnsi="宋体" w:cs="楷体"/>
                <w:kern w:val="0"/>
                <w:sz w:val="24"/>
                <w:highlight w:val="none"/>
              </w:rPr>
            </w:pPr>
            <w:r>
              <w:rPr>
                <w:rFonts w:hint="eastAsia" w:ascii="宋体" w:hAnsi="宋体" w:cs="楷体"/>
                <w:kern w:val="0"/>
                <w:sz w:val="24"/>
                <w:highlight w:val="none"/>
              </w:rPr>
              <w:t>1000—5000</w:t>
            </w:r>
          </w:p>
        </w:tc>
        <w:tc>
          <w:tcPr>
            <w:tcW w:w="1755" w:type="dxa"/>
            <w:vAlign w:val="center"/>
          </w:tcPr>
          <w:p>
            <w:pPr>
              <w:widowControl/>
              <w:jc w:val="center"/>
              <w:rPr>
                <w:rFonts w:ascii="宋体" w:hAnsi="宋体" w:cs="楷体"/>
                <w:kern w:val="0"/>
                <w:sz w:val="24"/>
                <w:highlight w:val="none"/>
              </w:rPr>
            </w:pPr>
            <w:r>
              <w:rPr>
                <w:rFonts w:hint="eastAsia" w:ascii="宋体" w:hAnsi="宋体" w:cs="楷体"/>
                <w:kern w:val="0"/>
                <w:sz w:val="24"/>
                <w:highlight w:val="none"/>
              </w:rPr>
              <w:t>0.5％</w:t>
            </w:r>
          </w:p>
        </w:tc>
        <w:tc>
          <w:tcPr>
            <w:tcW w:w="2023" w:type="dxa"/>
            <w:vAlign w:val="center"/>
          </w:tcPr>
          <w:p>
            <w:pPr>
              <w:widowControl/>
              <w:jc w:val="center"/>
              <w:rPr>
                <w:rFonts w:ascii="宋体" w:hAnsi="宋体" w:cs="楷体"/>
                <w:kern w:val="0"/>
                <w:sz w:val="24"/>
                <w:highlight w:val="none"/>
              </w:rPr>
            </w:pPr>
            <w:r>
              <w:rPr>
                <w:rFonts w:hint="eastAsia" w:ascii="宋体" w:hAnsi="宋体" w:cs="楷体"/>
                <w:kern w:val="0"/>
                <w:sz w:val="24"/>
                <w:highlight w:val="none"/>
              </w:rPr>
              <w:t>0.25％</w:t>
            </w:r>
          </w:p>
        </w:tc>
        <w:tc>
          <w:tcPr>
            <w:tcW w:w="1863" w:type="dxa"/>
            <w:vAlign w:val="center"/>
          </w:tcPr>
          <w:p>
            <w:pPr>
              <w:widowControl/>
              <w:jc w:val="center"/>
              <w:rPr>
                <w:rFonts w:ascii="宋体" w:hAnsi="宋体" w:cs="楷体"/>
                <w:kern w:val="0"/>
                <w:sz w:val="24"/>
                <w:highlight w:val="none"/>
              </w:rPr>
            </w:pPr>
            <w:r>
              <w:rPr>
                <w:rFonts w:hint="eastAsia" w:ascii="宋体" w:hAnsi="宋体" w:cs="楷体"/>
                <w:kern w:val="0"/>
                <w:sz w:val="24"/>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3643" w:type="dxa"/>
            <w:vAlign w:val="center"/>
          </w:tcPr>
          <w:p>
            <w:pPr>
              <w:widowControl/>
              <w:jc w:val="left"/>
              <w:rPr>
                <w:rFonts w:ascii="宋体" w:hAnsi="宋体" w:cs="楷体"/>
                <w:kern w:val="0"/>
                <w:sz w:val="24"/>
                <w:highlight w:val="none"/>
              </w:rPr>
            </w:pPr>
            <w:r>
              <w:rPr>
                <w:rFonts w:hint="eastAsia" w:ascii="宋体" w:hAnsi="宋体" w:cs="楷体"/>
                <w:kern w:val="0"/>
                <w:sz w:val="24"/>
                <w:highlight w:val="none"/>
              </w:rPr>
              <w:t>5000—10000</w:t>
            </w:r>
          </w:p>
        </w:tc>
        <w:tc>
          <w:tcPr>
            <w:tcW w:w="1755" w:type="dxa"/>
            <w:vAlign w:val="center"/>
          </w:tcPr>
          <w:p>
            <w:pPr>
              <w:widowControl/>
              <w:jc w:val="center"/>
              <w:rPr>
                <w:rFonts w:ascii="宋体" w:hAnsi="宋体" w:cs="楷体"/>
                <w:kern w:val="0"/>
                <w:sz w:val="24"/>
                <w:highlight w:val="none"/>
              </w:rPr>
            </w:pPr>
            <w:r>
              <w:rPr>
                <w:rFonts w:hint="eastAsia" w:ascii="宋体" w:hAnsi="宋体" w:cs="楷体"/>
                <w:kern w:val="0"/>
                <w:sz w:val="24"/>
                <w:highlight w:val="none"/>
              </w:rPr>
              <w:t>0.25％</w:t>
            </w:r>
          </w:p>
        </w:tc>
        <w:tc>
          <w:tcPr>
            <w:tcW w:w="2023" w:type="dxa"/>
            <w:vAlign w:val="center"/>
          </w:tcPr>
          <w:p>
            <w:pPr>
              <w:widowControl/>
              <w:jc w:val="center"/>
              <w:rPr>
                <w:rFonts w:ascii="宋体" w:hAnsi="宋体" w:cs="楷体"/>
                <w:kern w:val="0"/>
                <w:sz w:val="24"/>
                <w:highlight w:val="none"/>
              </w:rPr>
            </w:pPr>
            <w:r>
              <w:rPr>
                <w:rFonts w:hint="eastAsia" w:ascii="宋体" w:hAnsi="宋体" w:cs="楷体"/>
                <w:kern w:val="0"/>
                <w:sz w:val="24"/>
                <w:highlight w:val="none"/>
              </w:rPr>
              <w:t>0.1％</w:t>
            </w:r>
          </w:p>
        </w:tc>
        <w:tc>
          <w:tcPr>
            <w:tcW w:w="1863" w:type="dxa"/>
            <w:vAlign w:val="center"/>
          </w:tcPr>
          <w:p>
            <w:pPr>
              <w:widowControl/>
              <w:jc w:val="center"/>
              <w:rPr>
                <w:rFonts w:ascii="宋体" w:hAnsi="宋体" w:cs="楷体"/>
                <w:kern w:val="0"/>
                <w:sz w:val="24"/>
                <w:highlight w:val="none"/>
              </w:rPr>
            </w:pPr>
            <w:r>
              <w:rPr>
                <w:rFonts w:hint="eastAsia" w:ascii="宋体" w:hAnsi="宋体" w:cs="楷体"/>
                <w:kern w:val="0"/>
                <w:sz w:val="24"/>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3643" w:type="dxa"/>
            <w:vAlign w:val="center"/>
          </w:tcPr>
          <w:p>
            <w:pPr>
              <w:widowControl/>
              <w:jc w:val="left"/>
              <w:rPr>
                <w:rFonts w:ascii="宋体" w:hAnsi="宋体" w:cs="楷体"/>
                <w:kern w:val="0"/>
                <w:sz w:val="24"/>
                <w:highlight w:val="none"/>
              </w:rPr>
            </w:pPr>
            <w:r>
              <w:rPr>
                <w:rFonts w:hint="eastAsia" w:ascii="宋体" w:hAnsi="宋体" w:cs="楷体"/>
                <w:kern w:val="0"/>
                <w:sz w:val="24"/>
                <w:highlight w:val="none"/>
              </w:rPr>
              <w:t>10000—100000</w:t>
            </w:r>
          </w:p>
        </w:tc>
        <w:tc>
          <w:tcPr>
            <w:tcW w:w="1755" w:type="dxa"/>
            <w:vAlign w:val="center"/>
          </w:tcPr>
          <w:p>
            <w:pPr>
              <w:widowControl/>
              <w:jc w:val="center"/>
              <w:rPr>
                <w:rFonts w:ascii="宋体" w:hAnsi="宋体" w:cs="楷体"/>
                <w:kern w:val="0"/>
                <w:sz w:val="24"/>
                <w:highlight w:val="none"/>
              </w:rPr>
            </w:pPr>
            <w:r>
              <w:rPr>
                <w:rFonts w:hint="eastAsia" w:ascii="宋体" w:hAnsi="宋体" w:cs="楷体"/>
                <w:kern w:val="0"/>
                <w:sz w:val="24"/>
                <w:highlight w:val="none"/>
              </w:rPr>
              <w:t>0.05％</w:t>
            </w:r>
          </w:p>
        </w:tc>
        <w:tc>
          <w:tcPr>
            <w:tcW w:w="2023" w:type="dxa"/>
            <w:vAlign w:val="center"/>
          </w:tcPr>
          <w:p>
            <w:pPr>
              <w:widowControl/>
              <w:jc w:val="center"/>
              <w:rPr>
                <w:rFonts w:ascii="宋体" w:hAnsi="宋体" w:cs="楷体"/>
                <w:kern w:val="0"/>
                <w:sz w:val="24"/>
                <w:highlight w:val="none"/>
              </w:rPr>
            </w:pPr>
            <w:r>
              <w:rPr>
                <w:rFonts w:hint="eastAsia" w:ascii="宋体" w:hAnsi="宋体" w:cs="楷体"/>
                <w:kern w:val="0"/>
                <w:sz w:val="24"/>
                <w:highlight w:val="none"/>
              </w:rPr>
              <w:t>0.05％</w:t>
            </w:r>
          </w:p>
        </w:tc>
        <w:tc>
          <w:tcPr>
            <w:tcW w:w="1863" w:type="dxa"/>
            <w:vAlign w:val="center"/>
          </w:tcPr>
          <w:p>
            <w:pPr>
              <w:widowControl/>
              <w:jc w:val="center"/>
              <w:rPr>
                <w:rFonts w:ascii="宋体" w:hAnsi="宋体" w:cs="楷体"/>
                <w:kern w:val="0"/>
                <w:sz w:val="24"/>
                <w:highlight w:val="none"/>
              </w:rPr>
            </w:pPr>
            <w:r>
              <w:rPr>
                <w:rFonts w:hint="eastAsia" w:ascii="宋体" w:hAnsi="宋体" w:cs="楷体"/>
                <w:kern w:val="0"/>
                <w:sz w:val="24"/>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3643" w:type="dxa"/>
            <w:vAlign w:val="center"/>
          </w:tcPr>
          <w:p>
            <w:pPr>
              <w:widowControl/>
              <w:jc w:val="left"/>
              <w:rPr>
                <w:rFonts w:ascii="宋体" w:hAnsi="宋体" w:cs="楷体"/>
                <w:kern w:val="0"/>
                <w:sz w:val="24"/>
                <w:highlight w:val="none"/>
              </w:rPr>
            </w:pPr>
            <w:r>
              <w:rPr>
                <w:rFonts w:hint="eastAsia" w:ascii="宋体" w:hAnsi="宋体" w:cs="楷体"/>
                <w:kern w:val="0"/>
                <w:sz w:val="24"/>
                <w:highlight w:val="none"/>
              </w:rPr>
              <w:t>100000以上</w:t>
            </w:r>
          </w:p>
        </w:tc>
        <w:tc>
          <w:tcPr>
            <w:tcW w:w="1755" w:type="dxa"/>
            <w:vAlign w:val="center"/>
          </w:tcPr>
          <w:p>
            <w:pPr>
              <w:widowControl/>
              <w:jc w:val="center"/>
              <w:rPr>
                <w:rFonts w:ascii="宋体" w:hAnsi="宋体" w:cs="楷体"/>
                <w:kern w:val="0"/>
                <w:sz w:val="24"/>
                <w:highlight w:val="none"/>
              </w:rPr>
            </w:pPr>
            <w:r>
              <w:rPr>
                <w:rFonts w:hint="eastAsia" w:ascii="宋体" w:hAnsi="宋体" w:cs="楷体"/>
                <w:kern w:val="0"/>
                <w:sz w:val="24"/>
                <w:highlight w:val="none"/>
              </w:rPr>
              <w:t>0.01％</w:t>
            </w:r>
          </w:p>
        </w:tc>
        <w:tc>
          <w:tcPr>
            <w:tcW w:w="2023" w:type="dxa"/>
            <w:vAlign w:val="center"/>
          </w:tcPr>
          <w:p>
            <w:pPr>
              <w:widowControl/>
              <w:jc w:val="center"/>
              <w:rPr>
                <w:rFonts w:ascii="宋体" w:hAnsi="宋体" w:cs="楷体"/>
                <w:kern w:val="0"/>
                <w:sz w:val="24"/>
                <w:highlight w:val="none"/>
              </w:rPr>
            </w:pPr>
            <w:r>
              <w:rPr>
                <w:rFonts w:hint="eastAsia" w:ascii="宋体" w:hAnsi="宋体" w:cs="楷体"/>
                <w:kern w:val="0"/>
                <w:sz w:val="24"/>
                <w:highlight w:val="none"/>
              </w:rPr>
              <w:t>0.01％</w:t>
            </w:r>
          </w:p>
        </w:tc>
        <w:tc>
          <w:tcPr>
            <w:tcW w:w="1863" w:type="dxa"/>
            <w:vAlign w:val="center"/>
          </w:tcPr>
          <w:p>
            <w:pPr>
              <w:widowControl/>
              <w:jc w:val="center"/>
              <w:rPr>
                <w:rFonts w:ascii="宋体" w:hAnsi="宋体" w:cs="楷体"/>
                <w:kern w:val="0"/>
                <w:sz w:val="24"/>
                <w:highlight w:val="none"/>
              </w:rPr>
            </w:pPr>
            <w:r>
              <w:rPr>
                <w:rFonts w:hint="eastAsia" w:ascii="宋体" w:hAnsi="宋体" w:cs="楷体"/>
                <w:kern w:val="0"/>
                <w:sz w:val="24"/>
                <w:highlight w:val="none"/>
              </w:rPr>
              <w:t>0.01％</w:t>
            </w:r>
          </w:p>
        </w:tc>
      </w:tr>
    </w:tbl>
    <w:p>
      <w:pPr>
        <w:pStyle w:val="13"/>
        <w:tabs>
          <w:tab w:val="left" w:pos="1146"/>
        </w:tabs>
        <w:spacing w:line="560" w:lineRule="exact"/>
        <w:ind w:left="571" w:leftChars="272" w:firstLine="2" w:firstLineChars="0"/>
        <w:jc w:val="center"/>
        <w:rPr>
          <w:rFonts w:ascii="宋体" w:hAnsi="宋体"/>
          <w:b/>
          <w:sz w:val="28"/>
          <w:highlight w:val="none"/>
        </w:rPr>
      </w:pPr>
    </w:p>
    <w:p>
      <w:pPr>
        <w:pStyle w:val="13"/>
        <w:tabs>
          <w:tab w:val="left" w:pos="1146"/>
        </w:tabs>
        <w:spacing w:line="560" w:lineRule="exact"/>
        <w:ind w:left="0" w:leftChars="0" w:firstLine="0" w:firstLineChars="0"/>
        <w:jc w:val="left"/>
        <w:rPr>
          <w:rFonts w:ascii="宋体" w:hAnsi="宋体"/>
          <w:snapToGrid w:val="0"/>
          <w:kern w:val="0"/>
          <w:sz w:val="24"/>
          <w:highlight w:val="none"/>
        </w:rPr>
      </w:pPr>
      <w:r>
        <w:rPr>
          <w:rFonts w:hint="eastAsia" w:ascii="宋体" w:hAnsi="宋体"/>
          <w:snapToGrid w:val="0"/>
          <w:kern w:val="0"/>
          <w:sz w:val="24"/>
          <w:highlight w:val="none"/>
        </w:rPr>
        <w:t>附表2</w:t>
      </w:r>
    </w:p>
    <w:p>
      <w:pPr>
        <w:pStyle w:val="70"/>
        <w:spacing w:line="432" w:lineRule="auto"/>
        <w:jc w:val="center"/>
        <w:rPr>
          <w:rStyle w:val="122"/>
          <w:sz w:val="36"/>
          <w:szCs w:val="36"/>
          <w:highlight w:val="none"/>
        </w:rPr>
      </w:pPr>
      <w:r>
        <w:rPr>
          <w:rStyle w:val="122"/>
          <w:rFonts w:hint="eastAsia"/>
          <w:sz w:val="36"/>
          <w:szCs w:val="36"/>
          <w:highlight w:val="none"/>
        </w:rPr>
        <w:t>关于印发中小企业划型标准规定的通知</w:t>
      </w:r>
    </w:p>
    <w:p>
      <w:pPr>
        <w:pStyle w:val="70"/>
        <w:spacing w:line="432" w:lineRule="auto"/>
        <w:jc w:val="center"/>
        <w:rPr>
          <w:highlight w:val="none"/>
        </w:rPr>
      </w:pPr>
      <w:r>
        <w:rPr>
          <w:rFonts w:ascii="楷体_GB2312" w:eastAsia="楷体_GB2312" w:cs="楷体_GB2312"/>
          <w:highlight w:val="none"/>
        </w:rPr>
        <w:t>工信部联企业〔2011〕300号</w:t>
      </w:r>
    </w:p>
    <w:p>
      <w:pPr>
        <w:pStyle w:val="70"/>
        <w:spacing w:line="432" w:lineRule="auto"/>
        <w:rPr>
          <w:highlight w:val="none"/>
        </w:rPr>
      </w:pPr>
      <w:r>
        <w:rPr>
          <w:rFonts w:hint="eastAsia"/>
          <w:highlight w:val="none"/>
        </w:rPr>
        <w:t>各省、自治区、直辖市人民政府，国务院各部委、各直属机构及有关单位：</w:t>
      </w:r>
    </w:p>
    <w:p>
      <w:pPr>
        <w:pStyle w:val="70"/>
        <w:spacing w:line="432" w:lineRule="auto"/>
        <w:rPr>
          <w:highlight w:val="none"/>
        </w:rPr>
      </w:pPr>
      <w:r>
        <w:rPr>
          <w:rFonts w:hint="eastAsia"/>
          <w:highlight w:val="none"/>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70"/>
        <w:spacing w:line="432" w:lineRule="auto"/>
        <w:rPr>
          <w:highlight w:val="none"/>
        </w:rPr>
      </w:pPr>
      <w:r>
        <w:rPr>
          <w:rFonts w:hint="eastAsia"/>
          <w:highlight w:val="none"/>
        </w:rPr>
        <w:t>　　　　　　　　　　　　　　　　　　　　　　 工业和信息化部　国家统计局</w:t>
      </w:r>
    </w:p>
    <w:p>
      <w:pPr>
        <w:pStyle w:val="70"/>
        <w:spacing w:line="432" w:lineRule="auto"/>
        <w:rPr>
          <w:highlight w:val="none"/>
        </w:rPr>
      </w:pPr>
      <w:r>
        <w:rPr>
          <w:rFonts w:hint="eastAsia"/>
          <w:highlight w:val="none"/>
        </w:rPr>
        <w:t>　　　　　　　　　　　　　　　　　　　　　　国家发展和改革委员会　财政部</w:t>
      </w:r>
    </w:p>
    <w:p>
      <w:pPr>
        <w:pStyle w:val="70"/>
        <w:spacing w:line="432" w:lineRule="auto"/>
        <w:rPr>
          <w:highlight w:val="none"/>
        </w:rPr>
      </w:pPr>
      <w:r>
        <w:rPr>
          <w:rFonts w:hint="eastAsia"/>
          <w:highlight w:val="none"/>
        </w:rPr>
        <w:t>　　　　　　　　　　　　　　　　　　　　　　　　二○一一年六月十八日</w:t>
      </w:r>
    </w:p>
    <w:p>
      <w:pPr>
        <w:pStyle w:val="70"/>
        <w:spacing w:line="432" w:lineRule="auto"/>
        <w:rPr>
          <w:highlight w:val="none"/>
        </w:rPr>
      </w:pPr>
    </w:p>
    <w:p>
      <w:pPr>
        <w:pStyle w:val="70"/>
        <w:spacing w:line="432" w:lineRule="auto"/>
        <w:jc w:val="center"/>
        <w:rPr>
          <w:highlight w:val="none"/>
        </w:rPr>
      </w:pPr>
      <w:r>
        <w:rPr>
          <w:rStyle w:val="122"/>
          <w:rFonts w:hint="eastAsia"/>
          <w:sz w:val="36"/>
          <w:szCs w:val="36"/>
          <w:highlight w:val="none"/>
        </w:rPr>
        <w:t>中小企业划型标准规定</w:t>
      </w:r>
    </w:p>
    <w:p>
      <w:pPr>
        <w:pStyle w:val="13"/>
        <w:tabs>
          <w:tab w:val="left" w:pos="1146"/>
        </w:tabs>
        <w:spacing w:line="560" w:lineRule="exact"/>
        <w:ind w:left="571" w:leftChars="272" w:firstLine="2" w:firstLineChars="0"/>
        <w:jc w:val="left"/>
        <w:rPr>
          <w:sz w:val="24"/>
          <w:highlight w:val="none"/>
        </w:rPr>
      </w:pPr>
      <w:r>
        <w:rPr>
          <w:rFonts w:hint="eastAsia"/>
          <w:sz w:val="24"/>
          <w:highlight w:val="none"/>
        </w:rPr>
        <w:t>一、根据《中华人民共和国中小企业促进法》和《国务院关于进一步促进中小企业发展的若干意见》(国发〔2009〕36号)，制定本规定。</w:t>
      </w:r>
    </w:p>
    <w:p>
      <w:pPr>
        <w:pStyle w:val="13"/>
        <w:tabs>
          <w:tab w:val="left" w:pos="1146"/>
        </w:tabs>
        <w:spacing w:line="560" w:lineRule="exact"/>
        <w:ind w:left="571" w:leftChars="272" w:firstLine="2" w:firstLineChars="0"/>
        <w:jc w:val="left"/>
        <w:rPr>
          <w:sz w:val="24"/>
          <w:highlight w:val="none"/>
        </w:rPr>
      </w:pPr>
      <w:r>
        <w:rPr>
          <w:rFonts w:hint="eastAsia"/>
          <w:sz w:val="24"/>
          <w:highlight w:val="none"/>
        </w:rPr>
        <w:t>二、中小企业划分为中型、小型、微型三种类型，具体标准根据企业从业人员、营业收入、资产总额等指标，结合行业特点制定。</w:t>
      </w:r>
    </w:p>
    <w:p>
      <w:pPr>
        <w:pStyle w:val="13"/>
        <w:tabs>
          <w:tab w:val="left" w:pos="1146"/>
        </w:tabs>
        <w:spacing w:line="560" w:lineRule="exact"/>
        <w:ind w:left="571" w:leftChars="272" w:firstLine="2" w:firstLineChars="0"/>
        <w:jc w:val="left"/>
        <w:rPr>
          <w:sz w:val="24"/>
          <w:highlight w:val="none"/>
        </w:rPr>
      </w:pPr>
      <w:r>
        <w:rPr>
          <w:rFonts w:hint="eastAsia"/>
          <w:sz w:val="24"/>
          <w:highlight w:val="none"/>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13"/>
        <w:tabs>
          <w:tab w:val="left" w:pos="1146"/>
        </w:tabs>
        <w:spacing w:line="560" w:lineRule="exact"/>
        <w:ind w:left="571" w:leftChars="272" w:firstLine="2" w:firstLineChars="0"/>
        <w:jc w:val="left"/>
        <w:rPr>
          <w:sz w:val="24"/>
          <w:highlight w:val="none"/>
        </w:rPr>
      </w:pPr>
      <w:r>
        <w:rPr>
          <w:rFonts w:hint="eastAsia"/>
          <w:sz w:val="24"/>
          <w:highlight w:val="none"/>
        </w:rPr>
        <w:t>四、各行业划型标准为：</w:t>
      </w:r>
    </w:p>
    <w:p>
      <w:pPr>
        <w:pStyle w:val="13"/>
        <w:tabs>
          <w:tab w:val="left" w:pos="1146"/>
        </w:tabs>
        <w:spacing w:line="560" w:lineRule="exact"/>
        <w:ind w:left="571" w:leftChars="272" w:firstLine="2" w:firstLineChars="0"/>
        <w:jc w:val="left"/>
        <w:rPr>
          <w:sz w:val="24"/>
          <w:highlight w:val="none"/>
        </w:rPr>
      </w:pPr>
      <w:r>
        <w:rPr>
          <w:rFonts w:hint="eastAsia"/>
          <w:sz w:val="24"/>
          <w:highlight w:val="none"/>
        </w:rPr>
        <w:t>（一）农、林、牧、渔业。营业收入20000万元以下的为中小微型企业。其中，营业收入500万元及以上的为中型企业，营业收入50万元及以上的为小型企业，营业收入50万元以下的为微型企业。</w:t>
      </w:r>
    </w:p>
    <w:p>
      <w:pPr>
        <w:pStyle w:val="13"/>
        <w:tabs>
          <w:tab w:val="left" w:pos="1146"/>
        </w:tabs>
        <w:spacing w:line="560" w:lineRule="exact"/>
        <w:ind w:left="571" w:leftChars="272" w:firstLine="2" w:firstLineChars="0"/>
        <w:jc w:val="left"/>
        <w:rPr>
          <w:sz w:val="24"/>
          <w:highlight w:val="none"/>
        </w:rPr>
      </w:pPr>
      <w:r>
        <w:rPr>
          <w:rFonts w:hint="eastAsia"/>
          <w:sz w:val="24"/>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13"/>
        <w:tabs>
          <w:tab w:val="left" w:pos="1146"/>
        </w:tabs>
        <w:spacing w:line="560" w:lineRule="exact"/>
        <w:ind w:left="571" w:leftChars="272" w:firstLine="2" w:firstLineChars="0"/>
        <w:jc w:val="left"/>
        <w:rPr>
          <w:sz w:val="24"/>
          <w:highlight w:val="none"/>
        </w:rPr>
      </w:pPr>
      <w:r>
        <w:rPr>
          <w:rFonts w:hint="eastAsia"/>
          <w:sz w:val="24"/>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13"/>
        <w:tabs>
          <w:tab w:val="left" w:pos="1146"/>
        </w:tabs>
        <w:spacing w:line="560" w:lineRule="exact"/>
        <w:ind w:left="571" w:leftChars="272" w:firstLine="2" w:firstLineChars="0"/>
        <w:jc w:val="left"/>
        <w:rPr>
          <w:sz w:val="24"/>
          <w:highlight w:val="none"/>
        </w:rPr>
      </w:pPr>
      <w:r>
        <w:rPr>
          <w:rFonts w:hint="eastAsia"/>
          <w:sz w:val="24"/>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13"/>
        <w:tabs>
          <w:tab w:val="left" w:pos="1146"/>
        </w:tabs>
        <w:spacing w:line="560" w:lineRule="exact"/>
        <w:ind w:left="571" w:leftChars="272" w:firstLine="2" w:firstLineChars="0"/>
        <w:jc w:val="left"/>
        <w:rPr>
          <w:sz w:val="24"/>
          <w:highlight w:val="none"/>
        </w:rPr>
      </w:pPr>
      <w:r>
        <w:rPr>
          <w:rFonts w:hint="eastAsia"/>
          <w:sz w:val="24"/>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13"/>
        <w:tabs>
          <w:tab w:val="left" w:pos="1146"/>
        </w:tabs>
        <w:spacing w:line="560" w:lineRule="exact"/>
        <w:ind w:left="571" w:leftChars="272" w:firstLine="2" w:firstLineChars="0"/>
        <w:jc w:val="left"/>
        <w:rPr>
          <w:sz w:val="24"/>
          <w:highlight w:val="none"/>
        </w:rPr>
      </w:pPr>
      <w:r>
        <w:rPr>
          <w:rFonts w:hint="eastAsia"/>
          <w:sz w:val="24"/>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13"/>
        <w:tabs>
          <w:tab w:val="left" w:pos="1146"/>
        </w:tabs>
        <w:spacing w:line="560" w:lineRule="exact"/>
        <w:ind w:left="571" w:leftChars="272" w:firstLine="2" w:firstLineChars="0"/>
        <w:jc w:val="left"/>
        <w:rPr>
          <w:sz w:val="24"/>
          <w:highlight w:val="none"/>
        </w:rPr>
      </w:pPr>
      <w:r>
        <w:rPr>
          <w:rFonts w:hint="eastAsia"/>
          <w:sz w:val="24"/>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13"/>
        <w:tabs>
          <w:tab w:val="left" w:pos="1146"/>
        </w:tabs>
        <w:spacing w:line="560" w:lineRule="exact"/>
        <w:ind w:left="571" w:leftChars="272" w:firstLine="2" w:firstLineChars="0"/>
        <w:jc w:val="left"/>
        <w:rPr>
          <w:sz w:val="24"/>
          <w:highlight w:val="none"/>
        </w:rPr>
      </w:pPr>
      <w:r>
        <w:rPr>
          <w:rFonts w:hint="eastAsia"/>
          <w:sz w:val="24"/>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13"/>
        <w:tabs>
          <w:tab w:val="left" w:pos="1146"/>
        </w:tabs>
        <w:spacing w:line="560" w:lineRule="exact"/>
        <w:ind w:left="571" w:leftChars="272" w:firstLine="2" w:firstLineChars="0"/>
        <w:jc w:val="left"/>
        <w:rPr>
          <w:sz w:val="24"/>
          <w:highlight w:val="none"/>
        </w:rPr>
      </w:pPr>
      <w:r>
        <w:rPr>
          <w:rFonts w:hint="eastAsia"/>
          <w:sz w:val="24"/>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13"/>
        <w:tabs>
          <w:tab w:val="left" w:pos="1146"/>
        </w:tabs>
        <w:spacing w:line="560" w:lineRule="exact"/>
        <w:ind w:left="571" w:leftChars="272" w:firstLine="2" w:firstLineChars="0"/>
        <w:jc w:val="left"/>
        <w:rPr>
          <w:sz w:val="24"/>
          <w:highlight w:val="none"/>
        </w:rPr>
      </w:pPr>
      <w:r>
        <w:rPr>
          <w:rFonts w:hint="eastAsia"/>
          <w:sz w:val="24"/>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13"/>
        <w:tabs>
          <w:tab w:val="left" w:pos="1146"/>
        </w:tabs>
        <w:spacing w:line="560" w:lineRule="exact"/>
        <w:ind w:left="571" w:leftChars="272" w:firstLine="2" w:firstLineChars="0"/>
        <w:jc w:val="left"/>
        <w:rPr>
          <w:sz w:val="24"/>
          <w:highlight w:val="none"/>
        </w:rPr>
      </w:pPr>
      <w:r>
        <w:rPr>
          <w:rFonts w:hint="eastAsia"/>
          <w:sz w:val="24"/>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13"/>
        <w:tabs>
          <w:tab w:val="left" w:pos="1146"/>
        </w:tabs>
        <w:spacing w:line="560" w:lineRule="exact"/>
        <w:ind w:left="571" w:leftChars="272" w:firstLine="2" w:firstLineChars="0"/>
        <w:jc w:val="left"/>
        <w:rPr>
          <w:sz w:val="24"/>
          <w:highlight w:val="none"/>
        </w:rPr>
      </w:pPr>
      <w:r>
        <w:rPr>
          <w:rFonts w:hint="eastAsia"/>
          <w:sz w:val="24"/>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13"/>
        <w:tabs>
          <w:tab w:val="left" w:pos="1146"/>
        </w:tabs>
        <w:spacing w:line="560" w:lineRule="exact"/>
        <w:ind w:left="571" w:leftChars="272" w:firstLine="2" w:firstLineChars="0"/>
        <w:jc w:val="left"/>
        <w:rPr>
          <w:sz w:val="24"/>
          <w:highlight w:val="none"/>
        </w:rPr>
      </w:pPr>
      <w:r>
        <w:rPr>
          <w:rFonts w:hint="eastAsia"/>
          <w:sz w:val="24"/>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13"/>
        <w:tabs>
          <w:tab w:val="left" w:pos="1146"/>
        </w:tabs>
        <w:spacing w:line="560" w:lineRule="exact"/>
        <w:ind w:left="571" w:leftChars="272" w:firstLine="2" w:firstLineChars="0"/>
        <w:jc w:val="left"/>
        <w:rPr>
          <w:sz w:val="24"/>
          <w:highlight w:val="none"/>
        </w:rPr>
      </w:pPr>
      <w:r>
        <w:rPr>
          <w:rFonts w:hint="eastAsia"/>
          <w:sz w:val="24"/>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13"/>
        <w:tabs>
          <w:tab w:val="left" w:pos="1146"/>
        </w:tabs>
        <w:spacing w:line="560" w:lineRule="exact"/>
        <w:ind w:left="571" w:leftChars="272" w:firstLine="2" w:firstLineChars="0"/>
        <w:jc w:val="left"/>
        <w:rPr>
          <w:sz w:val="24"/>
          <w:highlight w:val="none"/>
        </w:rPr>
      </w:pPr>
      <w:r>
        <w:rPr>
          <w:rFonts w:hint="eastAsia"/>
          <w:sz w:val="24"/>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13"/>
        <w:tabs>
          <w:tab w:val="left" w:pos="1146"/>
        </w:tabs>
        <w:spacing w:line="560" w:lineRule="exact"/>
        <w:ind w:left="571" w:leftChars="272" w:firstLine="2" w:firstLineChars="0"/>
        <w:jc w:val="left"/>
        <w:rPr>
          <w:sz w:val="24"/>
          <w:highlight w:val="none"/>
        </w:rPr>
      </w:pPr>
      <w:r>
        <w:rPr>
          <w:rFonts w:hint="eastAsia"/>
          <w:sz w:val="24"/>
          <w:highlight w:val="none"/>
        </w:rPr>
        <w:t>（十六）其他未列明行业。从业人员300人以下的为中小微型企业。其中，从业人员100人及以上的为中型企业；从业人员10人及以上的为小型企业；从业人员10人以下的为微型企业。</w:t>
      </w:r>
    </w:p>
    <w:p>
      <w:pPr>
        <w:pStyle w:val="13"/>
        <w:tabs>
          <w:tab w:val="left" w:pos="1146"/>
        </w:tabs>
        <w:spacing w:line="560" w:lineRule="exact"/>
        <w:ind w:left="571" w:leftChars="272" w:firstLine="2" w:firstLineChars="0"/>
        <w:jc w:val="left"/>
        <w:rPr>
          <w:sz w:val="24"/>
          <w:highlight w:val="none"/>
        </w:rPr>
      </w:pPr>
      <w:r>
        <w:rPr>
          <w:rFonts w:hint="eastAsia"/>
          <w:sz w:val="24"/>
          <w:highlight w:val="none"/>
        </w:rPr>
        <w:t>五、企业类型的划分以统计部门的统计数据为依据。</w:t>
      </w:r>
    </w:p>
    <w:p>
      <w:pPr>
        <w:pStyle w:val="13"/>
        <w:tabs>
          <w:tab w:val="left" w:pos="1146"/>
        </w:tabs>
        <w:spacing w:line="560" w:lineRule="exact"/>
        <w:ind w:left="571" w:leftChars="272" w:firstLine="2" w:firstLineChars="0"/>
        <w:jc w:val="left"/>
        <w:rPr>
          <w:sz w:val="24"/>
          <w:highlight w:val="none"/>
        </w:rPr>
      </w:pPr>
      <w:r>
        <w:rPr>
          <w:rFonts w:hint="eastAsia"/>
          <w:sz w:val="24"/>
          <w:highlight w:val="none"/>
        </w:rPr>
        <w:t>六、本规定适用于在中华人民共和国境内依法设立的各类所有制和各种组织形式的企业。个体工商户和本规定以外的行业，参照本规定进行划型。</w:t>
      </w:r>
    </w:p>
    <w:p>
      <w:pPr>
        <w:pStyle w:val="13"/>
        <w:tabs>
          <w:tab w:val="left" w:pos="1146"/>
        </w:tabs>
        <w:spacing w:line="560" w:lineRule="exact"/>
        <w:ind w:left="571" w:leftChars="272" w:firstLine="2" w:firstLineChars="0"/>
        <w:jc w:val="left"/>
        <w:rPr>
          <w:sz w:val="24"/>
          <w:highlight w:val="none"/>
        </w:rPr>
      </w:pPr>
      <w:r>
        <w:rPr>
          <w:rFonts w:hint="eastAsia"/>
          <w:sz w:val="24"/>
          <w:highlight w:val="none"/>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13"/>
        <w:tabs>
          <w:tab w:val="left" w:pos="1146"/>
        </w:tabs>
        <w:spacing w:line="560" w:lineRule="exact"/>
        <w:ind w:left="571" w:leftChars="272" w:firstLine="2" w:firstLineChars="0"/>
        <w:jc w:val="left"/>
        <w:rPr>
          <w:sz w:val="24"/>
          <w:highlight w:val="none"/>
        </w:rPr>
      </w:pPr>
      <w:r>
        <w:rPr>
          <w:rFonts w:hint="eastAsia"/>
          <w:sz w:val="24"/>
          <w:highlight w:val="none"/>
        </w:rPr>
        <w:t>八、本规定由工业和信息化部、国家统计局会同有关部门根据《国民经济行业分类》修订情况和企业发展变化情况适时修订。</w:t>
      </w:r>
    </w:p>
    <w:p>
      <w:pPr>
        <w:pStyle w:val="13"/>
        <w:tabs>
          <w:tab w:val="left" w:pos="1146"/>
        </w:tabs>
        <w:spacing w:line="560" w:lineRule="exact"/>
        <w:ind w:left="571" w:leftChars="272" w:firstLine="2" w:firstLineChars="0"/>
        <w:jc w:val="left"/>
        <w:rPr>
          <w:rFonts w:ascii="宋体" w:hAnsi="宋体"/>
          <w:b/>
          <w:sz w:val="30"/>
          <w:szCs w:val="30"/>
          <w:highlight w:val="none"/>
        </w:rPr>
      </w:pPr>
      <w:r>
        <w:rPr>
          <w:rFonts w:hint="eastAsia"/>
          <w:sz w:val="24"/>
          <w:highlight w:val="none"/>
        </w:rPr>
        <w:t>九、本规定由工业和信息化部、国家统计局会同有关部门负责解释。</w:t>
      </w:r>
      <w:r>
        <w:rPr>
          <w:rFonts w:ascii="宋体" w:hAnsi="宋体"/>
          <w:b/>
          <w:sz w:val="28"/>
          <w:highlight w:val="none"/>
        </w:rPr>
        <w:br w:type="page"/>
      </w:r>
      <w:bookmarkEnd w:id="59"/>
      <w:r>
        <w:rPr>
          <w:rFonts w:hint="eastAsia" w:ascii="宋体" w:hAnsi="宋体"/>
          <w:b/>
          <w:sz w:val="30"/>
          <w:szCs w:val="30"/>
          <w:highlight w:val="none"/>
        </w:rPr>
        <w:t>响应人须知正文</w:t>
      </w:r>
    </w:p>
    <w:p>
      <w:pPr>
        <w:pStyle w:val="4"/>
        <w:spacing w:before="120" w:after="120" w:line="360" w:lineRule="exact"/>
        <w:ind w:firstLine="516" w:firstLineChars="214"/>
        <w:rPr>
          <w:rFonts w:ascii="宋体" w:hAnsi="宋体" w:eastAsia="宋体"/>
          <w:sz w:val="24"/>
          <w:szCs w:val="24"/>
          <w:highlight w:val="none"/>
        </w:rPr>
      </w:pPr>
      <w:bookmarkStart w:id="60" w:name="_Toc8313"/>
      <w:bookmarkStart w:id="61" w:name="_Toc18630"/>
      <w:bookmarkStart w:id="62" w:name="_Toc30208"/>
      <w:bookmarkStart w:id="63" w:name="_Toc18041"/>
      <w:bookmarkStart w:id="64" w:name="_Toc60585208"/>
      <w:r>
        <w:rPr>
          <w:rFonts w:hint="eastAsia" w:ascii="宋体" w:hAnsi="宋体" w:eastAsia="宋体"/>
          <w:sz w:val="24"/>
          <w:szCs w:val="24"/>
          <w:highlight w:val="none"/>
        </w:rPr>
        <w:t>一、说明</w:t>
      </w:r>
      <w:bookmarkEnd w:id="60"/>
      <w:bookmarkEnd w:id="61"/>
      <w:bookmarkEnd w:id="62"/>
      <w:bookmarkEnd w:id="63"/>
      <w:bookmarkEnd w:id="64"/>
    </w:p>
    <w:p>
      <w:pPr>
        <w:pStyle w:val="6"/>
        <w:spacing w:before="0" w:after="0" w:line="500" w:lineRule="exact"/>
        <w:ind w:firstLine="504" w:firstLineChars="209"/>
        <w:rPr>
          <w:rFonts w:ascii="宋体" w:hAnsi="宋体"/>
          <w:sz w:val="24"/>
          <w:szCs w:val="24"/>
          <w:highlight w:val="none"/>
        </w:rPr>
      </w:pPr>
      <w:bookmarkStart w:id="65" w:name="_Toc346372877"/>
      <w:bookmarkStart w:id="66" w:name="_Toc352332851"/>
      <w:bookmarkStart w:id="67" w:name="_Toc346306730"/>
      <w:r>
        <w:rPr>
          <w:rFonts w:ascii="宋体" w:hAnsi="宋体"/>
          <w:sz w:val="24"/>
          <w:szCs w:val="24"/>
          <w:highlight w:val="none"/>
        </w:rPr>
        <w:t xml:space="preserve">1.   </w:t>
      </w:r>
      <w:bookmarkEnd w:id="65"/>
      <w:bookmarkEnd w:id="66"/>
      <w:bookmarkEnd w:id="67"/>
      <w:r>
        <w:rPr>
          <w:rFonts w:hint="eastAsia" w:ascii="宋体" w:hAnsi="宋体"/>
          <w:sz w:val="24"/>
          <w:szCs w:val="24"/>
          <w:highlight w:val="none"/>
        </w:rPr>
        <w:t>采购人</w:t>
      </w:r>
    </w:p>
    <w:p>
      <w:pPr>
        <w:autoSpaceDE w:val="0"/>
        <w:autoSpaceDN w:val="0"/>
        <w:adjustRightInd w:val="0"/>
        <w:snapToGrid w:val="0"/>
        <w:spacing w:line="560" w:lineRule="exact"/>
        <w:ind w:firstLine="600" w:firstLineChars="250"/>
        <w:jc w:val="left"/>
        <w:rPr>
          <w:rFonts w:ascii="宋体" w:hAnsi="宋体" w:cs="TimesNewRomanPSMT"/>
          <w:kern w:val="0"/>
          <w:sz w:val="24"/>
          <w:highlight w:val="none"/>
        </w:rPr>
      </w:pPr>
      <w:r>
        <w:rPr>
          <w:rFonts w:hint="eastAsia" w:ascii="宋体" w:hAnsi="宋体" w:cs="TimesNewRomanPSMT"/>
          <w:kern w:val="0"/>
          <w:sz w:val="24"/>
          <w:highlight w:val="none"/>
        </w:rPr>
        <w:t>详见响应人须知前附表。</w:t>
      </w:r>
    </w:p>
    <w:p>
      <w:pPr>
        <w:pStyle w:val="6"/>
        <w:spacing w:before="0" w:after="0" w:line="500" w:lineRule="exact"/>
        <w:ind w:firstLine="504" w:firstLineChars="209"/>
        <w:rPr>
          <w:rFonts w:ascii="宋体" w:hAnsi="宋体"/>
          <w:sz w:val="24"/>
          <w:szCs w:val="24"/>
          <w:highlight w:val="none"/>
        </w:rPr>
      </w:pPr>
      <w:bookmarkStart w:id="68" w:name="_Toc352332852"/>
      <w:bookmarkStart w:id="69" w:name="_Toc346306731"/>
      <w:bookmarkStart w:id="70" w:name="_Toc346372878"/>
      <w:r>
        <w:rPr>
          <w:rFonts w:ascii="宋体" w:hAnsi="宋体"/>
          <w:sz w:val="24"/>
          <w:szCs w:val="24"/>
          <w:highlight w:val="none"/>
        </w:rPr>
        <w:t xml:space="preserve">2.   </w:t>
      </w:r>
      <w:bookmarkEnd w:id="68"/>
      <w:bookmarkEnd w:id="69"/>
      <w:bookmarkEnd w:id="70"/>
      <w:r>
        <w:rPr>
          <w:rFonts w:hint="eastAsia" w:ascii="宋体" w:hAnsi="宋体"/>
          <w:sz w:val="24"/>
          <w:szCs w:val="24"/>
          <w:highlight w:val="none"/>
        </w:rPr>
        <w:t>代理机构</w:t>
      </w:r>
    </w:p>
    <w:p>
      <w:pPr>
        <w:autoSpaceDE w:val="0"/>
        <w:autoSpaceDN w:val="0"/>
        <w:adjustRightInd w:val="0"/>
        <w:snapToGrid w:val="0"/>
        <w:spacing w:line="560" w:lineRule="exact"/>
        <w:ind w:firstLine="600" w:firstLineChars="250"/>
        <w:jc w:val="left"/>
        <w:rPr>
          <w:rFonts w:ascii="宋体" w:hAnsi="宋体" w:cs="TimesNewRomanPSMT"/>
          <w:kern w:val="0"/>
          <w:sz w:val="24"/>
          <w:highlight w:val="none"/>
        </w:rPr>
      </w:pPr>
      <w:bookmarkStart w:id="71" w:name="_Toc352332853"/>
      <w:bookmarkStart w:id="72" w:name="_Toc346372879"/>
      <w:bookmarkStart w:id="73" w:name="_Toc346306732"/>
      <w:r>
        <w:rPr>
          <w:rFonts w:hint="eastAsia" w:ascii="宋体" w:hAnsi="宋体" w:cs="TimesNewRomanPSMT"/>
          <w:kern w:val="0"/>
          <w:sz w:val="24"/>
          <w:highlight w:val="none"/>
        </w:rPr>
        <w:t>详见响应人须知前附表。</w:t>
      </w:r>
    </w:p>
    <w:p>
      <w:pPr>
        <w:pStyle w:val="6"/>
        <w:spacing w:before="0" w:after="0" w:line="500" w:lineRule="exact"/>
        <w:ind w:firstLine="504" w:firstLineChars="209"/>
        <w:rPr>
          <w:rFonts w:ascii="宋体" w:hAnsi="宋体"/>
          <w:sz w:val="24"/>
          <w:szCs w:val="24"/>
          <w:highlight w:val="none"/>
        </w:rPr>
      </w:pPr>
      <w:r>
        <w:rPr>
          <w:rFonts w:ascii="宋体" w:hAnsi="宋体"/>
          <w:sz w:val="24"/>
          <w:szCs w:val="24"/>
          <w:highlight w:val="none"/>
        </w:rPr>
        <w:t xml:space="preserve">3.   </w:t>
      </w:r>
      <w:r>
        <w:rPr>
          <w:rFonts w:hint="eastAsia" w:ascii="宋体" w:hAnsi="宋体"/>
          <w:sz w:val="24"/>
          <w:szCs w:val="24"/>
          <w:highlight w:val="none"/>
        </w:rPr>
        <w:t>合格</w:t>
      </w:r>
      <w:bookmarkEnd w:id="71"/>
      <w:bookmarkEnd w:id="72"/>
      <w:bookmarkEnd w:id="73"/>
      <w:r>
        <w:rPr>
          <w:rFonts w:hint="eastAsia" w:ascii="宋体" w:hAnsi="宋体"/>
          <w:sz w:val="24"/>
          <w:szCs w:val="24"/>
          <w:highlight w:val="none"/>
        </w:rPr>
        <w:t>响应人</w:t>
      </w:r>
    </w:p>
    <w:p>
      <w:pPr>
        <w:autoSpaceDE w:val="0"/>
        <w:autoSpaceDN w:val="0"/>
        <w:adjustRightInd w:val="0"/>
        <w:snapToGrid w:val="0"/>
        <w:spacing w:line="560" w:lineRule="exact"/>
        <w:ind w:firstLine="600" w:firstLineChars="250"/>
        <w:jc w:val="left"/>
        <w:rPr>
          <w:rFonts w:ascii="宋体" w:hAnsi="宋体" w:cs="TimesNewRomanPSMT"/>
          <w:kern w:val="0"/>
          <w:sz w:val="24"/>
          <w:highlight w:val="none"/>
        </w:rPr>
      </w:pPr>
      <w:r>
        <w:rPr>
          <w:rFonts w:hint="eastAsia" w:ascii="宋体" w:hAnsi="宋体" w:cs="TimesNewRomanPSMT"/>
          <w:kern w:val="0"/>
          <w:sz w:val="24"/>
          <w:highlight w:val="none"/>
        </w:rPr>
        <w:t>详见响应人须知前附表。</w:t>
      </w:r>
    </w:p>
    <w:p>
      <w:pPr>
        <w:pStyle w:val="6"/>
        <w:spacing w:before="0" w:after="0" w:line="500" w:lineRule="exact"/>
        <w:ind w:firstLine="504" w:firstLineChars="209"/>
        <w:rPr>
          <w:rFonts w:ascii="宋体" w:hAnsi="宋体"/>
          <w:sz w:val="24"/>
          <w:szCs w:val="24"/>
          <w:highlight w:val="none"/>
        </w:rPr>
      </w:pPr>
      <w:bookmarkStart w:id="74" w:name="_Toc346372880"/>
      <w:bookmarkStart w:id="75" w:name="_Toc352332854"/>
      <w:bookmarkStart w:id="76" w:name="_Toc346306733"/>
      <w:r>
        <w:rPr>
          <w:rFonts w:ascii="宋体" w:hAnsi="宋体"/>
          <w:sz w:val="24"/>
          <w:szCs w:val="24"/>
          <w:highlight w:val="none"/>
        </w:rPr>
        <w:t xml:space="preserve">4.   </w:t>
      </w:r>
      <w:r>
        <w:rPr>
          <w:rFonts w:hint="eastAsia" w:ascii="宋体" w:hAnsi="宋体"/>
          <w:sz w:val="24"/>
          <w:szCs w:val="24"/>
          <w:highlight w:val="none"/>
        </w:rPr>
        <w:t>参加竞争性磋商的费用</w:t>
      </w:r>
      <w:bookmarkEnd w:id="74"/>
      <w:bookmarkEnd w:id="75"/>
      <w:bookmarkEnd w:id="76"/>
    </w:p>
    <w:p>
      <w:pPr>
        <w:autoSpaceDE w:val="0"/>
        <w:autoSpaceDN w:val="0"/>
        <w:adjustRightInd w:val="0"/>
        <w:snapToGrid w:val="0"/>
        <w:spacing w:line="560" w:lineRule="exact"/>
        <w:ind w:firstLine="600" w:firstLineChars="250"/>
        <w:jc w:val="left"/>
        <w:rPr>
          <w:rFonts w:ascii="宋体" w:hAnsi="宋体" w:cs="TimesNewRomanPSMT"/>
          <w:kern w:val="0"/>
          <w:sz w:val="24"/>
          <w:highlight w:val="none"/>
        </w:rPr>
      </w:pPr>
      <w:r>
        <w:rPr>
          <w:rFonts w:hint="eastAsia" w:ascii="宋体" w:hAnsi="宋体" w:cs="TimesNewRomanPSMT"/>
          <w:kern w:val="0"/>
          <w:sz w:val="24"/>
          <w:highlight w:val="none"/>
        </w:rPr>
        <w:t>无论磋商过程中的方法和结果如何，响应人自行承担所有与参加磋商有关费用。</w:t>
      </w:r>
    </w:p>
    <w:p>
      <w:pPr>
        <w:pStyle w:val="4"/>
        <w:spacing w:before="120" w:after="120" w:line="360" w:lineRule="exact"/>
        <w:ind w:firstLine="516" w:firstLineChars="214"/>
        <w:rPr>
          <w:rFonts w:ascii="宋体" w:hAnsi="宋体" w:eastAsia="宋体"/>
          <w:sz w:val="24"/>
          <w:szCs w:val="24"/>
          <w:highlight w:val="none"/>
        </w:rPr>
      </w:pPr>
      <w:bookmarkStart w:id="77" w:name="_Toc1397"/>
      <w:bookmarkStart w:id="78" w:name="_Toc5867"/>
      <w:bookmarkStart w:id="79" w:name="_Toc20643"/>
      <w:bookmarkStart w:id="80" w:name="_Toc60585209"/>
      <w:bookmarkStart w:id="81" w:name="_Toc19412"/>
      <w:r>
        <w:rPr>
          <w:rFonts w:hint="eastAsia" w:ascii="宋体" w:hAnsi="宋体" w:eastAsia="宋体"/>
          <w:sz w:val="24"/>
          <w:szCs w:val="24"/>
          <w:highlight w:val="none"/>
        </w:rPr>
        <w:t>二、采购文件</w:t>
      </w:r>
      <w:bookmarkEnd w:id="77"/>
      <w:bookmarkEnd w:id="78"/>
      <w:bookmarkEnd w:id="79"/>
      <w:bookmarkEnd w:id="80"/>
      <w:bookmarkEnd w:id="81"/>
    </w:p>
    <w:p>
      <w:pPr>
        <w:pStyle w:val="6"/>
        <w:spacing w:before="0" w:after="0" w:line="500" w:lineRule="exact"/>
        <w:ind w:firstLine="504" w:firstLineChars="209"/>
        <w:rPr>
          <w:rFonts w:ascii="宋体" w:hAnsi="宋体"/>
          <w:sz w:val="24"/>
          <w:szCs w:val="24"/>
          <w:highlight w:val="none"/>
        </w:rPr>
      </w:pPr>
      <w:bookmarkStart w:id="82" w:name="_Toc346372882"/>
      <w:bookmarkStart w:id="83" w:name="_Toc346306735"/>
      <w:bookmarkStart w:id="84" w:name="_Toc352332856"/>
      <w:r>
        <w:rPr>
          <w:rFonts w:ascii="宋体" w:hAnsi="宋体"/>
          <w:sz w:val="24"/>
          <w:szCs w:val="24"/>
          <w:highlight w:val="none"/>
        </w:rPr>
        <w:t xml:space="preserve">5.   </w:t>
      </w:r>
      <w:r>
        <w:rPr>
          <w:rFonts w:hint="eastAsia" w:ascii="宋体" w:hAnsi="宋体"/>
          <w:sz w:val="24"/>
          <w:szCs w:val="24"/>
          <w:highlight w:val="none"/>
        </w:rPr>
        <w:t>采购文件组成</w:t>
      </w:r>
      <w:bookmarkEnd w:id="82"/>
      <w:bookmarkEnd w:id="83"/>
      <w:bookmarkEnd w:id="84"/>
    </w:p>
    <w:p>
      <w:pPr>
        <w:autoSpaceDE w:val="0"/>
        <w:autoSpaceDN w:val="0"/>
        <w:adjustRightInd w:val="0"/>
        <w:snapToGrid w:val="0"/>
        <w:spacing w:line="560" w:lineRule="exact"/>
        <w:ind w:firstLine="600" w:firstLineChars="250"/>
        <w:jc w:val="left"/>
        <w:rPr>
          <w:rFonts w:ascii="宋体" w:hAnsi="宋体" w:cs="TimesNewRomanPSMT"/>
          <w:kern w:val="0"/>
          <w:sz w:val="24"/>
          <w:highlight w:val="none"/>
        </w:rPr>
      </w:pPr>
      <w:r>
        <w:rPr>
          <w:rFonts w:hint="eastAsia" w:ascii="宋体" w:hAnsi="宋体" w:cs="TimesNewRomanPSMT"/>
          <w:kern w:val="0"/>
          <w:sz w:val="24"/>
          <w:highlight w:val="none"/>
        </w:rPr>
        <w:t>本采购文件由采购文件目录所列内容及按本采购文件要求发出的澄清、答疑和修改组成。</w:t>
      </w:r>
    </w:p>
    <w:p>
      <w:pPr>
        <w:pStyle w:val="6"/>
        <w:spacing w:before="0" w:after="0" w:line="500" w:lineRule="exact"/>
        <w:ind w:firstLine="504" w:firstLineChars="209"/>
        <w:rPr>
          <w:rFonts w:ascii="宋体" w:hAnsi="宋体"/>
          <w:sz w:val="24"/>
          <w:szCs w:val="24"/>
          <w:highlight w:val="none"/>
        </w:rPr>
      </w:pPr>
      <w:bookmarkStart w:id="85" w:name="_Toc346306736"/>
      <w:bookmarkStart w:id="86" w:name="_Toc352332857"/>
      <w:bookmarkStart w:id="87" w:name="_Toc346372883"/>
      <w:r>
        <w:rPr>
          <w:rFonts w:ascii="宋体" w:hAnsi="宋体"/>
          <w:sz w:val="24"/>
          <w:szCs w:val="24"/>
          <w:highlight w:val="none"/>
        </w:rPr>
        <w:t xml:space="preserve">6.   </w:t>
      </w:r>
      <w:r>
        <w:rPr>
          <w:rFonts w:hint="eastAsia" w:ascii="宋体" w:hAnsi="宋体"/>
          <w:sz w:val="24"/>
          <w:szCs w:val="24"/>
          <w:highlight w:val="none"/>
        </w:rPr>
        <w:t>采购文件答疑</w:t>
      </w:r>
      <w:bookmarkEnd w:id="85"/>
      <w:bookmarkEnd w:id="86"/>
      <w:bookmarkEnd w:id="87"/>
    </w:p>
    <w:p>
      <w:pPr>
        <w:autoSpaceDE w:val="0"/>
        <w:autoSpaceDN w:val="0"/>
        <w:adjustRightInd w:val="0"/>
        <w:snapToGrid w:val="0"/>
        <w:spacing w:line="560" w:lineRule="exact"/>
        <w:ind w:firstLine="600" w:firstLineChars="250"/>
        <w:jc w:val="left"/>
        <w:rPr>
          <w:rFonts w:ascii="宋体" w:hAnsi="宋体" w:cs="TimesNewRomanPSMT"/>
          <w:kern w:val="0"/>
          <w:sz w:val="24"/>
          <w:highlight w:val="none"/>
        </w:rPr>
      </w:pPr>
      <w:r>
        <w:rPr>
          <w:rFonts w:hint="eastAsia" w:ascii="宋体" w:hAnsi="宋体" w:cs="TimesNewRomanPSMT"/>
          <w:kern w:val="0"/>
          <w:sz w:val="24"/>
          <w:highlight w:val="none"/>
        </w:rPr>
        <w:t>响应人对采购文件如有疑问，应于前附表所述时间以前以书面形式通知到代理机构。在前附表所述时间之前，代理机构将视情况以书面形式予以答复，如有必要可将答复内容包括原提出的问题（但不表明问题的来源），分发给所有取得同一采购文件的响应人。响应人须在收到代理机构的书面答复后</w:t>
      </w:r>
      <w:r>
        <w:rPr>
          <w:rFonts w:ascii="宋体" w:hAnsi="宋体" w:cs="TimesNewRomanPSMT"/>
          <w:kern w:val="0"/>
          <w:sz w:val="24"/>
          <w:highlight w:val="none"/>
        </w:rPr>
        <w:t>24</w:t>
      </w:r>
      <w:r>
        <w:rPr>
          <w:rFonts w:hint="eastAsia" w:ascii="宋体" w:hAnsi="宋体" w:cs="TimesNewRomanPSMT"/>
          <w:kern w:val="0"/>
          <w:sz w:val="24"/>
          <w:highlight w:val="none"/>
        </w:rPr>
        <w:t>小时内书面回复。</w:t>
      </w:r>
    </w:p>
    <w:p>
      <w:pPr>
        <w:pStyle w:val="6"/>
        <w:spacing w:before="0" w:after="0" w:line="500" w:lineRule="exact"/>
        <w:ind w:firstLine="504" w:firstLineChars="209"/>
        <w:rPr>
          <w:rFonts w:ascii="宋体" w:hAnsi="宋体"/>
          <w:sz w:val="24"/>
          <w:szCs w:val="24"/>
          <w:highlight w:val="none"/>
        </w:rPr>
      </w:pPr>
      <w:bookmarkStart w:id="88" w:name="_Toc346372884"/>
      <w:bookmarkStart w:id="89" w:name="_Toc352332858"/>
      <w:bookmarkStart w:id="90" w:name="_Toc346306737"/>
      <w:r>
        <w:rPr>
          <w:rFonts w:ascii="宋体" w:hAnsi="宋体"/>
          <w:sz w:val="24"/>
          <w:szCs w:val="24"/>
          <w:highlight w:val="none"/>
        </w:rPr>
        <w:t xml:space="preserve">7.   </w:t>
      </w:r>
      <w:r>
        <w:rPr>
          <w:rFonts w:hint="eastAsia" w:ascii="宋体" w:hAnsi="宋体"/>
          <w:sz w:val="24"/>
          <w:szCs w:val="24"/>
          <w:highlight w:val="none"/>
        </w:rPr>
        <w:t>采购文件澄清和修改</w:t>
      </w:r>
      <w:bookmarkEnd w:id="88"/>
      <w:bookmarkEnd w:id="89"/>
      <w:bookmarkEnd w:id="90"/>
    </w:p>
    <w:p>
      <w:pPr>
        <w:autoSpaceDE w:val="0"/>
        <w:autoSpaceDN w:val="0"/>
        <w:adjustRightInd w:val="0"/>
        <w:snapToGrid w:val="0"/>
        <w:spacing w:line="560" w:lineRule="exact"/>
        <w:ind w:firstLine="600" w:firstLineChars="250"/>
        <w:jc w:val="left"/>
        <w:rPr>
          <w:rFonts w:ascii="宋体" w:hAnsi="宋体" w:cs="TimesNewRomanPSMT"/>
          <w:kern w:val="0"/>
          <w:sz w:val="24"/>
          <w:highlight w:val="none"/>
        </w:rPr>
      </w:pPr>
      <w:r>
        <w:rPr>
          <w:rFonts w:ascii="宋体" w:hAnsi="宋体" w:cs="TimesNewRomanPSMT"/>
          <w:kern w:val="0"/>
          <w:sz w:val="24"/>
          <w:highlight w:val="none"/>
        </w:rPr>
        <w:t xml:space="preserve">7.1  </w:t>
      </w:r>
      <w:r>
        <w:rPr>
          <w:rFonts w:hint="eastAsia" w:ascii="宋体" w:hAnsi="宋体" w:cs="TimesNewRomanPSMT"/>
          <w:kern w:val="0"/>
          <w:sz w:val="24"/>
          <w:highlight w:val="none"/>
        </w:rPr>
        <w:t>代理机构对采购文件有澄清或修改的内容，将以书面补充文件形式通知已购买采购文件的所有响应人。补充文件作为采购文件的组成部分，对所有响应人具有约束力。</w:t>
      </w:r>
    </w:p>
    <w:p>
      <w:pPr>
        <w:autoSpaceDE w:val="0"/>
        <w:autoSpaceDN w:val="0"/>
        <w:adjustRightInd w:val="0"/>
        <w:snapToGrid w:val="0"/>
        <w:spacing w:line="560" w:lineRule="exact"/>
        <w:ind w:firstLine="600" w:firstLineChars="250"/>
        <w:jc w:val="left"/>
        <w:rPr>
          <w:rFonts w:ascii="宋体" w:hAnsi="宋体" w:cs="TimesNewRomanPSMT"/>
          <w:kern w:val="0"/>
          <w:sz w:val="24"/>
          <w:highlight w:val="none"/>
        </w:rPr>
      </w:pPr>
      <w:r>
        <w:rPr>
          <w:rFonts w:ascii="宋体" w:hAnsi="宋体" w:cs="TimesNewRomanPSMT"/>
          <w:kern w:val="0"/>
          <w:sz w:val="24"/>
          <w:highlight w:val="none"/>
        </w:rPr>
        <w:t xml:space="preserve">7.2  </w:t>
      </w:r>
      <w:r>
        <w:rPr>
          <w:rFonts w:hint="eastAsia" w:ascii="宋体" w:hAnsi="宋体" w:cs="TimesNewRomanPSMT"/>
          <w:kern w:val="0"/>
          <w:sz w:val="24"/>
          <w:highlight w:val="none"/>
        </w:rPr>
        <w:t>为使响应人有足够的时间按采购文件的要求修改响应文件，代理机构可酌情推迟响应文件递交的截止时间，并将此变更书面通知各响应人。</w:t>
      </w:r>
    </w:p>
    <w:p>
      <w:pPr>
        <w:autoSpaceDE w:val="0"/>
        <w:autoSpaceDN w:val="0"/>
        <w:adjustRightInd w:val="0"/>
        <w:snapToGrid w:val="0"/>
        <w:spacing w:line="560" w:lineRule="exact"/>
        <w:ind w:firstLine="600" w:firstLineChars="250"/>
        <w:jc w:val="left"/>
        <w:rPr>
          <w:rFonts w:ascii="宋体" w:hAnsi="宋体" w:cs="TimesNewRomanPSMT"/>
          <w:kern w:val="0"/>
          <w:sz w:val="24"/>
          <w:highlight w:val="none"/>
        </w:rPr>
      </w:pPr>
      <w:r>
        <w:rPr>
          <w:rFonts w:ascii="宋体" w:hAnsi="宋体" w:cs="TimesNewRomanPSMT"/>
          <w:kern w:val="0"/>
          <w:sz w:val="24"/>
          <w:highlight w:val="none"/>
        </w:rPr>
        <w:t xml:space="preserve">7.3  </w:t>
      </w:r>
      <w:r>
        <w:rPr>
          <w:rFonts w:hint="eastAsia" w:ascii="宋体" w:hAnsi="宋体" w:cs="TimesNewRomanPSMT"/>
          <w:kern w:val="0"/>
          <w:sz w:val="24"/>
          <w:highlight w:val="none"/>
        </w:rPr>
        <w:t>响应人须在收到代理机构的澄清、修改或变更后</w:t>
      </w:r>
      <w:r>
        <w:rPr>
          <w:rFonts w:ascii="宋体" w:hAnsi="宋体" w:cs="TimesNewRomanPSMT"/>
          <w:kern w:val="0"/>
          <w:sz w:val="24"/>
          <w:highlight w:val="none"/>
        </w:rPr>
        <w:t>24</w:t>
      </w:r>
      <w:r>
        <w:rPr>
          <w:rFonts w:hint="eastAsia" w:ascii="宋体" w:hAnsi="宋体" w:cs="TimesNewRomanPSMT"/>
          <w:kern w:val="0"/>
          <w:sz w:val="24"/>
          <w:highlight w:val="none"/>
        </w:rPr>
        <w:t>小时内书面回执。响应人未回复的，视同已知晓澄清或者修改的内容。</w:t>
      </w:r>
    </w:p>
    <w:p>
      <w:pPr>
        <w:pStyle w:val="4"/>
        <w:spacing w:before="120" w:after="120" w:line="360" w:lineRule="exact"/>
        <w:ind w:firstLine="516" w:firstLineChars="214"/>
        <w:rPr>
          <w:rFonts w:ascii="宋体" w:hAnsi="宋体" w:eastAsia="宋体"/>
          <w:sz w:val="24"/>
          <w:szCs w:val="24"/>
          <w:highlight w:val="none"/>
        </w:rPr>
      </w:pPr>
      <w:bookmarkStart w:id="91" w:name="_Toc30790"/>
      <w:bookmarkStart w:id="92" w:name="_Toc24018"/>
      <w:bookmarkStart w:id="93" w:name="_Toc4267"/>
      <w:bookmarkStart w:id="94" w:name="_Toc60585210"/>
      <w:bookmarkStart w:id="95" w:name="_Toc12059"/>
      <w:r>
        <w:rPr>
          <w:rFonts w:hint="eastAsia" w:ascii="宋体" w:hAnsi="宋体" w:eastAsia="宋体"/>
          <w:sz w:val="24"/>
          <w:szCs w:val="24"/>
          <w:highlight w:val="none"/>
        </w:rPr>
        <w:t>三、响应文件编写</w:t>
      </w:r>
      <w:bookmarkEnd w:id="91"/>
      <w:bookmarkEnd w:id="92"/>
      <w:bookmarkEnd w:id="93"/>
      <w:bookmarkEnd w:id="94"/>
      <w:bookmarkEnd w:id="95"/>
    </w:p>
    <w:p>
      <w:pPr>
        <w:pStyle w:val="6"/>
        <w:spacing w:before="0" w:after="0" w:line="500" w:lineRule="exact"/>
        <w:ind w:firstLine="504" w:firstLineChars="209"/>
        <w:rPr>
          <w:rFonts w:ascii="宋体" w:hAnsi="宋体"/>
          <w:sz w:val="24"/>
          <w:szCs w:val="24"/>
          <w:highlight w:val="none"/>
        </w:rPr>
      </w:pPr>
      <w:bookmarkStart w:id="96" w:name="_Toc346372886"/>
      <w:bookmarkStart w:id="97" w:name="_Toc352332860"/>
      <w:bookmarkStart w:id="98" w:name="_Toc346306739"/>
      <w:r>
        <w:rPr>
          <w:rFonts w:ascii="宋体" w:hAnsi="宋体"/>
          <w:sz w:val="24"/>
          <w:szCs w:val="24"/>
          <w:highlight w:val="none"/>
        </w:rPr>
        <w:t xml:space="preserve">8.   </w:t>
      </w:r>
      <w:r>
        <w:rPr>
          <w:rFonts w:hint="eastAsia" w:ascii="宋体" w:hAnsi="宋体"/>
          <w:sz w:val="24"/>
          <w:szCs w:val="24"/>
          <w:highlight w:val="none"/>
        </w:rPr>
        <w:t>报价语言及计量单位</w:t>
      </w:r>
      <w:bookmarkEnd w:id="96"/>
      <w:bookmarkEnd w:id="97"/>
      <w:bookmarkEnd w:id="98"/>
    </w:p>
    <w:p>
      <w:pPr>
        <w:autoSpaceDE w:val="0"/>
        <w:autoSpaceDN w:val="0"/>
        <w:adjustRightInd w:val="0"/>
        <w:snapToGrid w:val="0"/>
        <w:spacing w:line="560" w:lineRule="exact"/>
        <w:ind w:firstLine="600" w:firstLineChars="250"/>
        <w:jc w:val="left"/>
        <w:rPr>
          <w:rFonts w:ascii="宋体" w:hAnsi="宋体" w:cs="TimesNewRomanPSMT"/>
          <w:kern w:val="0"/>
          <w:sz w:val="24"/>
          <w:highlight w:val="none"/>
        </w:rPr>
      </w:pPr>
      <w:r>
        <w:rPr>
          <w:rFonts w:ascii="宋体" w:hAnsi="宋体" w:cs="TimesNewRomanPSMT"/>
          <w:kern w:val="0"/>
          <w:sz w:val="24"/>
          <w:highlight w:val="none"/>
        </w:rPr>
        <w:t xml:space="preserve">8.1  </w:t>
      </w:r>
      <w:r>
        <w:rPr>
          <w:rFonts w:hint="eastAsia" w:ascii="宋体" w:hAnsi="宋体" w:cs="TimesNewRomanPSMT"/>
          <w:kern w:val="0"/>
          <w:sz w:val="24"/>
          <w:highlight w:val="none"/>
        </w:rPr>
        <w:t>响应人和代理机构就采购过程交换的文件和来往信函均使用中文。</w:t>
      </w:r>
    </w:p>
    <w:p>
      <w:pPr>
        <w:autoSpaceDE w:val="0"/>
        <w:autoSpaceDN w:val="0"/>
        <w:adjustRightInd w:val="0"/>
        <w:snapToGrid w:val="0"/>
        <w:spacing w:line="560" w:lineRule="exact"/>
        <w:ind w:firstLine="600" w:firstLineChars="250"/>
        <w:jc w:val="left"/>
        <w:rPr>
          <w:rFonts w:ascii="宋体" w:hAnsi="宋体" w:cs="TimesNewRomanPSMT"/>
          <w:kern w:val="0"/>
          <w:sz w:val="24"/>
          <w:highlight w:val="none"/>
        </w:rPr>
      </w:pPr>
      <w:r>
        <w:rPr>
          <w:rFonts w:ascii="宋体" w:hAnsi="宋体" w:cs="TimesNewRomanPSMT"/>
          <w:kern w:val="0"/>
          <w:sz w:val="24"/>
          <w:highlight w:val="none"/>
        </w:rPr>
        <w:t xml:space="preserve">8.2  </w:t>
      </w:r>
      <w:r>
        <w:rPr>
          <w:rFonts w:hint="eastAsia" w:ascii="宋体" w:hAnsi="宋体" w:cs="TimesNewRomanPSMT"/>
          <w:kern w:val="0"/>
          <w:sz w:val="24"/>
          <w:highlight w:val="none"/>
        </w:rPr>
        <w:t>除采购文件的技术要求中另有规定外，响应文件中所使用的计量单位应使用中华人民共和国法定计量单位。</w:t>
      </w:r>
    </w:p>
    <w:p>
      <w:pPr>
        <w:pStyle w:val="6"/>
        <w:spacing w:before="0" w:after="0" w:line="500" w:lineRule="exact"/>
        <w:ind w:firstLine="504" w:firstLineChars="209"/>
        <w:rPr>
          <w:rFonts w:ascii="宋体" w:hAnsi="宋体"/>
          <w:sz w:val="24"/>
          <w:szCs w:val="24"/>
          <w:highlight w:val="none"/>
        </w:rPr>
      </w:pPr>
      <w:bookmarkStart w:id="99" w:name="_Toc346372887"/>
      <w:bookmarkStart w:id="100" w:name="_Toc352332861"/>
      <w:bookmarkStart w:id="101" w:name="_Toc346306740"/>
      <w:r>
        <w:rPr>
          <w:rFonts w:ascii="宋体" w:hAnsi="宋体"/>
          <w:sz w:val="24"/>
          <w:szCs w:val="24"/>
          <w:highlight w:val="none"/>
        </w:rPr>
        <w:t xml:space="preserve">9.   </w:t>
      </w:r>
      <w:r>
        <w:rPr>
          <w:rFonts w:hint="eastAsia" w:ascii="宋体" w:hAnsi="宋体"/>
          <w:sz w:val="24"/>
          <w:szCs w:val="24"/>
          <w:highlight w:val="none"/>
        </w:rPr>
        <w:t>响应文件组成</w:t>
      </w:r>
      <w:bookmarkEnd w:id="99"/>
      <w:bookmarkEnd w:id="100"/>
      <w:bookmarkEnd w:id="101"/>
    </w:p>
    <w:p>
      <w:pPr>
        <w:pStyle w:val="31"/>
        <w:spacing w:after="0" w:line="560" w:lineRule="exact"/>
        <w:ind w:firstLine="573" w:firstLineChars="238"/>
        <w:rPr>
          <w:rFonts w:ascii="宋体" w:hAnsi="宋体"/>
          <w:b/>
          <w:sz w:val="24"/>
          <w:highlight w:val="none"/>
        </w:rPr>
      </w:pPr>
      <w:r>
        <w:rPr>
          <w:rFonts w:hint="eastAsia" w:ascii="宋体" w:hAnsi="宋体"/>
          <w:b/>
          <w:sz w:val="24"/>
          <w:highlight w:val="none"/>
        </w:rPr>
        <w:t>响应文件由下列部分组成，但不限于以下部分：</w:t>
      </w:r>
    </w:p>
    <w:p>
      <w:pPr>
        <w:pStyle w:val="31"/>
        <w:spacing w:after="0" w:line="560" w:lineRule="exact"/>
        <w:ind w:firstLine="573" w:firstLineChars="238"/>
        <w:rPr>
          <w:rFonts w:ascii="宋体" w:hAnsi="宋体"/>
          <w:b/>
          <w:sz w:val="24"/>
          <w:highlight w:val="none"/>
        </w:rPr>
      </w:pPr>
      <w:r>
        <w:rPr>
          <w:rFonts w:ascii="宋体" w:hAnsi="宋体"/>
          <w:b/>
          <w:sz w:val="24"/>
          <w:highlight w:val="none"/>
        </w:rPr>
        <w:t xml:space="preserve">9.1 </w:t>
      </w:r>
      <w:r>
        <w:rPr>
          <w:rFonts w:hint="eastAsia" w:ascii="宋体" w:hAnsi="宋体"/>
          <w:b/>
          <w:sz w:val="24"/>
          <w:highlight w:val="none"/>
        </w:rPr>
        <w:t>商务部分</w:t>
      </w:r>
    </w:p>
    <w:p>
      <w:pPr>
        <w:pStyle w:val="48"/>
        <w:spacing w:line="560" w:lineRule="exact"/>
        <w:ind w:left="1144" w:leftChars="272" w:hanging="573" w:hangingChars="239"/>
        <w:rPr>
          <w:rFonts w:ascii="宋体" w:hAnsi="宋体"/>
          <w:sz w:val="24"/>
          <w:szCs w:val="20"/>
          <w:highlight w:val="none"/>
        </w:rPr>
      </w:pPr>
      <w:bookmarkStart w:id="102" w:name="_Toc346306742"/>
      <w:bookmarkStart w:id="103" w:name="_Toc352332863"/>
      <w:bookmarkStart w:id="104" w:name="_Toc346372889"/>
      <w:r>
        <w:rPr>
          <w:rFonts w:hint="eastAsia" w:ascii="宋体" w:hAnsi="宋体"/>
          <w:sz w:val="24"/>
          <w:szCs w:val="20"/>
          <w:highlight w:val="none"/>
        </w:rPr>
        <w:t>（</w:t>
      </w:r>
      <w:r>
        <w:rPr>
          <w:rFonts w:ascii="宋体" w:hAnsi="宋体"/>
          <w:sz w:val="24"/>
          <w:szCs w:val="20"/>
          <w:highlight w:val="none"/>
        </w:rPr>
        <w:t>1</w:t>
      </w:r>
      <w:r>
        <w:rPr>
          <w:rFonts w:hint="eastAsia" w:ascii="宋体" w:hAnsi="宋体"/>
          <w:sz w:val="24"/>
          <w:szCs w:val="20"/>
          <w:highlight w:val="none"/>
        </w:rPr>
        <w:t>）报价函；</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w:t>
      </w:r>
      <w:r>
        <w:rPr>
          <w:rFonts w:ascii="宋体" w:hAnsi="宋体"/>
          <w:sz w:val="24"/>
          <w:highlight w:val="none"/>
        </w:rPr>
        <w:t>2</w:t>
      </w:r>
      <w:r>
        <w:rPr>
          <w:rFonts w:hint="eastAsia" w:ascii="宋体" w:hAnsi="宋体"/>
          <w:sz w:val="24"/>
          <w:highlight w:val="none"/>
        </w:rPr>
        <w:t>）法定代表人授权委托书；</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（3）首轮报价一览表；</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（4）商务响应一览表；</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（5）近年类似业绩一览表，附相关证明材料；</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w:t>
      </w:r>
      <w:r>
        <w:rPr>
          <w:rFonts w:hint="eastAsia" w:ascii="宋体" w:hAnsi="宋体"/>
          <w:sz w:val="24"/>
          <w:highlight w:val="none"/>
          <w:lang w:val="en-US" w:eastAsia="zh-CN"/>
        </w:rPr>
        <w:t>6</w:t>
      </w:r>
      <w:r>
        <w:rPr>
          <w:rFonts w:hint="eastAsia" w:ascii="宋体" w:hAnsi="宋体"/>
          <w:sz w:val="24"/>
          <w:highlight w:val="none"/>
        </w:rPr>
        <w:t>）综合实力相关证明材料</w:t>
      </w:r>
      <w:r>
        <w:rPr>
          <w:rFonts w:hint="eastAsia" w:ascii="宋体" w:hAnsi="宋体"/>
          <w:sz w:val="24"/>
          <w:highlight w:val="none"/>
          <w:lang w:eastAsia="zh-CN"/>
        </w:rPr>
        <w:t>（</w:t>
      </w:r>
      <w:r>
        <w:rPr>
          <w:rFonts w:hint="eastAsia" w:ascii="宋体" w:hAnsi="宋体"/>
          <w:sz w:val="24"/>
          <w:highlight w:val="none"/>
          <w:lang w:val="en-US" w:eastAsia="zh-CN"/>
        </w:rPr>
        <w:t>第一包</w:t>
      </w:r>
      <w:r>
        <w:rPr>
          <w:rFonts w:hint="eastAsia" w:ascii="宋体" w:hAnsi="宋体"/>
          <w:sz w:val="24"/>
          <w:highlight w:val="none"/>
          <w:lang w:eastAsia="zh-CN"/>
        </w:rPr>
        <w:t>）</w:t>
      </w:r>
      <w:r>
        <w:rPr>
          <w:rFonts w:hint="eastAsia" w:ascii="宋体" w:hAnsi="宋体"/>
          <w:sz w:val="24"/>
          <w:highlight w:val="none"/>
        </w:rPr>
        <w:t>；</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w:t>
      </w:r>
      <w:r>
        <w:rPr>
          <w:rFonts w:hint="eastAsia" w:ascii="宋体" w:hAnsi="宋体"/>
          <w:sz w:val="24"/>
          <w:highlight w:val="none"/>
          <w:lang w:val="en-US" w:eastAsia="zh-CN"/>
        </w:rPr>
        <w:t>7</w:t>
      </w:r>
      <w:r>
        <w:rPr>
          <w:rFonts w:hint="eastAsia" w:ascii="宋体" w:hAnsi="宋体"/>
          <w:sz w:val="24"/>
          <w:highlight w:val="none"/>
        </w:rPr>
        <w:t>）商务情况表；</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w:t>
      </w:r>
      <w:r>
        <w:rPr>
          <w:rFonts w:hint="eastAsia" w:ascii="宋体" w:hAnsi="宋体"/>
          <w:sz w:val="24"/>
          <w:highlight w:val="none"/>
          <w:lang w:val="en-US" w:eastAsia="zh-CN"/>
        </w:rPr>
        <w:t>8</w:t>
      </w:r>
      <w:r>
        <w:rPr>
          <w:rFonts w:hint="eastAsia" w:ascii="宋体" w:hAnsi="宋体"/>
          <w:sz w:val="24"/>
          <w:highlight w:val="none"/>
        </w:rPr>
        <w:t>）中小企业声明函（如有）；</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w:t>
      </w:r>
      <w:r>
        <w:rPr>
          <w:rFonts w:hint="eastAsia" w:ascii="宋体" w:hAnsi="宋体"/>
          <w:sz w:val="24"/>
          <w:highlight w:val="none"/>
          <w:lang w:val="en-US" w:eastAsia="zh-CN"/>
        </w:rPr>
        <w:t>9</w:t>
      </w:r>
      <w:r>
        <w:rPr>
          <w:rFonts w:hint="eastAsia" w:ascii="宋体" w:hAnsi="宋体"/>
          <w:sz w:val="24"/>
          <w:highlight w:val="none"/>
        </w:rPr>
        <w:t>）残疾人福利性单位声明函（如有）；</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（1</w:t>
      </w:r>
      <w:r>
        <w:rPr>
          <w:rFonts w:hint="eastAsia" w:ascii="宋体" w:hAnsi="宋体"/>
          <w:sz w:val="24"/>
          <w:highlight w:val="none"/>
          <w:lang w:val="en-US" w:eastAsia="zh-CN"/>
        </w:rPr>
        <w:t>0</w:t>
      </w:r>
      <w:r>
        <w:rPr>
          <w:rFonts w:hint="eastAsia" w:ascii="宋体" w:hAnsi="宋体"/>
          <w:sz w:val="24"/>
          <w:highlight w:val="none"/>
        </w:rPr>
        <w:t>）省级以上监狱管理局、戒毒管理局（含新疆生产建设兵团）出具的属于监狱企业的证明文件（如有）；</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（1</w:t>
      </w:r>
      <w:r>
        <w:rPr>
          <w:rFonts w:hint="eastAsia" w:ascii="宋体" w:hAnsi="宋体"/>
          <w:sz w:val="24"/>
          <w:highlight w:val="none"/>
          <w:lang w:val="en-US" w:eastAsia="zh-CN"/>
        </w:rPr>
        <w:t>1</w:t>
      </w:r>
      <w:r>
        <w:rPr>
          <w:rFonts w:hint="eastAsia" w:ascii="宋体" w:hAnsi="宋体"/>
          <w:sz w:val="24"/>
          <w:highlight w:val="none"/>
        </w:rPr>
        <w:t>）响应人认为需要加以说明的其他内容。</w:t>
      </w:r>
    </w:p>
    <w:p>
      <w:pPr>
        <w:pStyle w:val="31"/>
        <w:spacing w:after="0" w:line="560" w:lineRule="exact"/>
        <w:ind w:firstLine="573" w:firstLineChars="238"/>
        <w:rPr>
          <w:rFonts w:ascii="宋体" w:hAnsi="宋体"/>
          <w:b/>
          <w:sz w:val="24"/>
          <w:highlight w:val="none"/>
        </w:rPr>
      </w:pPr>
      <w:r>
        <w:rPr>
          <w:rFonts w:ascii="宋体" w:hAnsi="宋体"/>
          <w:b/>
          <w:sz w:val="24"/>
          <w:highlight w:val="none"/>
        </w:rPr>
        <w:t xml:space="preserve">9.2 </w:t>
      </w:r>
      <w:r>
        <w:rPr>
          <w:rFonts w:hint="eastAsia" w:ascii="宋体" w:hAnsi="宋体"/>
          <w:b/>
          <w:sz w:val="24"/>
          <w:highlight w:val="none"/>
        </w:rPr>
        <w:t>技术部分</w:t>
      </w:r>
    </w:p>
    <w:p>
      <w:pPr>
        <w:pStyle w:val="31"/>
        <w:spacing w:line="560" w:lineRule="exact"/>
        <w:ind w:firstLine="571" w:firstLineChars="238"/>
        <w:rPr>
          <w:rFonts w:hint="eastAsia" w:ascii="宋体" w:hAnsi="宋体" w:cs="宋体"/>
          <w:color w:val="auto"/>
          <w:sz w:val="24"/>
          <w:szCs w:val="24"/>
          <w:highlight w:val="none"/>
          <w:lang w:val="en-US" w:eastAsia="zh-CN"/>
        </w:rPr>
      </w:pPr>
      <w:r>
        <w:rPr>
          <w:rFonts w:hint="eastAsia" w:ascii="宋体" w:hAnsi="宋体"/>
          <w:sz w:val="24"/>
          <w:highlight w:val="none"/>
          <w:lang w:eastAsia="zh-CN"/>
        </w:rPr>
        <w:t>（</w:t>
      </w:r>
      <w:r>
        <w:rPr>
          <w:rFonts w:hint="eastAsia" w:ascii="宋体" w:hAnsi="宋体"/>
          <w:sz w:val="24"/>
          <w:highlight w:val="none"/>
          <w:lang w:val="en-US" w:eastAsia="zh-CN"/>
        </w:rPr>
        <w:t>1</w:t>
      </w:r>
      <w:r>
        <w:rPr>
          <w:rFonts w:hint="eastAsia" w:ascii="宋体" w:hAnsi="宋体"/>
          <w:sz w:val="24"/>
          <w:highlight w:val="none"/>
          <w:lang w:eastAsia="zh-CN"/>
        </w:rPr>
        <w:t>）</w:t>
      </w:r>
      <w:r>
        <w:rPr>
          <w:rFonts w:hint="eastAsia" w:ascii="宋体" w:hAnsi="宋体" w:eastAsia="宋体" w:cs="宋体"/>
          <w:color w:val="auto"/>
          <w:sz w:val="24"/>
          <w:szCs w:val="24"/>
          <w:highlight w:val="none"/>
        </w:rPr>
        <w:t>技术能力</w:t>
      </w:r>
      <w:r>
        <w:rPr>
          <w:rFonts w:hint="eastAsia" w:ascii="宋体" w:hAnsi="宋体" w:cs="宋体"/>
          <w:color w:val="auto"/>
          <w:sz w:val="24"/>
          <w:szCs w:val="24"/>
          <w:highlight w:val="none"/>
          <w:lang w:val="en-US" w:eastAsia="zh-CN"/>
        </w:rPr>
        <w:t>相关证明材料；</w:t>
      </w:r>
    </w:p>
    <w:p>
      <w:pPr>
        <w:pStyle w:val="31"/>
        <w:spacing w:line="560" w:lineRule="exact"/>
        <w:ind w:firstLine="571" w:firstLineChars="238"/>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（2）相关检校设备证明材料；</w:t>
      </w:r>
    </w:p>
    <w:p>
      <w:pPr>
        <w:pStyle w:val="31"/>
        <w:spacing w:line="560" w:lineRule="exact"/>
        <w:ind w:firstLine="571" w:firstLineChars="238"/>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拟派团队成员情况；</w:t>
      </w:r>
    </w:p>
    <w:p>
      <w:pPr>
        <w:pStyle w:val="31"/>
        <w:spacing w:line="560" w:lineRule="exact"/>
        <w:ind w:firstLine="571" w:firstLineChars="238"/>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4</w:t>
      </w:r>
      <w:r>
        <w:rPr>
          <w:rFonts w:hint="eastAsia" w:ascii="宋体" w:hAnsi="宋体" w:cs="宋体"/>
          <w:color w:val="auto"/>
          <w:sz w:val="24"/>
          <w:highlight w:val="none"/>
          <w:lang w:eastAsia="zh-CN"/>
        </w:rPr>
        <w:t>）</w:t>
      </w:r>
      <w:r>
        <w:rPr>
          <w:rFonts w:hint="eastAsia" w:ascii="宋体" w:hAnsi="宋体" w:cs="宋体"/>
          <w:color w:val="auto"/>
          <w:sz w:val="24"/>
          <w:highlight w:val="none"/>
        </w:rPr>
        <w:t>企业内部管理制度</w:t>
      </w:r>
      <w:r>
        <w:rPr>
          <w:rFonts w:hint="eastAsia" w:ascii="宋体" w:hAnsi="宋体" w:cs="宋体"/>
          <w:color w:val="auto"/>
          <w:sz w:val="24"/>
          <w:highlight w:val="none"/>
          <w:lang w:eastAsia="zh-CN"/>
        </w:rPr>
        <w:t>；</w:t>
      </w:r>
    </w:p>
    <w:p>
      <w:pPr>
        <w:pStyle w:val="31"/>
        <w:spacing w:line="560" w:lineRule="exact"/>
        <w:ind w:firstLine="571" w:firstLineChars="238"/>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实施方案</w:t>
      </w:r>
      <w:r>
        <w:rPr>
          <w:rFonts w:hint="eastAsia" w:ascii="宋体" w:hAnsi="宋体" w:cs="宋体"/>
          <w:color w:val="auto"/>
          <w:sz w:val="24"/>
          <w:szCs w:val="24"/>
          <w:highlight w:val="none"/>
          <w:lang w:eastAsia="zh-CN"/>
        </w:rPr>
        <w:t>；</w:t>
      </w:r>
    </w:p>
    <w:p>
      <w:pPr>
        <w:pStyle w:val="31"/>
        <w:spacing w:line="560" w:lineRule="exact"/>
        <w:ind w:firstLine="571" w:firstLineChars="238"/>
        <w:rPr>
          <w:rFonts w:hint="eastAsia" w:ascii="宋体" w:hAnsi="宋体"/>
          <w:sz w:val="24"/>
          <w:highlight w:val="none"/>
          <w:lang w:val="en-US" w:eastAsia="zh-CN"/>
        </w:rPr>
      </w:pPr>
      <w:r>
        <w:rPr>
          <w:rFonts w:hint="eastAsia" w:ascii="宋体" w:hAnsi="宋体"/>
          <w:sz w:val="24"/>
          <w:highlight w:val="none"/>
          <w:lang w:val="en-US" w:eastAsia="zh-CN"/>
        </w:rPr>
        <w:t>（6）疫情防控方案；</w:t>
      </w:r>
    </w:p>
    <w:p>
      <w:pPr>
        <w:pStyle w:val="31"/>
        <w:spacing w:line="560" w:lineRule="exact"/>
        <w:ind w:firstLine="571" w:firstLineChars="238"/>
        <w:rPr>
          <w:rFonts w:ascii="宋体" w:hAnsi="宋体"/>
          <w:sz w:val="24"/>
          <w:highlight w:val="none"/>
        </w:rPr>
      </w:pPr>
      <w:r>
        <w:rPr>
          <w:rFonts w:hint="eastAsia" w:ascii="宋体" w:hAnsi="宋体"/>
          <w:sz w:val="24"/>
          <w:highlight w:val="none"/>
        </w:rPr>
        <w:t>（</w:t>
      </w:r>
      <w:r>
        <w:rPr>
          <w:rFonts w:hint="eastAsia" w:ascii="宋体" w:hAnsi="宋体"/>
          <w:sz w:val="24"/>
          <w:highlight w:val="none"/>
          <w:lang w:val="en-US" w:eastAsia="zh-CN"/>
        </w:rPr>
        <w:t>7</w:t>
      </w:r>
      <w:r>
        <w:rPr>
          <w:rFonts w:hint="eastAsia" w:ascii="宋体" w:hAnsi="宋体"/>
          <w:sz w:val="24"/>
          <w:highlight w:val="none"/>
        </w:rPr>
        <w:t>）响应人认为需要提供的其他材料或说明。</w:t>
      </w:r>
    </w:p>
    <w:p>
      <w:pPr>
        <w:pStyle w:val="31"/>
        <w:spacing w:after="0" w:line="560" w:lineRule="exact"/>
        <w:ind w:firstLine="573" w:firstLineChars="238"/>
        <w:rPr>
          <w:rFonts w:ascii="宋体" w:hAnsi="宋体"/>
          <w:b/>
          <w:sz w:val="24"/>
          <w:highlight w:val="none"/>
        </w:rPr>
      </w:pPr>
      <w:r>
        <w:rPr>
          <w:rFonts w:ascii="宋体" w:hAnsi="宋体"/>
          <w:b/>
          <w:sz w:val="24"/>
          <w:highlight w:val="none"/>
        </w:rPr>
        <w:t>9.3</w:t>
      </w:r>
      <w:r>
        <w:rPr>
          <w:rFonts w:hint="eastAsia" w:ascii="宋体" w:hAnsi="宋体"/>
          <w:b/>
          <w:sz w:val="24"/>
          <w:highlight w:val="none"/>
        </w:rPr>
        <w:t>资格证明文件：</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w:t>
      </w:r>
      <w:r>
        <w:rPr>
          <w:rFonts w:ascii="宋体" w:hAnsi="宋体"/>
          <w:sz w:val="24"/>
          <w:highlight w:val="none"/>
        </w:rPr>
        <w:t>1</w:t>
      </w:r>
      <w:r>
        <w:rPr>
          <w:rFonts w:hint="eastAsia" w:ascii="宋体" w:hAnsi="宋体"/>
          <w:sz w:val="24"/>
          <w:highlight w:val="none"/>
        </w:rPr>
        <w:t>）按《政府采购法实施条例》第十七条的规定，应提供的基本资格条件证明材料，详见响应人须知前附表</w:t>
      </w:r>
      <w:r>
        <w:rPr>
          <w:rFonts w:hint="eastAsia" w:ascii="宋体" w:hAnsi="宋体"/>
          <w:b/>
          <w:bCs/>
          <w:sz w:val="24"/>
          <w:highlight w:val="none"/>
        </w:rPr>
        <w:t>第六条</w:t>
      </w:r>
      <w:r>
        <w:rPr>
          <w:rFonts w:hint="eastAsia" w:ascii="宋体" w:hAnsi="宋体"/>
          <w:sz w:val="24"/>
          <w:highlight w:val="none"/>
        </w:rPr>
        <w:t>。</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w:t>
      </w:r>
      <w:r>
        <w:rPr>
          <w:rFonts w:ascii="宋体" w:hAnsi="宋体"/>
          <w:sz w:val="24"/>
          <w:highlight w:val="none"/>
        </w:rPr>
        <w:t>2</w:t>
      </w:r>
      <w:r>
        <w:rPr>
          <w:rFonts w:hint="eastAsia" w:ascii="宋体" w:hAnsi="宋体"/>
          <w:sz w:val="24"/>
          <w:highlight w:val="none"/>
        </w:rPr>
        <w:t>）响应人认为需要提交的其他相关证明文件。</w:t>
      </w:r>
    </w:p>
    <w:p>
      <w:pPr>
        <w:pStyle w:val="31"/>
        <w:spacing w:after="0" w:line="560" w:lineRule="exact"/>
        <w:ind w:firstLine="571" w:firstLineChars="238"/>
        <w:rPr>
          <w:rFonts w:ascii="宋体" w:hAnsi="宋体" w:cs="宋体"/>
          <w:highlight w:val="none"/>
        </w:rPr>
      </w:pPr>
      <w:r>
        <w:rPr>
          <w:rFonts w:hint="eastAsia" w:ascii="宋体" w:hAnsi="宋体"/>
          <w:sz w:val="24"/>
          <w:highlight w:val="none"/>
        </w:rPr>
        <w:t>响应人可将商务部分、技术部分、资格证明部分顺序胶装装订，并自正文首页开始编制连续页码。页数较多时，可以分册装订。采购文件中未提供格式，响应人可自拟格式</w:t>
      </w:r>
      <w:r>
        <w:rPr>
          <w:rFonts w:hint="eastAsia" w:ascii="宋体" w:hAnsi="宋体" w:cs="宋体"/>
          <w:highlight w:val="none"/>
        </w:rPr>
        <w:t>。</w:t>
      </w:r>
      <w:r>
        <w:rPr>
          <w:rFonts w:hint="eastAsia" w:ascii="宋体" w:hAnsi="宋体"/>
          <w:b/>
          <w:sz w:val="24"/>
          <w:highlight w:val="none"/>
        </w:rPr>
        <w:t>因未按上述顺序装订或响应文件未胶装散页导致无法评审等，由此造成的评审问题由响应人自行承担责任。资格、资质证明部分须装订在响应文件中，否则不予认可。</w:t>
      </w:r>
    </w:p>
    <w:p>
      <w:pPr>
        <w:pStyle w:val="31"/>
        <w:spacing w:after="0" w:line="560" w:lineRule="exact"/>
        <w:ind w:firstLine="571" w:firstLineChars="238"/>
        <w:rPr>
          <w:rFonts w:ascii="宋体" w:hAnsi="宋体"/>
          <w:sz w:val="24"/>
          <w:highlight w:val="none"/>
        </w:rPr>
      </w:pPr>
      <w:r>
        <w:rPr>
          <w:rFonts w:ascii="宋体" w:hAnsi="宋体"/>
          <w:sz w:val="24"/>
          <w:highlight w:val="none"/>
        </w:rPr>
        <w:t xml:space="preserve">10.  </w:t>
      </w:r>
      <w:r>
        <w:rPr>
          <w:rFonts w:hint="eastAsia" w:ascii="宋体" w:hAnsi="宋体"/>
          <w:sz w:val="24"/>
          <w:highlight w:val="none"/>
        </w:rPr>
        <w:t>报价</w:t>
      </w:r>
      <w:bookmarkEnd w:id="102"/>
      <w:bookmarkEnd w:id="103"/>
      <w:bookmarkEnd w:id="104"/>
    </w:p>
    <w:p>
      <w:pPr>
        <w:pStyle w:val="31"/>
        <w:spacing w:after="0" w:line="560" w:lineRule="exact"/>
        <w:ind w:firstLine="573" w:firstLineChars="238"/>
        <w:rPr>
          <w:rFonts w:ascii="宋体" w:hAnsi="宋体"/>
          <w:sz w:val="24"/>
          <w:highlight w:val="none"/>
        </w:rPr>
      </w:pPr>
      <w:r>
        <w:rPr>
          <w:rFonts w:ascii="宋体" w:hAnsi="宋体"/>
          <w:b/>
          <w:sz w:val="24"/>
          <w:highlight w:val="none"/>
        </w:rPr>
        <w:t>10.1</w:t>
      </w:r>
      <w:r>
        <w:rPr>
          <w:rFonts w:hint="eastAsia" w:ascii="宋体" w:hAnsi="宋体"/>
          <w:b/>
          <w:sz w:val="24"/>
          <w:highlight w:val="none"/>
        </w:rPr>
        <w:t>响应人限报一种方案报价，采购人不接受可选择的报价方案。</w:t>
      </w:r>
      <w:r>
        <w:rPr>
          <w:rFonts w:hint="eastAsia" w:ascii="宋体" w:hAnsi="宋体"/>
          <w:sz w:val="24"/>
          <w:highlight w:val="none"/>
        </w:rPr>
        <w:t>响应人的报价中应包括</w:t>
      </w:r>
      <w:r>
        <w:rPr>
          <w:rFonts w:hint="eastAsia" w:ascii="宋体" w:hAnsi="宋体"/>
          <w:sz w:val="24"/>
          <w:highlight w:val="none"/>
          <w:lang w:val="en-US" w:eastAsia="zh-CN"/>
        </w:rPr>
        <w:t>本项目完成</w:t>
      </w:r>
      <w:r>
        <w:rPr>
          <w:rFonts w:hint="eastAsia" w:ascii="宋体" w:hAnsi="宋体"/>
          <w:sz w:val="24"/>
          <w:highlight w:val="none"/>
        </w:rPr>
        <w:t>所需的全部费用。报价币种为人民币。</w:t>
      </w:r>
    </w:p>
    <w:p>
      <w:pPr>
        <w:pStyle w:val="31"/>
        <w:spacing w:after="0" w:line="560" w:lineRule="exact"/>
        <w:ind w:firstLine="573" w:firstLineChars="238"/>
        <w:rPr>
          <w:rFonts w:ascii="宋体" w:hAnsi="宋体"/>
          <w:b/>
          <w:sz w:val="24"/>
          <w:highlight w:val="none"/>
        </w:rPr>
      </w:pPr>
      <w:r>
        <w:rPr>
          <w:rFonts w:ascii="宋体" w:hAnsi="宋体"/>
          <w:b/>
          <w:sz w:val="24"/>
          <w:highlight w:val="none"/>
        </w:rPr>
        <w:t>10.2</w:t>
      </w:r>
      <w:r>
        <w:rPr>
          <w:rFonts w:hint="eastAsia" w:ascii="宋体" w:hAnsi="宋体"/>
          <w:b/>
          <w:sz w:val="24"/>
          <w:highlight w:val="none"/>
        </w:rPr>
        <w:t xml:space="preserve"> 本项目为竞争性磋商项目，磋商小组可要求所有实质性响应本采购文件的响应人在规定时间内提交二次报价或最终报价，最终报价是响应人响应文件的有效组成部分。</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10.3</w:t>
      </w:r>
      <w:r>
        <w:rPr>
          <w:rFonts w:hint="eastAsia" w:ascii="宋体" w:hAnsi="宋体" w:cs="宋体"/>
          <w:bCs/>
          <w:sz w:val="24"/>
          <w:highlight w:val="none"/>
        </w:rPr>
        <w:t>★</w:t>
      </w:r>
      <w:r>
        <w:rPr>
          <w:rFonts w:hint="eastAsia" w:ascii="宋体" w:hAnsi="宋体" w:cs="宋体"/>
          <w:b/>
          <w:sz w:val="24"/>
          <w:highlight w:val="none"/>
        </w:rPr>
        <w:t>响应人所投同一个包中，两个或以上报价一览表不一致的，视为投报多个方案，除非竞争性磋商文件明确规定接受备选方案外，均按未实质性响应磋商文件处理</w:t>
      </w:r>
      <w:r>
        <w:rPr>
          <w:rFonts w:hint="eastAsia" w:ascii="宋体" w:hAnsi="宋体" w:cs="宋体"/>
          <w:b/>
          <w:bCs/>
          <w:sz w:val="24"/>
          <w:highlight w:val="none"/>
        </w:rPr>
        <w:t>。</w:t>
      </w:r>
    </w:p>
    <w:p>
      <w:pPr>
        <w:pStyle w:val="6"/>
        <w:spacing w:before="0" w:after="0" w:line="500" w:lineRule="exact"/>
        <w:ind w:firstLine="504" w:firstLineChars="209"/>
        <w:rPr>
          <w:rFonts w:ascii="宋体" w:hAnsi="宋体"/>
          <w:sz w:val="24"/>
          <w:szCs w:val="24"/>
          <w:highlight w:val="none"/>
        </w:rPr>
      </w:pPr>
      <w:bookmarkStart w:id="105" w:name="_Toc346306753"/>
      <w:bookmarkStart w:id="106" w:name="_Toc352332874"/>
      <w:bookmarkStart w:id="107" w:name="_Toc346372900"/>
      <w:r>
        <w:rPr>
          <w:rFonts w:hint="eastAsia" w:ascii="宋体" w:hAnsi="宋体"/>
          <w:sz w:val="24"/>
          <w:szCs w:val="24"/>
          <w:highlight w:val="none"/>
        </w:rPr>
        <w:t>11.  响应文件编写</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11.1响应文件应按“响应文件组成”进行编写，如有必要，可以增加附页，作为响应文件的组成部分。</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11.2响应文件应用不褪色的材料打印或复印。</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11.3响应文件应尽量避免涂改、行间插字或删除。如果出现上述情况，改动之处应加盖单位章或由响应人的法定代表人或其授权的代理人签字确认。</w:t>
      </w:r>
    </w:p>
    <w:p>
      <w:pPr>
        <w:pStyle w:val="31"/>
        <w:spacing w:line="560" w:lineRule="exact"/>
        <w:ind w:firstLine="571" w:firstLineChars="238"/>
        <w:rPr>
          <w:rFonts w:ascii="宋体" w:hAnsi="宋体"/>
          <w:sz w:val="24"/>
          <w:highlight w:val="none"/>
        </w:rPr>
      </w:pPr>
      <w:r>
        <w:rPr>
          <w:rFonts w:hint="eastAsia" w:ascii="宋体" w:hAnsi="宋体"/>
          <w:sz w:val="24"/>
          <w:highlight w:val="none"/>
        </w:rPr>
        <w:t>11.4响应人须如实响应采购文件要求，在响应文件中如实提供其服务方案。响应人不得复制粘贴采购文件中的商务及服务要求作为其响应文件的响应情况，否则，磋商小组有权作出不利于响应人的认定。</w:t>
      </w:r>
    </w:p>
    <w:p>
      <w:pPr>
        <w:pStyle w:val="31"/>
        <w:spacing w:line="560" w:lineRule="exact"/>
        <w:ind w:firstLine="571" w:firstLineChars="238"/>
        <w:rPr>
          <w:rFonts w:ascii="宋体" w:hAnsi="宋体"/>
          <w:sz w:val="24"/>
          <w:highlight w:val="none"/>
        </w:rPr>
      </w:pPr>
      <w:r>
        <w:rPr>
          <w:rFonts w:hint="eastAsia" w:ascii="宋体" w:hAnsi="宋体"/>
          <w:sz w:val="24"/>
          <w:highlight w:val="none"/>
        </w:rPr>
        <w:t>11.5响应人提供的支持资料和已印刷的文献（如有关服务的技术部分）可以用另一种语言，但相应内容应附有中文翻译本或中外文对照，在解释响应文件时以中文翻译本为准。若响应人的中文翻译本与外文版明显不符的，则磋商小组有权作出不利于响应人的认定。</w:t>
      </w:r>
    </w:p>
    <w:p>
      <w:pPr>
        <w:pStyle w:val="31"/>
        <w:spacing w:line="560" w:lineRule="exact"/>
        <w:ind w:firstLine="571" w:firstLineChars="238"/>
        <w:rPr>
          <w:rFonts w:ascii="宋体" w:hAnsi="宋体"/>
          <w:sz w:val="24"/>
          <w:highlight w:val="none"/>
        </w:rPr>
      </w:pPr>
      <w:r>
        <w:rPr>
          <w:rFonts w:hint="eastAsia" w:ascii="宋体" w:hAnsi="宋体"/>
          <w:sz w:val="24"/>
          <w:highlight w:val="none"/>
        </w:rPr>
        <w:t>11.6响应人须注意：为合理节约政府采购评审成本，提倡诚实信用的报价行为，特别要求响应人应本着诚信精神，在本次响应文件的偏离表中，均以审慎的态度明确、清楚地披露各项偏离。若响应人对某一事项是否存在或是否属于偏离不能确定，亦必须在偏离表中清楚地表明该偏离事项，并可以注明不能确定的字样。</w:t>
      </w:r>
    </w:p>
    <w:p>
      <w:pPr>
        <w:pStyle w:val="6"/>
        <w:spacing w:before="0" w:after="0" w:line="500" w:lineRule="exact"/>
        <w:ind w:firstLine="504" w:firstLineChars="209"/>
        <w:rPr>
          <w:rFonts w:ascii="宋体" w:hAnsi="宋体"/>
          <w:sz w:val="24"/>
          <w:szCs w:val="24"/>
          <w:highlight w:val="none"/>
        </w:rPr>
      </w:pPr>
      <w:r>
        <w:rPr>
          <w:rFonts w:hint="eastAsia" w:ascii="宋体" w:hAnsi="宋体"/>
          <w:sz w:val="24"/>
          <w:szCs w:val="24"/>
          <w:highlight w:val="none"/>
        </w:rPr>
        <w:t xml:space="preserve">12.  </w:t>
      </w:r>
      <w:r>
        <w:rPr>
          <w:rFonts w:hint="eastAsia" w:ascii="宋体" w:hAnsi="宋体"/>
          <w:sz w:val="24"/>
          <w:highlight w:val="none"/>
        </w:rPr>
        <w:t>响应文件</w:t>
      </w:r>
      <w:r>
        <w:rPr>
          <w:rFonts w:hint="eastAsia" w:ascii="宋体" w:hAnsi="宋体"/>
          <w:sz w:val="24"/>
          <w:szCs w:val="24"/>
          <w:highlight w:val="none"/>
        </w:rPr>
        <w:t>签署</w:t>
      </w:r>
    </w:p>
    <w:p>
      <w:pPr>
        <w:pStyle w:val="31"/>
        <w:spacing w:after="0" w:line="560" w:lineRule="exact"/>
        <w:ind w:firstLine="573" w:firstLineChars="238"/>
        <w:rPr>
          <w:rFonts w:ascii="宋体" w:hAnsi="宋体"/>
          <w:b/>
          <w:sz w:val="24"/>
          <w:highlight w:val="none"/>
        </w:rPr>
      </w:pPr>
      <w:r>
        <w:rPr>
          <w:rFonts w:hint="eastAsia" w:ascii="宋体" w:hAnsi="宋体"/>
          <w:b/>
          <w:sz w:val="24"/>
          <w:highlight w:val="none"/>
        </w:rPr>
        <w:t>★响应文件应加盖响应人公章（不得使用其他形式如带有“专用章”等字样的印章）并经法定代表人或其委托代理人签署（签字或加盖人名章），由委托代理人签字的响应文件中须附授权委托书。响应人代表必须按采购文件的规定签署响应文件正本（副本可用正本复印件）。未按采购文件要求签署及盖章的响应文件无效。</w:t>
      </w:r>
    </w:p>
    <w:p>
      <w:pPr>
        <w:pStyle w:val="6"/>
        <w:spacing w:before="0" w:after="0" w:line="500" w:lineRule="exact"/>
        <w:ind w:firstLine="504" w:firstLineChars="209"/>
        <w:rPr>
          <w:rFonts w:ascii="宋体" w:hAnsi="宋体"/>
          <w:sz w:val="24"/>
          <w:szCs w:val="24"/>
          <w:highlight w:val="none"/>
        </w:rPr>
      </w:pPr>
      <w:r>
        <w:rPr>
          <w:rFonts w:hint="eastAsia" w:ascii="宋体" w:hAnsi="宋体"/>
          <w:sz w:val="24"/>
          <w:szCs w:val="24"/>
          <w:highlight w:val="none"/>
        </w:rPr>
        <w:t xml:space="preserve">13.  </w:t>
      </w:r>
      <w:r>
        <w:rPr>
          <w:rFonts w:hint="eastAsia" w:ascii="宋体" w:hAnsi="宋体"/>
          <w:sz w:val="24"/>
          <w:highlight w:val="none"/>
        </w:rPr>
        <w:t>响应文件</w:t>
      </w:r>
      <w:r>
        <w:rPr>
          <w:rFonts w:hint="eastAsia" w:ascii="宋体" w:hAnsi="宋体"/>
          <w:sz w:val="24"/>
          <w:szCs w:val="24"/>
          <w:highlight w:val="none"/>
        </w:rPr>
        <w:t>密封和标记</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13.1响应人应准备的响应文件份数见响应人须知前附表，响应人应在每一份响应文件上注明“正本”或“副本”字样。</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13.2响应文件的密封和标记详见响应人须知前附表。</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13.3</w:t>
      </w:r>
      <w:r>
        <w:rPr>
          <w:rFonts w:ascii="宋体" w:hAnsi="宋体"/>
          <w:sz w:val="24"/>
          <w:highlight w:val="none"/>
        </w:rPr>
        <w:t>如果</w:t>
      </w:r>
      <w:r>
        <w:rPr>
          <w:rFonts w:hint="eastAsia" w:ascii="宋体" w:hAnsi="宋体"/>
          <w:sz w:val="24"/>
          <w:highlight w:val="none"/>
        </w:rPr>
        <w:t>响应人</w:t>
      </w:r>
      <w:r>
        <w:rPr>
          <w:rFonts w:ascii="宋体" w:hAnsi="宋体"/>
          <w:sz w:val="24"/>
          <w:highlight w:val="none"/>
        </w:rPr>
        <w:t>未按上述要求对响应文件密封及加写标记，</w:t>
      </w:r>
      <w:r>
        <w:rPr>
          <w:rFonts w:hint="eastAsia" w:ascii="宋体" w:hAnsi="宋体"/>
          <w:sz w:val="24"/>
          <w:highlight w:val="none"/>
        </w:rPr>
        <w:t>采购人及采购代理</w:t>
      </w:r>
      <w:r>
        <w:rPr>
          <w:rFonts w:ascii="宋体" w:hAnsi="宋体"/>
          <w:sz w:val="24"/>
          <w:highlight w:val="none"/>
        </w:rPr>
        <w:t>对响应文件的误投和提前启封概不负责。对由此造成提前开封的响应文件，</w:t>
      </w:r>
      <w:r>
        <w:rPr>
          <w:rFonts w:hint="eastAsia" w:ascii="宋体" w:hAnsi="宋体"/>
          <w:sz w:val="24"/>
          <w:highlight w:val="none"/>
        </w:rPr>
        <w:t>采购人及采购代理</w:t>
      </w:r>
      <w:r>
        <w:rPr>
          <w:rFonts w:ascii="宋体" w:hAnsi="宋体"/>
          <w:sz w:val="24"/>
          <w:highlight w:val="none"/>
        </w:rPr>
        <w:t>有权予以拒绝，并退回</w:t>
      </w:r>
      <w:r>
        <w:rPr>
          <w:rFonts w:hint="eastAsia" w:ascii="宋体" w:hAnsi="宋体"/>
          <w:sz w:val="24"/>
          <w:highlight w:val="none"/>
        </w:rPr>
        <w:t>响应人</w:t>
      </w:r>
      <w:r>
        <w:rPr>
          <w:rFonts w:ascii="宋体" w:hAnsi="宋体"/>
          <w:sz w:val="24"/>
          <w:highlight w:val="none"/>
        </w:rPr>
        <w:t>。</w:t>
      </w:r>
    </w:p>
    <w:p>
      <w:pPr>
        <w:pStyle w:val="6"/>
        <w:spacing w:before="0" w:after="0" w:line="500" w:lineRule="exact"/>
        <w:ind w:firstLine="504" w:firstLineChars="209"/>
        <w:rPr>
          <w:rFonts w:ascii="宋体" w:hAnsi="宋体"/>
          <w:sz w:val="24"/>
          <w:szCs w:val="24"/>
          <w:highlight w:val="none"/>
        </w:rPr>
      </w:pPr>
      <w:r>
        <w:rPr>
          <w:rFonts w:hint="eastAsia" w:ascii="宋体" w:hAnsi="宋体"/>
          <w:sz w:val="24"/>
          <w:szCs w:val="24"/>
          <w:highlight w:val="none"/>
        </w:rPr>
        <w:t xml:space="preserve">14.  </w:t>
      </w:r>
      <w:r>
        <w:rPr>
          <w:rFonts w:hint="eastAsia" w:ascii="宋体" w:hAnsi="宋体"/>
          <w:sz w:val="24"/>
          <w:highlight w:val="none"/>
        </w:rPr>
        <w:t>响应文件</w:t>
      </w:r>
      <w:r>
        <w:rPr>
          <w:rFonts w:hint="eastAsia" w:ascii="宋体" w:hAnsi="宋体"/>
          <w:sz w:val="24"/>
          <w:szCs w:val="24"/>
          <w:highlight w:val="none"/>
        </w:rPr>
        <w:t>装订</w:t>
      </w:r>
    </w:p>
    <w:p>
      <w:pPr>
        <w:pStyle w:val="31"/>
        <w:spacing w:after="0" w:line="560" w:lineRule="exact"/>
        <w:ind w:firstLine="600" w:firstLineChars="250"/>
        <w:rPr>
          <w:rFonts w:ascii="宋体" w:hAnsi="宋体"/>
          <w:sz w:val="24"/>
          <w:highlight w:val="none"/>
        </w:rPr>
      </w:pPr>
      <w:r>
        <w:rPr>
          <w:rFonts w:hint="eastAsia" w:ascii="宋体" w:hAnsi="宋体"/>
          <w:sz w:val="24"/>
          <w:highlight w:val="none"/>
        </w:rPr>
        <w:t>详见响应人须知前附表。</w:t>
      </w:r>
    </w:p>
    <w:p>
      <w:pPr>
        <w:pStyle w:val="6"/>
        <w:spacing w:before="0" w:after="0" w:line="500" w:lineRule="exact"/>
        <w:ind w:firstLine="504" w:firstLineChars="209"/>
        <w:rPr>
          <w:rFonts w:ascii="宋体" w:hAnsi="宋体"/>
          <w:sz w:val="24"/>
          <w:szCs w:val="24"/>
          <w:highlight w:val="none"/>
        </w:rPr>
      </w:pPr>
      <w:r>
        <w:rPr>
          <w:rFonts w:hint="eastAsia" w:ascii="宋体" w:hAnsi="宋体"/>
          <w:sz w:val="24"/>
          <w:szCs w:val="24"/>
          <w:highlight w:val="none"/>
        </w:rPr>
        <w:t>15.  磋商保证金</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15.1★属于应缴纳磋商保证金的响应人，应按前附表的规定提交磋商保证金，作为其响应文件的一部分。</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15.2如响应人有下列情况，磋商保证金不予退还：</w:t>
      </w:r>
    </w:p>
    <w:p>
      <w:pPr>
        <w:pStyle w:val="31"/>
        <w:spacing w:line="560" w:lineRule="exact"/>
        <w:ind w:firstLine="571" w:firstLineChars="238"/>
        <w:rPr>
          <w:rFonts w:ascii="宋体" w:hAnsi="宋体"/>
          <w:sz w:val="24"/>
          <w:highlight w:val="none"/>
        </w:rPr>
      </w:pPr>
      <w:r>
        <w:rPr>
          <w:rFonts w:hint="eastAsia" w:ascii="宋体" w:hAnsi="宋体"/>
          <w:sz w:val="24"/>
          <w:highlight w:val="none"/>
        </w:rPr>
        <w:t>1）响应人在提交响应文件截止时间后撤回响应文件的；</w:t>
      </w:r>
    </w:p>
    <w:p>
      <w:pPr>
        <w:pStyle w:val="31"/>
        <w:spacing w:line="560" w:lineRule="exact"/>
        <w:ind w:firstLine="571" w:firstLineChars="238"/>
        <w:rPr>
          <w:rFonts w:ascii="宋体" w:hAnsi="宋体"/>
          <w:sz w:val="24"/>
          <w:highlight w:val="none"/>
        </w:rPr>
      </w:pPr>
      <w:r>
        <w:rPr>
          <w:rFonts w:hint="eastAsia" w:ascii="宋体" w:hAnsi="宋体"/>
          <w:sz w:val="24"/>
          <w:highlight w:val="none"/>
        </w:rPr>
        <w:t>2）响应人在响应文件中提供虚假材料的；</w:t>
      </w:r>
    </w:p>
    <w:p>
      <w:pPr>
        <w:pStyle w:val="31"/>
        <w:spacing w:line="560" w:lineRule="exact"/>
        <w:ind w:firstLine="571" w:firstLineChars="238"/>
        <w:rPr>
          <w:rFonts w:ascii="宋体" w:hAnsi="宋体"/>
          <w:sz w:val="24"/>
          <w:highlight w:val="none"/>
        </w:rPr>
      </w:pPr>
      <w:r>
        <w:rPr>
          <w:rFonts w:hint="eastAsia" w:ascii="宋体" w:hAnsi="宋体"/>
          <w:sz w:val="24"/>
          <w:highlight w:val="none"/>
        </w:rPr>
        <w:t>3）除因不可抗力或磋商文件认可的情形以外，成交人不与采购人签订合同的；</w:t>
      </w:r>
    </w:p>
    <w:p>
      <w:pPr>
        <w:pStyle w:val="31"/>
        <w:spacing w:line="560" w:lineRule="exact"/>
        <w:ind w:firstLine="571" w:firstLineChars="238"/>
        <w:rPr>
          <w:rFonts w:ascii="宋体" w:hAnsi="宋体"/>
          <w:sz w:val="24"/>
          <w:highlight w:val="none"/>
        </w:rPr>
      </w:pPr>
      <w:r>
        <w:rPr>
          <w:rFonts w:hint="eastAsia" w:ascii="宋体" w:hAnsi="宋体"/>
          <w:sz w:val="24"/>
          <w:highlight w:val="none"/>
        </w:rPr>
        <w:t>4）响应人与采购人、其他响应人或者采购代理机构恶意串通的；</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5）法律法规和采购文件规定的其他情形。</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15.3磋商保证金的退还：</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1）未成交人的磋商保证金，在成交通知书发出后5个工作日内退还；</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2）成交人的磋商保证金在签订合同后5个工作日内退还。</w:t>
      </w:r>
    </w:p>
    <w:p>
      <w:pPr>
        <w:pStyle w:val="6"/>
        <w:spacing w:before="0" w:after="0" w:line="500" w:lineRule="exact"/>
        <w:ind w:firstLine="504" w:firstLineChars="209"/>
        <w:rPr>
          <w:rFonts w:ascii="宋体" w:hAnsi="宋体"/>
          <w:sz w:val="24"/>
          <w:szCs w:val="24"/>
          <w:highlight w:val="none"/>
        </w:rPr>
      </w:pPr>
      <w:r>
        <w:rPr>
          <w:rFonts w:hint="eastAsia" w:ascii="宋体" w:hAnsi="宋体"/>
          <w:sz w:val="24"/>
          <w:szCs w:val="24"/>
          <w:highlight w:val="none"/>
        </w:rPr>
        <w:t>16.  报价有效期</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16.1 ★</w:t>
      </w:r>
      <w:r>
        <w:rPr>
          <w:rFonts w:hint="eastAsia" w:ascii="宋体" w:hAnsi="宋体"/>
          <w:b/>
          <w:bCs/>
          <w:sz w:val="24"/>
          <w:highlight w:val="none"/>
        </w:rPr>
        <w:t>本项目报价有效期见响应人须知前附表。</w:t>
      </w:r>
      <w:r>
        <w:rPr>
          <w:rFonts w:hint="eastAsia" w:ascii="宋体" w:hAnsi="宋体"/>
          <w:b/>
          <w:sz w:val="24"/>
          <w:highlight w:val="none"/>
        </w:rPr>
        <w:t>有效期比本须知规定的有效期短的，按无效报价处理。</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16.2 特殊情况下，在报价有效期满之前，代理机构可以以书面形式要求响应人同意延长报价有效期。响应人可以以书面形式拒绝或接受上述要求。拒绝延长报价有效期的响应人有权收回磋商保证金；同意延长报价有效期的响应人应当相应延长其磋商保证金的有效期，但不得修改响应文件的实质性内容。</w:t>
      </w:r>
    </w:p>
    <w:p>
      <w:pPr>
        <w:pStyle w:val="4"/>
        <w:spacing w:before="120" w:after="120" w:line="360" w:lineRule="exact"/>
        <w:ind w:firstLine="516" w:firstLineChars="214"/>
        <w:rPr>
          <w:rFonts w:ascii="宋体" w:hAnsi="宋体" w:eastAsia="宋体"/>
          <w:sz w:val="24"/>
          <w:szCs w:val="24"/>
          <w:highlight w:val="none"/>
        </w:rPr>
      </w:pPr>
      <w:bookmarkStart w:id="108" w:name="_Toc60585211"/>
      <w:bookmarkStart w:id="109" w:name="_Toc20025"/>
      <w:bookmarkStart w:id="110" w:name="_Toc16266"/>
      <w:bookmarkStart w:id="111" w:name="_Toc32023"/>
      <w:bookmarkStart w:id="112" w:name="_Toc20606"/>
      <w:r>
        <w:rPr>
          <w:rFonts w:hint="eastAsia" w:ascii="宋体" w:hAnsi="宋体" w:eastAsia="宋体"/>
          <w:sz w:val="24"/>
          <w:szCs w:val="24"/>
          <w:highlight w:val="none"/>
        </w:rPr>
        <w:t>四、</w:t>
      </w:r>
      <w:r>
        <w:rPr>
          <w:rFonts w:hint="eastAsia" w:ascii="宋体" w:hAnsi="宋体" w:eastAsia="宋体"/>
          <w:sz w:val="24"/>
          <w:highlight w:val="none"/>
        </w:rPr>
        <w:t>响应文件</w:t>
      </w:r>
      <w:r>
        <w:rPr>
          <w:rFonts w:hint="eastAsia" w:ascii="宋体" w:hAnsi="宋体" w:eastAsia="宋体"/>
          <w:sz w:val="24"/>
          <w:szCs w:val="24"/>
          <w:highlight w:val="none"/>
        </w:rPr>
        <w:t>递交</w:t>
      </w:r>
      <w:bookmarkEnd w:id="108"/>
      <w:bookmarkEnd w:id="109"/>
      <w:bookmarkEnd w:id="110"/>
      <w:bookmarkEnd w:id="111"/>
      <w:bookmarkEnd w:id="112"/>
    </w:p>
    <w:p>
      <w:pPr>
        <w:pStyle w:val="6"/>
        <w:spacing w:before="0" w:after="0" w:line="500" w:lineRule="exact"/>
        <w:ind w:firstLine="504" w:firstLineChars="209"/>
        <w:rPr>
          <w:rFonts w:ascii="宋体" w:hAnsi="宋体"/>
          <w:sz w:val="24"/>
          <w:szCs w:val="24"/>
          <w:highlight w:val="none"/>
        </w:rPr>
      </w:pPr>
      <w:r>
        <w:rPr>
          <w:rFonts w:hint="eastAsia" w:ascii="宋体" w:hAnsi="宋体"/>
          <w:sz w:val="24"/>
          <w:szCs w:val="24"/>
          <w:highlight w:val="none"/>
        </w:rPr>
        <w:t>17.  响应文件递交时间和地点</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17.1 响应文件递交时间及地点、响应文件截止时间详见响应人须知前附表。</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17.2 响应人代表必须在递交响应文件截止时间前将响应文件送达指定地点。如因磋商文件的修改推迟报价截止日期的，则按代理机构另行通知规定的时间递交。</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17.3 代理机构不接收响应文件递交截止时间后送达的响应文件。</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17.4 遇有疫情防控政策变化，需按照最新要求执行，届时将另行通知。</w:t>
      </w:r>
    </w:p>
    <w:p>
      <w:pPr>
        <w:pStyle w:val="6"/>
        <w:spacing w:before="0" w:after="0" w:line="500" w:lineRule="exact"/>
        <w:ind w:firstLine="504" w:firstLineChars="209"/>
        <w:rPr>
          <w:rFonts w:ascii="宋体" w:hAnsi="宋体"/>
          <w:sz w:val="24"/>
          <w:szCs w:val="24"/>
          <w:highlight w:val="none"/>
        </w:rPr>
      </w:pPr>
      <w:r>
        <w:rPr>
          <w:rFonts w:hint="eastAsia" w:ascii="宋体" w:hAnsi="宋体"/>
          <w:sz w:val="24"/>
          <w:szCs w:val="24"/>
          <w:highlight w:val="none"/>
        </w:rPr>
        <w:t>18.  响应文件签收</w:t>
      </w:r>
    </w:p>
    <w:p>
      <w:pPr>
        <w:pStyle w:val="31"/>
        <w:spacing w:after="0" w:line="560" w:lineRule="exact"/>
        <w:ind w:firstLine="571" w:firstLineChars="238"/>
        <w:rPr>
          <w:rFonts w:ascii="宋体" w:hAnsi="宋体"/>
          <w:b/>
          <w:bCs/>
          <w:sz w:val="24"/>
          <w:highlight w:val="none"/>
        </w:rPr>
      </w:pPr>
      <w:r>
        <w:rPr>
          <w:rFonts w:hint="eastAsia" w:ascii="宋体" w:hAnsi="宋体"/>
          <w:sz w:val="24"/>
          <w:highlight w:val="none"/>
        </w:rPr>
        <w:t>18.1 递交方式：</w:t>
      </w:r>
      <w:r>
        <w:rPr>
          <w:rFonts w:hint="eastAsia" w:ascii="宋体" w:hAnsi="宋体"/>
          <w:b/>
          <w:bCs/>
          <w:sz w:val="24"/>
          <w:highlight w:val="none"/>
        </w:rPr>
        <w:t>现场递交</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响应人应当在磋商文件要求提交响应文件的截止日期前，将响应文件密封送达。法定代表人参加开标会议的，应出示法定代表人身份证明原件和本人身份证复印件；被授权代表参加开标会议的，应出示授权委托书原件和本人身份证复印件。</w:t>
      </w:r>
    </w:p>
    <w:p>
      <w:pPr>
        <w:pStyle w:val="6"/>
        <w:spacing w:before="0" w:after="0" w:line="500" w:lineRule="exact"/>
        <w:ind w:firstLine="504" w:firstLineChars="209"/>
        <w:rPr>
          <w:rFonts w:ascii="宋体" w:hAnsi="宋体"/>
          <w:sz w:val="24"/>
          <w:highlight w:val="none"/>
        </w:rPr>
      </w:pPr>
      <w:r>
        <w:rPr>
          <w:rFonts w:hint="eastAsia" w:ascii="宋体" w:hAnsi="宋体"/>
          <w:sz w:val="24"/>
          <w:highlight w:val="none"/>
        </w:rPr>
        <w:t>18.2 响应文件递交截止时间后对响应人已提交的响应文件不予退还。</w:t>
      </w:r>
    </w:p>
    <w:p>
      <w:pPr>
        <w:pStyle w:val="6"/>
        <w:spacing w:before="0" w:after="0" w:line="500" w:lineRule="exact"/>
        <w:ind w:firstLine="504" w:firstLineChars="209"/>
        <w:rPr>
          <w:rFonts w:ascii="宋体" w:hAnsi="宋体"/>
          <w:sz w:val="24"/>
          <w:szCs w:val="24"/>
          <w:highlight w:val="none"/>
        </w:rPr>
      </w:pPr>
      <w:r>
        <w:rPr>
          <w:rFonts w:hint="eastAsia" w:ascii="宋体" w:hAnsi="宋体"/>
          <w:sz w:val="24"/>
          <w:szCs w:val="24"/>
          <w:highlight w:val="none"/>
        </w:rPr>
        <w:t>19.  响应文件修改与撤回</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19.1 响应人在采购文件要求提交响应文件的截止时间前，可以修改或者撤回已提交的响应文件，并以书面形式通知代理机构。</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19.2 响应文件任何修改内容必须由响应人的法定代表人或其委托代理人签字，不得涂抹。经法定代表人或其委托代理人正式签署的修改文件组成响应文件的一部分，份数和密封要求同响应文件一致。</w:t>
      </w:r>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 xml:space="preserve">19.3 报价有效期内不得撤回响应文件。 </w:t>
      </w:r>
    </w:p>
    <w:p>
      <w:pPr>
        <w:pStyle w:val="4"/>
        <w:spacing w:before="120" w:after="120" w:line="360" w:lineRule="exact"/>
        <w:ind w:firstLine="516" w:firstLineChars="214"/>
        <w:rPr>
          <w:rFonts w:ascii="宋体" w:hAnsi="宋体" w:eastAsia="宋体"/>
          <w:sz w:val="24"/>
          <w:szCs w:val="24"/>
          <w:highlight w:val="none"/>
        </w:rPr>
      </w:pPr>
      <w:bookmarkStart w:id="113" w:name="_Toc22754"/>
      <w:bookmarkStart w:id="114" w:name="_Toc4333"/>
      <w:bookmarkStart w:id="115" w:name="_Toc12427"/>
      <w:bookmarkStart w:id="116" w:name="_Toc31649"/>
      <w:bookmarkStart w:id="117" w:name="_Toc60585212"/>
      <w:r>
        <w:rPr>
          <w:rFonts w:hint="eastAsia" w:ascii="宋体" w:hAnsi="宋体" w:eastAsia="宋体"/>
          <w:sz w:val="24"/>
          <w:szCs w:val="24"/>
          <w:highlight w:val="none"/>
        </w:rPr>
        <w:t>五、磋商会议仪式、磋商与评审</w:t>
      </w:r>
      <w:bookmarkEnd w:id="113"/>
      <w:bookmarkEnd w:id="114"/>
      <w:bookmarkEnd w:id="115"/>
      <w:bookmarkEnd w:id="116"/>
      <w:bookmarkEnd w:id="117"/>
    </w:p>
    <w:p>
      <w:pPr>
        <w:pStyle w:val="31"/>
        <w:spacing w:after="0" w:line="560" w:lineRule="exact"/>
        <w:ind w:firstLine="571" w:firstLineChars="238"/>
        <w:rPr>
          <w:rFonts w:ascii="宋体" w:hAnsi="宋体"/>
          <w:sz w:val="24"/>
          <w:highlight w:val="none"/>
        </w:rPr>
      </w:pPr>
      <w:r>
        <w:rPr>
          <w:rFonts w:hint="eastAsia" w:ascii="宋体" w:hAnsi="宋体"/>
          <w:sz w:val="24"/>
          <w:highlight w:val="none"/>
        </w:rPr>
        <w:t>本次采购项目的磋商会议、磋商和评审过程由采购人依法组织实施。</w:t>
      </w:r>
    </w:p>
    <w:p>
      <w:pPr>
        <w:pStyle w:val="6"/>
        <w:spacing w:before="0" w:after="0" w:line="500" w:lineRule="exact"/>
        <w:ind w:firstLine="504" w:firstLineChars="209"/>
        <w:rPr>
          <w:rFonts w:ascii="宋体" w:hAnsi="宋体"/>
          <w:sz w:val="24"/>
          <w:szCs w:val="24"/>
          <w:highlight w:val="none"/>
        </w:rPr>
      </w:pPr>
      <w:r>
        <w:rPr>
          <w:rFonts w:ascii="宋体" w:hAnsi="宋体"/>
          <w:sz w:val="24"/>
          <w:szCs w:val="24"/>
          <w:highlight w:val="none"/>
        </w:rPr>
        <w:t xml:space="preserve">20.  </w:t>
      </w:r>
      <w:bookmarkEnd w:id="105"/>
      <w:bookmarkEnd w:id="106"/>
      <w:bookmarkEnd w:id="107"/>
      <w:r>
        <w:rPr>
          <w:rFonts w:hint="eastAsia" w:ascii="宋体" w:hAnsi="宋体"/>
          <w:sz w:val="24"/>
          <w:szCs w:val="24"/>
          <w:highlight w:val="none"/>
        </w:rPr>
        <w:t>磋商会议仪式</w:t>
      </w:r>
    </w:p>
    <w:p>
      <w:pPr>
        <w:pStyle w:val="31"/>
        <w:spacing w:after="0" w:line="560" w:lineRule="exact"/>
        <w:ind w:firstLine="600" w:firstLineChars="250"/>
        <w:rPr>
          <w:rFonts w:ascii="宋体" w:hAnsi="宋体"/>
          <w:sz w:val="24"/>
          <w:highlight w:val="none"/>
        </w:rPr>
      </w:pPr>
      <w:r>
        <w:rPr>
          <w:rFonts w:ascii="宋体" w:hAnsi="宋体"/>
          <w:sz w:val="24"/>
          <w:highlight w:val="none"/>
        </w:rPr>
        <w:t xml:space="preserve">20.1 </w:t>
      </w:r>
      <w:r>
        <w:rPr>
          <w:rFonts w:hint="eastAsia" w:ascii="宋体" w:hAnsi="宋体"/>
          <w:sz w:val="24"/>
          <w:highlight w:val="none"/>
        </w:rPr>
        <w:t>本项目开标时间和地点见响应人须知前附表。开标会议由代理机构组织并主持。参加响应人代表应签名报到，以证明其出席开标会议，未出席开标会议的视同为默认开标结果。采购人授权代理人、响应人授权代理人及有关工作人员参加。</w:t>
      </w:r>
    </w:p>
    <w:p>
      <w:pPr>
        <w:pStyle w:val="31"/>
        <w:spacing w:after="0" w:line="560" w:lineRule="exact"/>
        <w:ind w:firstLine="600" w:firstLineChars="250"/>
        <w:rPr>
          <w:rFonts w:ascii="宋体" w:hAnsi="宋体"/>
          <w:sz w:val="24"/>
          <w:highlight w:val="none"/>
        </w:rPr>
      </w:pPr>
      <w:r>
        <w:rPr>
          <w:rFonts w:ascii="宋体" w:hAnsi="宋体"/>
          <w:sz w:val="24"/>
          <w:highlight w:val="none"/>
        </w:rPr>
        <w:t>20.2</w:t>
      </w:r>
      <w:r>
        <w:rPr>
          <w:rFonts w:hint="eastAsia" w:ascii="宋体" w:hAnsi="宋体"/>
          <w:sz w:val="24"/>
          <w:highlight w:val="none"/>
        </w:rPr>
        <w:t xml:space="preserve"> 响应人对响应文件的密封情况进行检查，并现场宣布检查结果。</w:t>
      </w:r>
    </w:p>
    <w:p>
      <w:pPr>
        <w:pStyle w:val="31"/>
        <w:spacing w:after="0" w:line="560" w:lineRule="exact"/>
        <w:ind w:firstLine="600" w:firstLineChars="250"/>
        <w:rPr>
          <w:rFonts w:ascii="宋体" w:hAnsi="宋体" w:cs="宋体"/>
          <w:sz w:val="24"/>
          <w:highlight w:val="none"/>
        </w:rPr>
      </w:pPr>
      <w:r>
        <w:rPr>
          <w:rFonts w:ascii="宋体" w:hAnsi="宋体"/>
          <w:sz w:val="24"/>
          <w:highlight w:val="none"/>
        </w:rPr>
        <w:t>20.3</w:t>
      </w:r>
      <w:r>
        <w:rPr>
          <w:rFonts w:hint="eastAsia" w:ascii="宋体" w:hAnsi="宋体"/>
          <w:sz w:val="24"/>
          <w:highlight w:val="none"/>
        </w:rPr>
        <w:t xml:space="preserve"> 经检查无误后，开标会议结束。</w:t>
      </w:r>
    </w:p>
    <w:p>
      <w:pPr>
        <w:pStyle w:val="6"/>
        <w:spacing w:before="0" w:after="0" w:line="500" w:lineRule="exact"/>
        <w:ind w:firstLine="504" w:firstLineChars="209"/>
        <w:rPr>
          <w:rFonts w:ascii="宋体" w:hAnsi="宋体"/>
          <w:sz w:val="24"/>
          <w:szCs w:val="24"/>
          <w:highlight w:val="none"/>
        </w:rPr>
      </w:pPr>
      <w:bookmarkStart w:id="118" w:name="_Toc346306754"/>
      <w:bookmarkStart w:id="119" w:name="_Toc352332875"/>
      <w:bookmarkStart w:id="120" w:name="_Toc346372901"/>
      <w:r>
        <w:rPr>
          <w:rFonts w:ascii="宋体" w:hAnsi="宋体"/>
          <w:sz w:val="24"/>
          <w:szCs w:val="24"/>
          <w:highlight w:val="none"/>
        </w:rPr>
        <w:t xml:space="preserve">21.  </w:t>
      </w:r>
      <w:r>
        <w:rPr>
          <w:rFonts w:hint="eastAsia" w:ascii="宋体" w:hAnsi="宋体"/>
          <w:sz w:val="24"/>
          <w:szCs w:val="24"/>
          <w:highlight w:val="none"/>
        </w:rPr>
        <w:t>磋商小组</w:t>
      </w:r>
      <w:bookmarkEnd w:id="118"/>
      <w:bookmarkEnd w:id="119"/>
      <w:bookmarkEnd w:id="120"/>
    </w:p>
    <w:p>
      <w:pPr>
        <w:pStyle w:val="31"/>
        <w:spacing w:after="0" w:line="560" w:lineRule="exact"/>
        <w:ind w:firstLine="600" w:firstLineChars="250"/>
        <w:rPr>
          <w:rFonts w:ascii="宋体" w:hAnsi="宋体"/>
          <w:sz w:val="24"/>
          <w:highlight w:val="none"/>
        </w:rPr>
      </w:pPr>
      <w:r>
        <w:rPr>
          <w:rFonts w:hint="eastAsia" w:ascii="宋体" w:hAnsi="宋体"/>
          <w:sz w:val="24"/>
          <w:highlight w:val="none"/>
        </w:rPr>
        <w:t>采购人</w:t>
      </w:r>
      <w:r>
        <w:rPr>
          <w:rFonts w:ascii="宋体" w:hAnsi="宋体"/>
          <w:sz w:val="24"/>
          <w:highlight w:val="none"/>
        </w:rPr>
        <w:t>根据有关法律法规和本采购文件的规定，结合</w:t>
      </w:r>
      <w:r>
        <w:rPr>
          <w:rFonts w:hint="eastAsia" w:ascii="宋体" w:hAnsi="宋体"/>
          <w:sz w:val="24"/>
          <w:highlight w:val="none"/>
        </w:rPr>
        <w:t>采购</w:t>
      </w:r>
      <w:r>
        <w:rPr>
          <w:rFonts w:ascii="宋体" w:hAnsi="宋体"/>
          <w:sz w:val="24"/>
          <w:highlight w:val="none"/>
        </w:rPr>
        <w:t>项目的特点组建磋商小组</w:t>
      </w:r>
      <w:r>
        <w:rPr>
          <w:rFonts w:hint="eastAsia" w:ascii="宋体" w:hAnsi="宋体"/>
          <w:sz w:val="24"/>
          <w:highlight w:val="none"/>
        </w:rPr>
        <w:t>。磋商小组负责</w:t>
      </w:r>
      <w:r>
        <w:rPr>
          <w:rFonts w:ascii="宋体" w:hAnsi="宋体"/>
          <w:sz w:val="24"/>
          <w:highlight w:val="none"/>
        </w:rPr>
        <w:t>对响应文件进行评估和比较。磋商小组由</w:t>
      </w:r>
      <w:r>
        <w:rPr>
          <w:rFonts w:hint="eastAsia" w:ascii="宋体" w:hAnsi="宋体"/>
          <w:sz w:val="24"/>
          <w:highlight w:val="none"/>
        </w:rPr>
        <w:t>三</w:t>
      </w:r>
      <w:r>
        <w:rPr>
          <w:rFonts w:ascii="宋体" w:hAnsi="宋体"/>
          <w:sz w:val="24"/>
          <w:highlight w:val="none"/>
        </w:rPr>
        <w:t>人</w:t>
      </w:r>
      <w:r>
        <w:rPr>
          <w:rFonts w:hint="eastAsia" w:ascii="宋体" w:hAnsi="宋体"/>
          <w:sz w:val="24"/>
          <w:highlight w:val="none"/>
        </w:rPr>
        <w:t>或</w:t>
      </w:r>
      <w:r>
        <w:rPr>
          <w:rFonts w:ascii="宋体" w:hAnsi="宋体"/>
          <w:sz w:val="24"/>
          <w:highlight w:val="none"/>
        </w:rPr>
        <w:t>以上单数组成，其中</w:t>
      </w:r>
      <w:r>
        <w:rPr>
          <w:rFonts w:hint="eastAsia" w:ascii="宋体" w:hAnsi="宋体"/>
          <w:sz w:val="24"/>
          <w:highlight w:val="none"/>
        </w:rPr>
        <w:t>评审</w:t>
      </w:r>
      <w:r>
        <w:rPr>
          <w:rFonts w:ascii="宋体" w:hAnsi="宋体"/>
          <w:sz w:val="24"/>
          <w:highlight w:val="none"/>
        </w:rPr>
        <w:t>专家不少于三分之二。</w:t>
      </w:r>
      <w:r>
        <w:rPr>
          <w:rFonts w:hint="eastAsia" w:ascii="宋体" w:hAnsi="宋体"/>
          <w:sz w:val="24"/>
          <w:highlight w:val="none"/>
        </w:rPr>
        <w:t>磋商小组的组成见响应人须知前附表。</w:t>
      </w:r>
    </w:p>
    <w:p>
      <w:pPr>
        <w:pStyle w:val="6"/>
        <w:spacing w:before="0" w:after="0" w:line="500" w:lineRule="exact"/>
        <w:ind w:firstLine="504" w:firstLineChars="209"/>
        <w:rPr>
          <w:rFonts w:ascii="宋体" w:hAnsi="宋体"/>
          <w:sz w:val="24"/>
          <w:szCs w:val="24"/>
          <w:highlight w:val="none"/>
        </w:rPr>
      </w:pPr>
      <w:bookmarkStart w:id="121" w:name="_Toc346306755"/>
      <w:bookmarkStart w:id="122" w:name="_Toc346372902"/>
      <w:bookmarkStart w:id="123" w:name="_Toc352332876"/>
      <w:r>
        <w:rPr>
          <w:rFonts w:ascii="宋体" w:hAnsi="宋体"/>
          <w:sz w:val="24"/>
          <w:szCs w:val="24"/>
          <w:highlight w:val="none"/>
        </w:rPr>
        <w:t xml:space="preserve">22.  </w:t>
      </w:r>
      <w:r>
        <w:rPr>
          <w:rFonts w:hint="eastAsia" w:ascii="宋体" w:hAnsi="宋体"/>
          <w:sz w:val="24"/>
          <w:szCs w:val="24"/>
          <w:highlight w:val="none"/>
        </w:rPr>
        <w:t>评审原则</w:t>
      </w:r>
      <w:bookmarkEnd w:id="121"/>
      <w:bookmarkEnd w:id="122"/>
      <w:bookmarkEnd w:id="123"/>
    </w:p>
    <w:p>
      <w:pPr>
        <w:pStyle w:val="31"/>
        <w:spacing w:after="0" w:line="560" w:lineRule="exact"/>
        <w:ind w:firstLine="487" w:firstLineChars="203"/>
        <w:rPr>
          <w:rFonts w:ascii="宋体" w:hAnsi="宋体" w:cs="宋体"/>
          <w:sz w:val="24"/>
          <w:highlight w:val="none"/>
        </w:rPr>
      </w:pPr>
      <w:r>
        <w:rPr>
          <w:rFonts w:hint="eastAsia" w:ascii="宋体" w:hAnsi="宋体" w:cs="宋体"/>
          <w:sz w:val="24"/>
          <w:highlight w:val="none"/>
        </w:rPr>
        <w:t>“客观、公正、审慎”为本次评审的基本原则，评审小组将按照这一原则公正、平等地对待各响应人，同时在评审过程中遵守以下原则：</w:t>
      </w:r>
    </w:p>
    <w:p>
      <w:pPr>
        <w:pStyle w:val="31"/>
        <w:spacing w:after="0" w:line="560" w:lineRule="exact"/>
        <w:ind w:firstLine="487" w:firstLineChars="203"/>
        <w:rPr>
          <w:rFonts w:ascii="宋体" w:hAnsi="宋体" w:cs="宋体"/>
          <w:sz w:val="24"/>
          <w:highlight w:val="none"/>
        </w:rPr>
      </w:pPr>
      <w:r>
        <w:rPr>
          <w:rFonts w:hint="eastAsia" w:ascii="宋体" w:hAnsi="宋体" w:cs="宋体"/>
          <w:sz w:val="24"/>
          <w:highlight w:val="none"/>
        </w:rPr>
        <w:t>21.1 客观性原则；评审小组将严格按照采购文件的规定，对响应文件的评审仅依据响应文件本身，而不依据响应文件以外的任何因素。</w:t>
      </w:r>
    </w:p>
    <w:p>
      <w:pPr>
        <w:pStyle w:val="31"/>
        <w:spacing w:after="0" w:line="560" w:lineRule="exact"/>
        <w:ind w:firstLine="487" w:firstLineChars="203"/>
        <w:rPr>
          <w:rFonts w:ascii="宋体" w:hAnsi="宋体" w:cs="宋体"/>
          <w:sz w:val="24"/>
          <w:highlight w:val="none"/>
        </w:rPr>
      </w:pPr>
      <w:r>
        <w:rPr>
          <w:rFonts w:hint="eastAsia" w:ascii="宋体" w:hAnsi="宋体" w:cs="宋体"/>
          <w:sz w:val="24"/>
          <w:highlight w:val="none"/>
        </w:rPr>
        <w:t>21.2 公正性原则；评审小组依据采购文件规定的评审程序、评审方法和评审标准按统一方法、同一标准进行独立评审，并对响应文件的各项指标进行综合分析和比较，而不以单项指标的优劣进行评审。</w:t>
      </w:r>
    </w:p>
    <w:p>
      <w:pPr>
        <w:pStyle w:val="31"/>
        <w:spacing w:after="0" w:line="560" w:lineRule="exact"/>
        <w:ind w:firstLine="487" w:firstLineChars="203"/>
        <w:rPr>
          <w:rFonts w:ascii="宋体" w:hAnsi="宋体" w:cs="宋体"/>
          <w:sz w:val="24"/>
          <w:highlight w:val="none"/>
        </w:rPr>
      </w:pPr>
      <w:r>
        <w:rPr>
          <w:rFonts w:hint="eastAsia" w:ascii="宋体" w:hAnsi="宋体" w:cs="宋体"/>
          <w:sz w:val="24"/>
          <w:highlight w:val="none"/>
        </w:rPr>
        <w:t>21.3 审慎性原则：评审小组独立对响应文件进行审阅，依据竞争性磋商文件规定的评审标准审慎评审 。评审小组的评审不受外界任何因素的干扰和影响，评审小组成员对出具的评审意见承担个人责任。</w:t>
      </w:r>
    </w:p>
    <w:p>
      <w:pPr>
        <w:pStyle w:val="6"/>
        <w:spacing w:before="0" w:after="0" w:line="500" w:lineRule="exact"/>
        <w:ind w:firstLine="504" w:firstLineChars="209"/>
        <w:rPr>
          <w:rFonts w:ascii="宋体" w:hAnsi="宋体"/>
          <w:sz w:val="24"/>
          <w:szCs w:val="24"/>
          <w:highlight w:val="none"/>
        </w:rPr>
      </w:pPr>
      <w:bookmarkStart w:id="124" w:name="_Toc346372903"/>
      <w:bookmarkStart w:id="125" w:name="_Toc352332877"/>
      <w:bookmarkStart w:id="126" w:name="_Toc346306756"/>
      <w:r>
        <w:rPr>
          <w:rFonts w:ascii="宋体" w:hAnsi="宋体"/>
          <w:sz w:val="24"/>
          <w:szCs w:val="24"/>
          <w:highlight w:val="none"/>
        </w:rPr>
        <w:t xml:space="preserve">23.  </w:t>
      </w:r>
      <w:r>
        <w:rPr>
          <w:rFonts w:hint="eastAsia" w:ascii="宋体" w:hAnsi="宋体"/>
          <w:sz w:val="24"/>
          <w:szCs w:val="24"/>
          <w:highlight w:val="none"/>
        </w:rPr>
        <w:t>评审方法</w:t>
      </w:r>
      <w:bookmarkEnd w:id="124"/>
      <w:bookmarkEnd w:id="125"/>
      <w:bookmarkEnd w:id="126"/>
    </w:p>
    <w:p>
      <w:pPr>
        <w:pStyle w:val="31"/>
        <w:spacing w:after="0" w:line="560" w:lineRule="exact"/>
        <w:ind w:firstLine="600" w:firstLineChars="250"/>
        <w:rPr>
          <w:rFonts w:ascii="宋体" w:hAnsi="宋体"/>
          <w:sz w:val="24"/>
          <w:highlight w:val="none"/>
        </w:rPr>
      </w:pPr>
      <w:r>
        <w:rPr>
          <w:rFonts w:hint="eastAsia" w:ascii="宋体" w:hAnsi="宋体"/>
          <w:sz w:val="24"/>
          <w:highlight w:val="none"/>
        </w:rPr>
        <w:t>本项目评审方法见响应人须知前附表。</w:t>
      </w:r>
    </w:p>
    <w:p>
      <w:pPr>
        <w:pStyle w:val="6"/>
        <w:spacing w:before="0" w:after="0" w:line="500" w:lineRule="exact"/>
        <w:ind w:firstLine="504" w:firstLineChars="209"/>
        <w:rPr>
          <w:rFonts w:ascii="宋体" w:hAnsi="宋体"/>
          <w:sz w:val="24"/>
          <w:szCs w:val="24"/>
          <w:highlight w:val="none"/>
        </w:rPr>
      </w:pPr>
      <w:bookmarkStart w:id="127" w:name="_Toc352332878"/>
      <w:bookmarkStart w:id="128" w:name="_Toc346372904"/>
      <w:bookmarkStart w:id="129" w:name="_Toc346306757"/>
      <w:r>
        <w:rPr>
          <w:rFonts w:ascii="宋体" w:hAnsi="宋体"/>
          <w:sz w:val="24"/>
          <w:szCs w:val="24"/>
          <w:highlight w:val="none"/>
        </w:rPr>
        <w:t xml:space="preserve">24.  </w:t>
      </w:r>
      <w:r>
        <w:rPr>
          <w:rFonts w:hint="eastAsia" w:ascii="宋体" w:hAnsi="宋体"/>
          <w:sz w:val="24"/>
          <w:szCs w:val="24"/>
          <w:highlight w:val="none"/>
        </w:rPr>
        <w:t>初步评审</w:t>
      </w:r>
      <w:bookmarkEnd w:id="127"/>
      <w:bookmarkEnd w:id="128"/>
      <w:bookmarkEnd w:id="129"/>
    </w:p>
    <w:p>
      <w:pPr>
        <w:pStyle w:val="31"/>
        <w:spacing w:after="0" w:line="560" w:lineRule="exact"/>
        <w:ind w:firstLine="600" w:firstLineChars="250"/>
        <w:rPr>
          <w:rFonts w:ascii="宋体" w:hAnsi="宋体"/>
          <w:sz w:val="24"/>
          <w:highlight w:val="none"/>
        </w:rPr>
      </w:pPr>
      <w:r>
        <w:rPr>
          <w:rFonts w:hint="eastAsia" w:ascii="宋体" w:hAnsi="宋体"/>
          <w:sz w:val="24"/>
          <w:highlight w:val="none"/>
        </w:rPr>
        <w:t>24.1 初步评审是对响应文件的资格和符合性进行审查。</w:t>
      </w:r>
    </w:p>
    <w:p>
      <w:pPr>
        <w:pStyle w:val="31"/>
        <w:spacing w:after="0" w:line="560" w:lineRule="exact"/>
        <w:ind w:firstLine="600" w:firstLineChars="250"/>
        <w:rPr>
          <w:rFonts w:ascii="宋体" w:hAnsi="宋体"/>
          <w:sz w:val="24"/>
          <w:highlight w:val="none"/>
        </w:rPr>
      </w:pPr>
      <w:r>
        <w:rPr>
          <w:rFonts w:hint="eastAsia" w:ascii="宋体" w:hAnsi="宋体"/>
          <w:sz w:val="24"/>
          <w:highlight w:val="none"/>
        </w:rPr>
        <w:t>24.2 在评审活动开始前，采购人及采购代理机构宣布政府采购评审工作纪律。</w:t>
      </w:r>
    </w:p>
    <w:p>
      <w:pPr>
        <w:pStyle w:val="31"/>
        <w:spacing w:after="0" w:line="560" w:lineRule="exact"/>
        <w:ind w:firstLine="600" w:firstLineChars="250"/>
        <w:rPr>
          <w:rFonts w:ascii="宋体" w:hAnsi="宋体"/>
          <w:sz w:val="24"/>
          <w:highlight w:val="none"/>
        </w:rPr>
      </w:pPr>
      <w:r>
        <w:rPr>
          <w:rFonts w:hint="eastAsia" w:ascii="宋体" w:hAnsi="宋体"/>
          <w:sz w:val="24"/>
          <w:highlight w:val="none"/>
        </w:rPr>
        <w:t>24.3 磋商会议仪式后，磋商小组将依法对响应人的资格进行审查以确定响应人是否具备报价资格。</w:t>
      </w:r>
    </w:p>
    <w:p>
      <w:pPr>
        <w:pStyle w:val="31"/>
        <w:spacing w:after="0" w:line="560" w:lineRule="exact"/>
        <w:ind w:firstLine="600" w:firstLineChars="250"/>
        <w:rPr>
          <w:rFonts w:ascii="宋体" w:hAnsi="宋体"/>
          <w:sz w:val="24"/>
          <w:highlight w:val="none"/>
        </w:rPr>
      </w:pPr>
      <w:r>
        <w:rPr>
          <w:rFonts w:hint="eastAsia" w:ascii="宋体" w:hAnsi="宋体"/>
          <w:sz w:val="24"/>
          <w:highlight w:val="none"/>
        </w:rPr>
        <w:t>资格审查未通过的响应人，不得进入下一步评审。</w:t>
      </w:r>
    </w:p>
    <w:p>
      <w:pPr>
        <w:pStyle w:val="31"/>
        <w:spacing w:after="0" w:line="560" w:lineRule="exact"/>
        <w:ind w:firstLine="600" w:firstLineChars="250"/>
        <w:rPr>
          <w:rFonts w:ascii="宋体" w:hAnsi="宋体"/>
          <w:sz w:val="24"/>
          <w:highlight w:val="none"/>
        </w:rPr>
      </w:pPr>
      <w:r>
        <w:rPr>
          <w:rFonts w:hint="eastAsia" w:ascii="宋体" w:hAnsi="宋体"/>
          <w:sz w:val="24"/>
          <w:highlight w:val="none"/>
        </w:rPr>
        <w:t>24.4磋商小组应当对符合资格条件要求的响应人的响应文件进行符合性审查，以确定其是否满足采购文件的实质性要求而没有重大偏离。</w:t>
      </w:r>
    </w:p>
    <w:p>
      <w:pPr>
        <w:pStyle w:val="31"/>
        <w:spacing w:after="0" w:line="560" w:lineRule="exact"/>
        <w:ind w:firstLine="602" w:firstLineChars="250"/>
        <w:rPr>
          <w:rFonts w:ascii="宋体" w:hAnsi="宋体"/>
          <w:b/>
          <w:sz w:val="24"/>
          <w:highlight w:val="none"/>
        </w:rPr>
      </w:pPr>
      <w:r>
        <w:rPr>
          <w:rFonts w:hint="eastAsia" w:ascii="宋体" w:hAnsi="宋体"/>
          <w:b/>
          <w:sz w:val="24"/>
          <w:highlight w:val="none"/>
        </w:rPr>
        <w:t>★24.5 如出现下列情形之一的，视为对采购文件没有做出实质性响应，按照无效报价处理。</w:t>
      </w:r>
    </w:p>
    <w:p>
      <w:pPr>
        <w:pStyle w:val="31"/>
        <w:spacing w:after="0" w:line="560" w:lineRule="exact"/>
        <w:ind w:firstLine="602" w:firstLineChars="250"/>
        <w:rPr>
          <w:rFonts w:ascii="宋体" w:hAnsi="宋体"/>
          <w:b/>
          <w:sz w:val="24"/>
          <w:highlight w:val="none"/>
        </w:rPr>
      </w:pPr>
      <w:r>
        <w:rPr>
          <w:rFonts w:hint="eastAsia" w:ascii="宋体" w:hAnsi="宋体"/>
          <w:b/>
          <w:sz w:val="24"/>
          <w:highlight w:val="none"/>
        </w:rPr>
        <w:t>1）在规定的递交响应文件截止时间之后递交响应文件的；</w:t>
      </w:r>
    </w:p>
    <w:p>
      <w:pPr>
        <w:pStyle w:val="31"/>
        <w:spacing w:after="0" w:line="560" w:lineRule="exact"/>
        <w:ind w:firstLine="602" w:firstLineChars="250"/>
        <w:rPr>
          <w:rFonts w:ascii="宋体" w:hAnsi="宋体"/>
          <w:b/>
          <w:sz w:val="24"/>
          <w:highlight w:val="none"/>
        </w:rPr>
      </w:pPr>
      <w:r>
        <w:rPr>
          <w:rFonts w:hint="eastAsia" w:ascii="宋体" w:hAnsi="宋体"/>
          <w:b/>
          <w:sz w:val="24"/>
          <w:highlight w:val="none"/>
        </w:rPr>
        <w:t>2）未按采购文件规定要求签署、盖章的；</w:t>
      </w:r>
    </w:p>
    <w:p>
      <w:pPr>
        <w:pStyle w:val="31"/>
        <w:spacing w:after="0" w:line="560" w:lineRule="exact"/>
        <w:ind w:firstLine="602" w:firstLineChars="250"/>
        <w:rPr>
          <w:rFonts w:ascii="宋体" w:hAnsi="宋体"/>
          <w:b/>
          <w:sz w:val="24"/>
          <w:highlight w:val="none"/>
        </w:rPr>
      </w:pPr>
      <w:r>
        <w:rPr>
          <w:rFonts w:hint="eastAsia" w:ascii="宋体" w:hAnsi="宋体"/>
          <w:b/>
          <w:sz w:val="24"/>
          <w:highlight w:val="none"/>
        </w:rPr>
        <w:t>3）未按规定交纳磋商保证金的；</w:t>
      </w:r>
    </w:p>
    <w:p>
      <w:pPr>
        <w:pStyle w:val="31"/>
        <w:spacing w:after="0" w:line="560" w:lineRule="exact"/>
        <w:ind w:firstLine="602" w:firstLineChars="250"/>
        <w:rPr>
          <w:rFonts w:ascii="宋体" w:hAnsi="宋体"/>
          <w:b/>
          <w:sz w:val="24"/>
          <w:highlight w:val="none"/>
        </w:rPr>
      </w:pPr>
      <w:r>
        <w:rPr>
          <w:rFonts w:hint="eastAsia" w:ascii="宋体" w:hAnsi="宋体"/>
          <w:b/>
          <w:sz w:val="24"/>
          <w:highlight w:val="none"/>
        </w:rPr>
        <w:t>4）采购文件未明确说明允许投报进口产品，而投报了进口产品的；</w:t>
      </w:r>
    </w:p>
    <w:p>
      <w:pPr>
        <w:pStyle w:val="31"/>
        <w:spacing w:after="0" w:line="560" w:lineRule="exact"/>
        <w:ind w:firstLine="602" w:firstLineChars="250"/>
        <w:rPr>
          <w:rFonts w:ascii="宋体" w:hAnsi="宋体"/>
          <w:b/>
          <w:sz w:val="24"/>
          <w:highlight w:val="none"/>
        </w:rPr>
      </w:pPr>
      <w:r>
        <w:rPr>
          <w:rFonts w:hint="eastAsia" w:ascii="宋体" w:hAnsi="宋体"/>
          <w:b/>
          <w:sz w:val="24"/>
          <w:highlight w:val="none"/>
        </w:rPr>
        <w:t>5）</w:t>
      </w:r>
      <w:r>
        <w:rPr>
          <w:rFonts w:hint="eastAsia" w:ascii="宋体" w:hAnsi="宋体" w:cs="宋体"/>
          <w:b/>
          <w:bCs/>
          <w:sz w:val="24"/>
          <w:highlight w:val="none"/>
        </w:rPr>
        <w:t>在响应文件中，未响应标注有“★”的，在磋商过程中不会实质性变动的条款</w:t>
      </w:r>
      <w:r>
        <w:rPr>
          <w:rFonts w:hint="eastAsia" w:ascii="宋体" w:hAnsi="宋体"/>
          <w:b/>
          <w:sz w:val="24"/>
          <w:highlight w:val="none"/>
        </w:rPr>
        <w:t>；</w:t>
      </w:r>
    </w:p>
    <w:p>
      <w:pPr>
        <w:pStyle w:val="31"/>
        <w:spacing w:after="0" w:line="560" w:lineRule="exact"/>
        <w:ind w:firstLine="602" w:firstLineChars="250"/>
        <w:rPr>
          <w:rFonts w:ascii="宋体" w:hAnsi="宋体"/>
          <w:b/>
          <w:sz w:val="24"/>
          <w:highlight w:val="none"/>
        </w:rPr>
      </w:pPr>
      <w:r>
        <w:rPr>
          <w:rFonts w:hint="eastAsia" w:ascii="宋体" w:hAnsi="宋体"/>
          <w:b/>
          <w:sz w:val="24"/>
          <w:highlight w:val="none"/>
        </w:rPr>
        <w:t>6）首轮报价、再次报价、最终报价中的任一轮报价超过采购预算或最高限价</w:t>
      </w:r>
      <w:r>
        <w:rPr>
          <w:rFonts w:hint="eastAsia" w:ascii="宋体" w:hAnsi="宋体"/>
          <w:b/>
          <w:sz w:val="24"/>
          <w:highlight w:val="none"/>
          <w:lang w:val="en-US" w:eastAsia="zh-CN"/>
        </w:rPr>
        <w:t>或限制单价</w:t>
      </w:r>
      <w:r>
        <w:rPr>
          <w:rFonts w:hint="eastAsia" w:ascii="宋体" w:hAnsi="宋体"/>
          <w:b/>
          <w:sz w:val="24"/>
          <w:highlight w:val="none"/>
        </w:rPr>
        <w:t>的；</w:t>
      </w:r>
    </w:p>
    <w:p>
      <w:pPr>
        <w:pStyle w:val="31"/>
        <w:spacing w:after="0" w:line="560" w:lineRule="exact"/>
        <w:ind w:firstLine="602" w:firstLineChars="250"/>
        <w:rPr>
          <w:rFonts w:ascii="宋体" w:hAnsi="宋体"/>
          <w:b/>
          <w:sz w:val="24"/>
          <w:highlight w:val="none"/>
        </w:rPr>
      </w:pPr>
      <w:r>
        <w:rPr>
          <w:rFonts w:hint="eastAsia" w:ascii="宋体" w:hAnsi="宋体"/>
          <w:b/>
          <w:sz w:val="24"/>
          <w:highlight w:val="none"/>
        </w:rPr>
        <w:t>7）以他人名义报价或者在响应文件中提供虚假材料的；</w:t>
      </w:r>
    </w:p>
    <w:p>
      <w:pPr>
        <w:pStyle w:val="31"/>
        <w:spacing w:after="0" w:line="560" w:lineRule="exact"/>
        <w:ind w:firstLine="602" w:firstLineChars="250"/>
        <w:rPr>
          <w:rFonts w:ascii="宋体" w:hAnsi="宋体"/>
          <w:b/>
          <w:sz w:val="24"/>
          <w:highlight w:val="none"/>
        </w:rPr>
      </w:pPr>
      <w:r>
        <w:rPr>
          <w:rFonts w:hint="eastAsia" w:ascii="宋体" w:hAnsi="宋体"/>
          <w:b/>
          <w:sz w:val="24"/>
          <w:highlight w:val="none"/>
        </w:rPr>
        <w:t>8）法律法规和采购文件规定的其他情形。</w:t>
      </w:r>
    </w:p>
    <w:p>
      <w:pPr>
        <w:spacing w:after="120" w:line="560" w:lineRule="exact"/>
        <w:ind w:firstLine="600" w:firstLineChars="250"/>
        <w:rPr>
          <w:rFonts w:ascii="宋体" w:hAnsi="宋体"/>
          <w:kern w:val="0"/>
          <w:sz w:val="24"/>
          <w:highlight w:val="none"/>
        </w:rPr>
      </w:pPr>
      <w:r>
        <w:rPr>
          <w:rFonts w:hint="eastAsia" w:ascii="宋体" w:hAnsi="宋体"/>
          <w:kern w:val="0"/>
          <w:sz w:val="24"/>
          <w:highlight w:val="none"/>
        </w:rPr>
        <w:t>24.6对于响应文件中含义不明确、同类问题表述不一致或者有明显文字和计算错误的内容，磋商小组应当以书面形式要求响应人作出必要的澄清、说明或者补正。 响应人的澄清、说明或者补正应当采用书面形式，并加盖公章，或者由法定代表人或其委托代理人签字。响应人的澄清、说明或者补正不得超出响应文件的范围或者改变响应文件的实质性内容。</w:t>
      </w:r>
    </w:p>
    <w:p>
      <w:pPr>
        <w:spacing w:line="560" w:lineRule="exact"/>
        <w:ind w:firstLine="602" w:firstLineChars="250"/>
        <w:rPr>
          <w:rFonts w:ascii="宋体" w:hAnsi="宋体" w:cs="宋体"/>
          <w:kern w:val="0"/>
          <w:sz w:val="24"/>
          <w:highlight w:val="none"/>
        </w:rPr>
      </w:pPr>
      <w:r>
        <w:rPr>
          <w:rFonts w:hint="eastAsia" w:ascii="宋体" w:hAnsi="宋体" w:cs="宋体"/>
          <w:b/>
          <w:kern w:val="0"/>
          <w:sz w:val="24"/>
          <w:highlight w:val="none"/>
        </w:rPr>
        <w:t>24.7 被磋商小组确定为非实质性响应的响应文件，为无效报价文件，响应人不能通过修正或撤销响应文件中的不符之处而使其报价成为实质性响应的报价</w:t>
      </w:r>
      <w:r>
        <w:rPr>
          <w:rFonts w:hint="eastAsia" w:ascii="宋体" w:hAnsi="宋体" w:cs="宋体"/>
          <w:kern w:val="0"/>
          <w:sz w:val="24"/>
          <w:highlight w:val="none"/>
        </w:rPr>
        <w:t>。</w:t>
      </w:r>
    </w:p>
    <w:p>
      <w:pPr>
        <w:spacing w:line="560" w:lineRule="exact"/>
        <w:ind w:firstLine="602" w:firstLineChars="250"/>
        <w:rPr>
          <w:rFonts w:ascii="宋体" w:hAnsi="宋体" w:cs="宋体"/>
          <w:b/>
          <w:bCs/>
          <w:kern w:val="0"/>
          <w:sz w:val="24"/>
          <w:highlight w:val="none"/>
        </w:rPr>
      </w:pPr>
      <w:r>
        <w:rPr>
          <w:rFonts w:hint="eastAsia" w:ascii="宋体" w:hAnsi="宋体" w:cs="宋体"/>
          <w:b/>
          <w:bCs/>
          <w:kern w:val="0"/>
          <w:sz w:val="24"/>
          <w:highlight w:val="none"/>
        </w:rPr>
        <w:t>★24.8 磋商小组对各响应人的报价进行评审，对超出项目预算的首轮报价、再次报价、最终报价，均按无效报价处理。</w:t>
      </w:r>
    </w:p>
    <w:p>
      <w:pPr>
        <w:spacing w:line="560" w:lineRule="exact"/>
        <w:ind w:firstLine="602" w:firstLineChars="250"/>
        <w:rPr>
          <w:rFonts w:ascii="宋体" w:hAnsi="宋体" w:cs="宋体"/>
          <w:b/>
          <w:bCs/>
          <w:kern w:val="0"/>
          <w:sz w:val="24"/>
          <w:highlight w:val="none"/>
        </w:rPr>
      </w:pPr>
      <w:r>
        <w:rPr>
          <w:rFonts w:hint="eastAsia" w:ascii="宋体" w:hAnsi="宋体" w:cs="宋体"/>
          <w:b/>
          <w:bCs/>
          <w:kern w:val="0"/>
          <w:sz w:val="24"/>
          <w:highlight w:val="none"/>
        </w:rPr>
        <w:t>★24.9响应人应当遵循公平竞争的原则，不得恶意串通，不得妨碍其他响应人的竞争行为，不得损害采购人或者其他响应人的合法权益。</w:t>
      </w:r>
    </w:p>
    <w:p>
      <w:pPr>
        <w:spacing w:line="560" w:lineRule="exact"/>
        <w:ind w:firstLine="600" w:firstLineChars="250"/>
        <w:rPr>
          <w:rFonts w:ascii="宋体" w:hAnsi="宋体" w:cs="宋体"/>
          <w:bCs/>
          <w:kern w:val="0"/>
          <w:sz w:val="24"/>
          <w:highlight w:val="none"/>
        </w:rPr>
      </w:pPr>
      <w:r>
        <w:rPr>
          <w:rFonts w:hint="eastAsia" w:ascii="宋体" w:hAnsi="宋体" w:cs="宋体"/>
          <w:bCs/>
          <w:kern w:val="0"/>
          <w:sz w:val="24"/>
          <w:highlight w:val="none"/>
        </w:rPr>
        <w:t>在评审过程中发现响应人有上述情形的，磋商小组应当认定其报价无效，并书面报告本级财政部门。</w:t>
      </w:r>
    </w:p>
    <w:p>
      <w:pPr>
        <w:spacing w:line="560" w:lineRule="exact"/>
        <w:ind w:firstLine="602" w:firstLineChars="250"/>
        <w:rPr>
          <w:rFonts w:ascii="宋体" w:hAnsi="宋体" w:cs="宋体"/>
          <w:b/>
          <w:bCs/>
          <w:kern w:val="0"/>
          <w:sz w:val="24"/>
          <w:highlight w:val="none"/>
        </w:rPr>
      </w:pPr>
      <w:r>
        <w:rPr>
          <w:rFonts w:hint="eastAsia" w:ascii="宋体" w:hAnsi="宋体" w:cs="宋体"/>
          <w:b/>
          <w:bCs/>
          <w:kern w:val="0"/>
          <w:sz w:val="24"/>
          <w:highlight w:val="none"/>
        </w:rPr>
        <w:t>★24.10磋商小组发现响应人有属于串通报价、被视为串通报价、以他人名义报价、通过受让或者租借等方式获取资格资质证书、弄虚作假等情形的，各相关响应人的报价均无效。</w:t>
      </w:r>
    </w:p>
    <w:p>
      <w:pPr>
        <w:spacing w:line="560" w:lineRule="exact"/>
        <w:ind w:firstLine="600" w:firstLineChars="250"/>
        <w:rPr>
          <w:rFonts w:ascii="宋体" w:hAnsi="宋体" w:cs="宋体"/>
          <w:kern w:val="0"/>
          <w:sz w:val="24"/>
          <w:highlight w:val="none"/>
        </w:rPr>
      </w:pPr>
      <w:r>
        <w:rPr>
          <w:rFonts w:hint="eastAsia" w:ascii="宋体" w:hAnsi="宋体" w:cs="宋体"/>
          <w:kern w:val="0"/>
          <w:sz w:val="24"/>
          <w:highlight w:val="none"/>
        </w:rPr>
        <w:t>24.11 磋商小组通过上述评审，确定通过初步评审的合格响应人名单，只有通过初步评审的响应人，才有资格参与进一步的磋商和谈判且具有再次报价的机会。</w:t>
      </w:r>
    </w:p>
    <w:p>
      <w:pPr>
        <w:spacing w:line="560" w:lineRule="exact"/>
        <w:ind w:firstLine="600" w:firstLineChars="250"/>
        <w:rPr>
          <w:rFonts w:ascii="宋体" w:hAnsi="宋体" w:cs="宋体"/>
          <w:kern w:val="0"/>
          <w:sz w:val="24"/>
          <w:highlight w:val="none"/>
        </w:rPr>
      </w:pPr>
      <w:r>
        <w:rPr>
          <w:rFonts w:hint="eastAsia" w:ascii="宋体" w:hAnsi="宋体" w:cs="宋体"/>
          <w:kern w:val="0"/>
          <w:sz w:val="24"/>
          <w:highlight w:val="none"/>
        </w:rPr>
        <w:t>经初步评审后，合格响应人不足3家的，不继续评审。</w:t>
      </w:r>
      <w:r>
        <w:rPr>
          <w:rFonts w:hint="eastAsia" w:ascii="宋体" w:hAnsi="宋体"/>
          <w:sz w:val="24"/>
          <w:highlight w:val="none"/>
        </w:rPr>
        <w:t>但符合</w:t>
      </w:r>
      <w:r>
        <w:rPr>
          <w:rFonts w:ascii="宋体" w:hAnsi="宋体"/>
          <w:kern w:val="0"/>
          <w:sz w:val="24"/>
          <w:highlight w:val="none"/>
        </w:rPr>
        <w:t>政府采购竞争性磋商采购方式管理暂行办法</w:t>
      </w:r>
      <w:r>
        <w:rPr>
          <w:rFonts w:hint="eastAsia" w:ascii="宋体" w:hAnsi="宋体"/>
          <w:sz w:val="24"/>
          <w:highlight w:val="none"/>
        </w:rPr>
        <w:t>第三十四条、《财政部关于政府采购竞争性磋商采购方式管理暂行办法有关问题的补充通知》除外。</w:t>
      </w:r>
    </w:p>
    <w:p>
      <w:pPr>
        <w:pStyle w:val="6"/>
        <w:spacing w:before="0" w:after="0" w:line="500" w:lineRule="exact"/>
        <w:ind w:firstLine="504" w:firstLineChars="209"/>
        <w:rPr>
          <w:rFonts w:ascii="宋体" w:hAnsi="宋体"/>
          <w:sz w:val="24"/>
          <w:szCs w:val="24"/>
          <w:highlight w:val="none"/>
        </w:rPr>
      </w:pPr>
      <w:r>
        <w:rPr>
          <w:rFonts w:hint="eastAsia" w:ascii="宋体" w:hAnsi="宋体"/>
          <w:sz w:val="24"/>
          <w:szCs w:val="24"/>
          <w:highlight w:val="none"/>
        </w:rPr>
        <w:t>25.磋商</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25.1  磋商小组所有成员集中与通过初步评审的各单一响应人分别进行磋商，并给予所有合格响应人平等的磋商机会。</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25.2在磋商过程中，磋商小组可以根据磋商文件和磋商情况实质性变动采购需求中的技术、服务要求以及合同草案条款，但不得变动磋商文件中的其他内容。实质性变动的内容，须经采购人代表确认。</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25.3对磋商文件作出的实质性变动是磋商文件的有效组成部分，磋商小组应当及时以书面形式同时通知所有参加磋商的响应人。</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25.4响应人应当按照磋商文件的变动情况和磋商小组的要求重新提交响应文件，并由其法定代表人或授权代表签字。</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25.5 竞争性磋商项目有再次报价的机会。本磋商文件能够详细列明采购标的的技术、服务要求的，磋商结束后，磋商小组应当要求所有实质性响应的响应人在规定时间内提交最终报价；</w:t>
      </w:r>
      <w:r>
        <w:rPr>
          <w:rFonts w:ascii="宋体" w:hAnsi="宋体" w:cs="宋体"/>
          <w:sz w:val="24"/>
          <w:highlight w:val="none"/>
        </w:rPr>
        <w:t>磋商文件不能详细列明采购标的的技术、服务要求，需经磋商由</w:t>
      </w:r>
      <w:r>
        <w:rPr>
          <w:rFonts w:hint="eastAsia" w:ascii="宋体" w:hAnsi="宋体" w:cs="宋体"/>
          <w:sz w:val="24"/>
          <w:highlight w:val="none"/>
        </w:rPr>
        <w:t>响应人</w:t>
      </w:r>
      <w:r>
        <w:rPr>
          <w:rFonts w:ascii="宋体" w:hAnsi="宋体" w:cs="宋体"/>
          <w:sz w:val="24"/>
          <w:highlight w:val="none"/>
        </w:rPr>
        <w:t>提供最终设计方案或解决方案的，磋商结束后，磋商小组应当按照少数服从多数的原则投票推荐3家以上</w:t>
      </w:r>
      <w:r>
        <w:rPr>
          <w:rFonts w:hint="eastAsia" w:ascii="宋体" w:hAnsi="宋体" w:cs="宋体"/>
          <w:sz w:val="24"/>
          <w:highlight w:val="none"/>
        </w:rPr>
        <w:t>响应人</w:t>
      </w:r>
      <w:r>
        <w:rPr>
          <w:rFonts w:ascii="宋体" w:hAnsi="宋体" w:cs="宋体"/>
          <w:sz w:val="24"/>
          <w:highlight w:val="none"/>
        </w:rPr>
        <w:t>的设计方案或者解决方案，并要求其在规定时间内提交</w:t>
      </w:r>
      <w:r>
        <w:rPr>
          <w:rFonts w:hint="eastAsia" w:ascii="宋体" w:hAnsi="宋体" w:cs="宋体"/>
          <w:sz w:val="24"/>
          <w:highlight w:val="none"/>
        </w:rPr>
        <w:t>最终报价</w:t>
      </w:r>
      <w:r>
        <w:rPr>
          <w:rFonts w:ascii="宋体" w:hAnsi="宋体" w:cs="宋体"/>
          <w:sz w:val="24"/>
          <w:highlight w:val="none"/>
        </w:rPr>
        <w:t>。</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25.6 最终报价</w:t>
      </w:r>
      <w:r>
        <w:rPr>
          <w:rFonts w:ascii="宋体" w:hAnsi="宋体" w:cs="宋体"/>
          <w:sz w:val="24"/>
          <w:highlight w:val="none"/>
        </w:rPr>
        <w:t>是</w:t>
      </w:r>
      <w:r>
        <w:rPr>
          <w:rFonts w:hint="eastAsia" w:ascii="宋体" w:hAnsi="宋体" w:cs="宋体"/>
          <w:sz w:val="24"/>
          <w:highlight w:val="none"/>
        </w:rPr>
        <w:t>响应人</w:t>
      </w:r>
      <w:r>
        <w:rPr>
          <w:rFonts w:ascii="宋体" w:hAnsi="宋体" w:cs="宋体"/>
          <w:sz w:val="24"/>
          <w:highlight w:val="none"/>
        </w:rPr>
        <w:t>响应文件的有效组成部分</w:t>
      </w:r>
      <w:r>
        <w:rPr>
          <w:rFonts w:hint="eastAsia" w:ascii="宋体" w:hAnsi="宋体" w:cs="宋体"/>
          <w:sz w:val="24"/>
          <w:highlight w:val="none"/>
        </w:rPr>
        <w:t>，最终报价应由响应人法定代表人或其授权代表签字确认</w:t>
      </w:r>
      <w:r>
        <w:rPr>
          <w:rFonts w:ascii="宋体" w:hAnsi="宋体" w:cs="宋体"/>
          <w:sz w:val="24"/>
          <w:highlight w:val="none"/>
        </w:rPr>
        <w:t>。</w:t>
      </w:r>
    </w:p>
    <w:p>
      <w:pPr>
        <w:pStyle w:val="31"/>
        <w:spacing w:after="0" w:line="560" w:lineRule="exact"/>
        <w:ind w:firstLine="600" w:firstLineChars="250"/>
        <w:rPr>
          <w:rFonts w:ascii="宋体" w:hAnsi="宋体" w:cs="宋体"/>
          <w:sz w:val="24"/>
          <w:highlight w:val="none"/>
        </w:rPr>
      </w:pPr>
      <w:r>
        <w:rPr>
          <w:rFonts w:ascii="宋体" w:hAnsi="宋体" w:cs="宋体"/>
          <w:sz w:val="24"/>
          <w:highlight w:val="none"/>
        </w:rPr>
        <w:t>2</w:t>
      </w:r>
      <w:r>
        <w:rPr>
          <w:rFonts w:hint="eastAsia" w:ascii="宋体" w:hAnsi="宋体" w:cs="宋体"/>
          <w:sz w:val="24"/>
          <w:highlight w:val="none"/>
        </w:rPr>
        <w:t>5</w:t>
      </w:r>
      <w:r>
        <w:rPr>
          <w:rFonts w:ascii="宋体" w:hAnsi="宋体" w:cs="宋体"/>
          <w:sz w:val="24"/>
          <w:highlight w:val="none"/>
        </w:rPr>
        <w:t>.</w:t>
      </w:r>
      <w:r>
        <w:rPr>
          <w:rFonts w:hint="eastAsia" w:ascii="宋体" w:hAnsi="宋体" w:cs="宋体"/>
          <w:sz w:val="24"/>
          <w:highlight w:val="none"/>
        </w:rPr>
        <w:t>7已提交响应文件的响应人，在提交最终报价之前，可以根据磋商情况退出磋商。退出磋商应以书面方式提交，并由响应人的法定代表人或其授权代表签字确认。退出磋商的响应人的磋商保证金予以退还。</w:t>
      </w:r>
    </w:p>
    <w:p>
      <w:pPr>
        <w:pStyle w:val="6"/>
        <w:spacing w:before="0" w:after="0" w:line="500" w:lineRule="exact"/>
        <w:ind w:firstLine="504" w:firstLineChars="209"/>
        <w:rPr>
          <w:rFonts w:ascii="宋体" w:hAnsi="宋体"/>
          <w:sz w:val="24"/>
          <w:szCs w:val="24"/>
          <w:highlight w:val="none"/>
        </w:rPr>
      </w:pPr>
      <w:r>
        <w:rPr>
          <w:rFonts w:hint="eastAsia" w:ascii="宋体" w:hAnsi="宋体"/>
          <w:sz w:val="24"/>
          <w:szCs w:val="24"/>
          <w:highlight w:val="none"/>
        </w:rPr>
        <w:t>26.  综合评审</w:t>
      </w:r>
    </w:p>
    <w:p>
      <w:pPr>
        <w:pStyle w:val="31"/>
        <w:spacing w:line="560" w:lineRule="exact"/>
        <w:ind w:firstLine="600" w:firstLineChars="250"/>
        <w:rPr>
          <w:rFonts w:ascii="宋体" w:hAnsi="宋体"/>
          <w:sz w:val="24"/>
          <w:highlight w:val="none"/>
        </w:rPr>
      </w:pPr>
      <w:r>
        <w:rPr>
          <w:rFonts w:hint="eastAsia" w:ascii="宋体" w:hAnsi="宋体"/>
          <w:sz w:val="24"/>
          <w:highlight w:val="none"/>
        </w:rPr>
        <w:t>26.</w:t>
      </w:r>
      <w:r>
        <w:rPr>
          <w:rFonts w:ascii="宋体" w:hAnsi="宋体"/>
          <w:sz w:val="24"/>
          <w:highlight w:val="none"/>
        </w:rPr>
        <w:t>1</w:t>
      </w:r>
      <w:r>
        <w:rPr>
          <w:rFonts w:hint="eastAsia" w:ascii="宋体" w:hAnsi="宋体"/>
          <w:sz w:val="24"/>
          <w:highlight w:val="none"/>
        </w:rPr>
        <w:t xml:space="preserve"> 在最终报价提交后，磋商小组将对已提交最终报价的响应文件进行详细评审。磋商小组按本竞争性磋商采购文件第三章“评分办法”中的评分细则，对各响应文件进行评审打分，提出评审报告，按评审最后得分由高到低推荐成交候选响应人。</w:t>
      </w:r>
    </w:p>
    <w:p>
      <w:pPr>
        <w:pStyle w:val="6"/>
        <w:spacing w:before="0" w:after="0" w:line="500" w:lineRule="exact"/>
        <w:ind w:firstLine="504" w:firstLineChars="209"/>
        <w:rPr>
          <w:rFonts w:ascii="宋体" w:hAnsi="宋体"/>
          <w:sz w:val="24"/>
          <w:szCs w:val="24"/>
          <w:highlight w:val="none"/>
        </w:rPr>
      </w:pPr>
      <w:r>
        <w:rPr>
          <w:rFonts w:hint="eastAsia" w:ascii="宋体" w:hAnsi="宋体"/>
          <w:sz w:val="24"/>
          <w:szCs w:val="24"/>
          <w:highlight w:val="none"/>
        </w:rPr>
        <w:t>27.  报价不一致时的修正和处理</w:t>
      </w:r>
    </w:p>
    <w:p>
      <w:pPr>
        <w:pStyle w:val="31"/>
        <w:spacing w:after="0" w:line="560" w:lineRule="exact"/>
        <w:ind w:firstLine="602" w:firstLineChars="250"/>
        <w:rPr>
          <w:rFonts w:ascii="宋体" w:hAnsi="宋体"/>
          <w:b/>
          <w:sz w:val="24"/>
          <w:highlight w:val="none"/>
        </w:rPr>
      </w:pPr>
      <w:r>
        <w:rPr>
          <w:rFonts w:hint="eastAsia" w:ascii="宋体" w:hAnsi="宋体"/>
          <w:b/>
          <w:sz w:val="24"/>
          <w:highlight w:val="none"/>
        </w:rPr>
        <w:t xml:space="preserve">响应文件报价出现前后不一致的，按照下列规定修正： </w:t>
      </w:r>
    </w:p>
    <w:p>
      <w:pPr>
        <w:pStyle w:val="31"/>
        <w:spacing w:after="0" w:line="560" w:lineRule="exact"/>
        <w:ind w:firstLine="602" w:firstLineChars="250"/>
        <w:rPr>
          <w:rFonts w:ascii="宋体" w:hAnsi="宋体"/>
          <w:b/>
          <w:sz w:val="24"/>
          <w:highlight w:val="none"/>
        </w:rPr>
      </w:pPr>
      <w:r>
        <w:rPr>
          <w:rFonts w:hint="eastAsia" w:ascii="宋体" w:hAnsi="宋体"/>
          <w:b/>
          <w:sz w:val="24"/>
          <w:highlight w:val="none"/>
        </w:rPr>
        <w:t>（1）响应文件中首轮报价一览表（报价表）内容与响应文件中相应内容不一致的，以首轮报价一览表（报价表）为准；</w:t>
      </w:r>
    </w:p>
    <w:p>
      <w:pPr>
        <w:pStyle w:val="31"/>
        <w:spacing w:after="0" w:line="560" w:lineRule="exact"/>
        <w:ind w:firstLine="602" w:firstLineChars="250"/>
        <w:rPr>
          <w:rFonts w:ascii="宋体" w:hAnsi="宋体"/>
          <w:b/>
          <w:sz w:val="24"/>
          <w:highlight w:val="none"/>
        </w:rPr>
      </w:pPr>
      <w:r>
        <w:rPr>
          <w:rFonts w:hint="eastAsia" w:ascii="宋体" w:hAnsi="宋体"/>
          <w:b/>
          <w:sz w:val="24"/>
          <w:highlight w:val="none"/>
        </w:rPr>
        <w:t>（2）大写金额和小写金额不一致的，以大写金额为准；</w:t>
      </w:r>
    </w:p>
    <w:p>
      <w:pPr>
        <w:pStyle w:val="31"/>
        <w:spacing w:after="0" w:line="560" w:lineRule="exact"/>
        <w:ind w:firstLine="602" w:firstLineChars="250"/>
        <w:rPr>
          <w:rFonts w:ascii="宋体" w:hAnsi="宋体"/>
          <w:b/>
          <w:sz w:val="24"/>
          <w:highlight w:val="none"/>
        </w:rPr>
      </w:pPr>
      <w:r>
        <w:rPr>
          <w:rFonts w:hint="eastAsia" w:ascii="宋体" w:hAnsi="宋体"/>
          <w:b/>
          <w:sz w:val="24"/>
          <w:highlight w:val="none"/>
        </w:rPr>
        <w:t>（3）单价金额小数点或者百分比有明显错位的，以首轮报价一览表的总价为准，并修改单价；</w:t>
      </w:r>
    </w:p>
    <w:p>
      <w:pPr>
        <w:pStyle w:val="31"/>
        <w:spacing w:after="0" w:line="560" w:lineRule="exact"/>
        <w:ind w:firstLine="602" w:firstLineChars="250"/>
        <w:rPr>
          <w:rFonts w:ascii="宋体" w:hAnsi="宋体"/>
          <w:b/>
          <w:sz w:val="24"/>
          <w:highlight w:val="none"/>
        </w:rPr>
      </w:pPr>
      <w:r>
        <w:rPr>
          <w:rFonts w:hint="eastAsia" w:ascii="宋体" w:hAnsi="宋体"/>
          <w:b/>
          <w:sz w:val="24"/>
          <w:highlight w:val="none"/>
        </w:rPr>
        <w:t xml:space="preserve">（4）总价金额与按单价汇总金额不一致的，以单价金额计算结果为准。 </w:t>
      </w:r>
    </w:p>
    <w:p>
      <w:pPr>
        <w:pStyle w:val="31"/>
        <w:spacing w:after="0" w:line="560" w:lineRule="exact"/>
        <w:ind w:firstLine="602" w:firstLineChars="250"/>
        <w:rPr>
          <w:rFonts w:ascii="宋体" w:hAnsi="宋体"/>
          <w:b/>
          <w:sz w:val="24"/>
          <w:highlight w:val="none"/>
        </w:rPr>
      </w:pPr>
      <w:r>
        <w:rPr>
          <w:rFonts w:hint="eastAsia" w:ascii="宋体" w:hAnsi="宋体"/>
          <w:b/>
          <w:sz w:val="24"/>
          <w:highlight w:val="none"/>
        </w:rPr>
        <w:t>★（5）同时出现两种以上不一致的，按照前款规定的顺序修正。修正后的报价经响应人确认后产生约束力，响应人不确认的，其报价无效。</w:t>
      </w:r>
    </w:p>
    <w:p>
      <w:pPr>
        <w:pStyle w:val="6"/>
        <w:spacing w:before="0" w:after="0" w:line="360" w:lineRule="auto"/>
        <w:ind w:firstLine="504" w:firstLineChars="209"/>
        <w:rPr>
          <w:rFonts w:ascii="宋体" w:hAnsi="宋体"/>
          <w:sz w:val="24"/>
          <w:szCs w:val="24"/>
          <w:highlight w:val="none"/>
        </w:rPr>
      </w:pPr>
      <w:r>
        <w:rPr>
          <w:rFonts w:hint="eastAsia" w:ascii="宋体" w:hAnsi="宋体"/>
          <w:sz w:val="24"/>
          <w:szCs w:val="24"/>
          <w:highlight w:val="none"/>
        </w:rPr>
        <w:t>28.  响应文件的澄清</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28.1为有助于对响应文件进行审查、评估和比较，磋商小组有权向响应人询问。响应人有义务以书面形式对其响应文件中含义不明确、同类问题表述不一致或有明显文字和计算错误的内容进行澄清和说明，但澄清和说明的内容不得超出响应文件的范围或改变响应文件的实质性内容。响应人澄清和说明的内容构成响应文件的组成部分；拒不进行澄清、说明或补正的，磋商小组可以视为响应人未实质性响应报价。</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28.2磋商小组不接受响应人主动提出的澄清，采购人也不接受响应人主动承诺给予采购人赠品、回扣或者与采购无关的其他商品、服务。</w:t>
      </w:r>
    </w:p>
    <w:p>
      <w:pPr>
        <w:pStyle w:val="6"/>
        <w:spacing w:before="0" w:after="0" w:line="360" w:lineRule="auto"/>
        <w:ind w:firstLine="504" w:firstLineChars="209"/>
        <w:rPr>
          <w:rFonts w:ascii="宋体" w:hAnsi="宋体"/>
          <w:sz w:val="24"/>
          <w:szCs w:val="24"/>
          <w:highlight w:val="none"/>
        </w:rPr>
      </w:pPr>
      <w:r>
        <w:rPr>
          <w:rFonts w:hint="eastAsia" w:ascii="宋体" w:hAnsi="宋体"/>
          <w:sz w:val="24"/>
          <w:szCs w:val="24"/>
          <w:highlight w:val="none"/>
        </w:rPr>
        <w:t>29</w:t>
      </w:r>
      <w:r>
        <w:rPr>
          <w:rFonts w:ascii="宋体" w:hAnsi="宋体"/>
          <w:sz w:val="24"/>
          <w:szCs w:val="24"/>
          <w:highlight w:val="none"/>
        </w:rPr>
        <w:t>.</w:t>
      </w:r>
      <w:r>
        <w:rPr>
          <w:rFonts w:hint="eastAsia" w:ascii="宋体" w:hAnsi="宋体"/>
          <w:sz w:val="24"/>
          <w:szCs w:val="24"/>
          <w:highlight w:val="none"/>
        </w:rPr>
        <w:t>政府采购优惠政策</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29.1 中小企业优惠办法</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29.1.1具体扣除比例见竞争性磋商文件评审办法。</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29.1.2按照《关于印发中小企业划型标准规定的通知》（工信部联企业〔2011〕300号）规定，上述小微企业应为依据中小企业划分标准确定的小型企业和微型企业，但与大企业的负责人为同一人，或者与大企业存在直接控股、管理关系的除外。</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29.1.3响应人提供的货物、工程或者服务符合下列情形，享受上述小微企业价格扣除的优惠政策：</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（一）在货物采购项目中，货物由小微企业制造，即货物由小微企业生产且使用该小微企业商号或者注册商标；</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（二）在工程采购项目中，工程由小微企业承建，即工程施工单位为小微企业；</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（三）在服务项目中，服务由小微企业承接，即提供服务的人员为小微企业依照《中华人民共和国劳动合同法》订立劳动合同的从业人员。</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29.1.4依据《财政部工业和信息化部关于印发&lt;政府采购促进中小企业发展管理办法&gt;的通知》(财库〔2020〕46号)规定，中型、小型和微型企业磋商的须提供《中小企业声明函》（格式见附件）并对声明函的真实性负责；如果联合体各方均为小型、微型企业的，联合体视同为小型、微型企业，但联合体各方均应按竞争性磋商文件要求提供《中小企业声明函》。</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29.1.5在货物采购项目中，响应人提供的货物既有小微企业制造货物，也有大中型企业制造的，不享受本办法规定的小微企业价格优惠政策。</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29.1.6以联合体形式参加政府采购活动，联合体各方均为中小企业的，联合体视同中小企业。其中，联合体各方均为小微企业的，联合体视同小微企业。组成联合体或者接受分包的小微企业与联合体内其他企业、分包企业之间存在直接控股、管理关系的，不享受价格扣除优惠政策。</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29.1.7中标、成交人享受本办法规定的中小企业扶持政策的，采购人、采购代理机构应当随中标、成交结果公开中标、成交人的《中小企业声明函》。响应人提供声明函内容不实的，属于提供虚假材料谋取中标、成交，依照《中华人民共和国政府采购法》等国家有关规定追究相应责任。</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29.2 政府采购支持监狱企业发展的政策</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1）根据《财政部司法部&lt;关于政府采购支持监狱企业发展有关问题的通知》（财库〔2014〕68号）文件规定，对监狱企业生产的产品价格或提供服务的价格给予6%的价格扣除，用扣除后的价格参与评审；监狱企业属于小型、微型企业的，不重复享受政策。</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2）参加政府采购活动的监狱企业应当在响应文件中提供监狱企业证明复印件，否则不予认定。监狱企业证明须由省级或以上监狱管理局、戒毒管理局（含新疆生产建设兵团）出具。</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29.3 促进残疾人就业政府采购政策</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1）依据《三部门联合发布关于促进残疾人就业政府采购政策的通知》(财库〔2017〕141号)文件规定，残疾人福利性单位视同小型、微型企业，对残疾人福利性单位的报价给予6%-10%的扣除，用扣除后的评审价格参与价格得分的计算及评审，具体扣除比例见磋商文件评审办法；残疾人福利性单位属于小型、微型企业的，不重复享受政策。</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2) 残疾人福利性单位评审价格的计算：残疾人福利性单位的评审价格=磋商报价×（1—扣除比例）；响应人属于享受政府采购支持政策的“残疾人福利性单位”的，需提供《残疾人福利性单位声明函》，并对声明的真实性负责。成交人为残疾人福利性单位的，采购代理机构将随成交结果同时公告其《残疾人福利性单位声明函》。</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3）享受政府采购支持政策的残疾人福利性单位应当同时满足以下条件：</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sym w:font="Wingdings" w:char="F081"/>
      </w:r>
      <w:r>
        <w:rPr>
          <w:rFonts w:hint="eastAsia" w:ascii="宋体" w:hAnsi="宋体" w:cs="宋体"/>
          <w:sz w:val="24"/>
          <w:highlight w:val="none"/>
        </w:rPr>
        <w:t>安置的残疾人占本单位在职职工人数的比例不低于25%（含25%），并且安置的残疾人人数不少于10人（含10人）；</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sym w:font="Wingdings" w:char="F082"/>
      </w:r>
      <w:r>
        <w:rPr>
          <w:rFonts w:hint="eastAsia" w:ascii="宋体" w:hAnsi="宋体" w:cs="宋体"/>
          <w:sz w:val="24"/>
          <w:highlight w:val="none"/>
        </w:rPr>
        <w:t>依法与安置的每位残疾人签订了一年以上（含一年）的劳动合同或服务协议；</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sym w:font="Wingdings" w:char="F083"/>
      </w:r>
      <w:r>
        <w:rPr>
          <w:rFonts w:hint="eastAsia" w:ascii="宋体" w:hAnsi="宋体" w:cs="宋体"/>
          <w:sz w:val="24"/>
          <w:highlight w:val="none"/>
        </w:rPr>
        <w:t>为安置的每位残疾人按月足额缴纳了基本养老保险、基本医疗保险、失业保险、工伤保险和生育保险等社会保险费；</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④通过银行等金融机构向安置的每位残疾人，按月支付了不低于单位所在区县适用的经省级人民政府批准的月最低工资标准的工资；</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⑤提供本单位制造的货物、承担的工程或者服务（以下简称产品），或者提供其他残疾人福利性单位制造的货物（不包括使用非残疾人福利性单位注册商标的货物）。</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4）符合条件的残疾人福利性单位在参加政府采购活动时，应当提供《残疾人福利性单位声明函》（见附件），并对声明的真实性负责。</w:t>
      </w:r>
    </w:p>
    <w:p>
      <w:pPr>
        <w:pStyle w:val="31"/>
        <w:spacing w:line="560" w:lineRule="exact"/>
        <w:ind w:firstLine="571" w:firstLineChars="238"/>
        <w:rPr>
          <w:rFonts w:ascii="宋体" w:hAnsi="宋体" w:cs="宋体"/>
          <w:sz w:val="24"/>
          <w:highlight w:val="none"/>
        </w:rPr>
      </w:pPr>
      <w:r>
        <w:rPr>
          <w:rFonts w:hint="eastAsia" w:ascii="宋体" w:hAnsi="宋体" w:cs="宋体"/>
          <w:sz w:val="24"/>
          <w:highlight w:val="none"/>
        </w:rPr>
        <w:t>5）中标、成交人为残疾人福利性单位的，采购代理机构应当随中标、成交结果同时公告其《残疾人福利性单位声明函》，接受社会监督。</w:t>
      </w:r>
    </w:p>
    <w:p>
      <w:pPr>
        <w:pStyle w:val="31"/>
        <w:spacing w:line="560" w:lineRule="exact"/>
        <w:ind w:firstLine="571" w:firstLineChars="238"/>
        <w:rPr>
          <w:rFonts w:ascii="宋体" w:hAnsi="宋体" w:cs="宋体"/>
          <w:sz w:val="24"/>
          <w:highlight w:val="none"/>
        </w:rPr>
      </w:pPr>
      <w:r>
        <w:rPr>
          <w:rFonts w:hint="eastAsia" w:ascii="宋体" w:hAnsi="宋体" w:cs="宋体"/>
          <w:sz w:val="24"/>
          <w:highlight w:val="none"/>
        </w:rPr>
        <w:t>6）响应人提供的《残疾人福利性单位声明函》与事实不符的，依照《政府采购法》第七十七条第一款的规定追究法律责任。</w:t>
      </w:r>
    </w:p>
    <w:p>
      <w:pPr>
        <w:pStyle w:val="31"/>
        <w:spacing w:after="0" w:line="560" w:lineRule="exact"/>
        <w:ind w:firstLine="571" w:firstLineChars="238"/>
        <w:rPr>
          <w:rFonts w:ascii="宋体" w:hAnsi="宋体" w:cs="宋体"/>
          <w:sz w:val="24"/>
          <w:highlight w:val="none"/>
        </w:rPr>
      </w:pPr>
      <w:r>
        <w:rPr>
          <w:rFonts w:ascii="宋体" w:hAnsi="宋体" w:cs="宋体"/>
          <w:sz w:val="24"/>
          <w:highlight w:val="none"/>
        </w:rPr>
        <w:t>2</w:t>
      </w:r>
      <w:r>
        <w:rPr>
          <w:rFonts w:hint="eastAsia" w:ascii="宋体" w:hAnsi="宋体" w:cs="宋体"/>
          <w:sz w:val="24"/>
          <w:highlight w:val="none"/>
        </w:rPr>
        <w:t>9</w:t>
      </w:r>
      <w:r>
        <w:rPr>
          <w:rFonts w:ascii="宋体" w:hAnsi="宋体" w:cs="宋体"/>
          <w:sz w:val="24"/>
          <w:highlight w:val="none"/>
        </w:rPr>
        <w:t>.4</w:t>
      </w:r>
      <w:r>
        <w:rPr>
          <w:rFonts w:hint="eastAsia" w:ascii="宋体" w:hAnsi="宋体" w:cs="宋体"/>
          <w:sz w:val="24"/>
          <w:highlight w:val="none"/>
        </w:rPr>
        <w:t xml:space="preserve"> 执行政府采购政策对报价进行扣除后的评审价格仅用于评审过程的报价得分计算或评审价格的比较，不作为最终的成交价格。</w:t>
      </w:r>
    </w:p>
    <w:p>
      <w:pPr>
        <w:pStyle w:val="6"/>
        <w:spacing w:before="0" w:after="0" w:line="500" w:lineRule="exact"/>
        <w:ind w:firstLine="504" w:firstLineChars="209"/>
        <w:rPr>
          <w:rFonts w:ascii="宋体" w:hAnsi="宋体"/>
          <w:sz w:val="24"/>
          <w:szCs w:val="24"/>
          <w:highlight w:val="none"/>
        </w:rPr>
      </w:pPr>
      <w:r>
        <w:rPr>
          <w:rFonts w:hint="eastAsia" w:ascii="宋体" w:hAnsi="宋体"/>
          <w:sz w:val="24"/>
          <w:szCs w:val="24"/>
          <w:highlight w:val="none"/>
        </w:rPr>
        <w:t>30.  采购项目终止的情形</w:t>
      </w:r>
    </w:p>
    <w:p>
      <w:pPr>
        <w:pStyle w:val="31"/>
        <w:spacing w:after="0" w:line="560" w:lineRule="exact"/>
        <w:ind w:firstLine="602" w:firstLineChars="250"/>
        <w:rPr>
          <w:rFonts w:ascii="宋体" w:hAnsi="宋体"/>
          <w:b/>
          <w:sz w:val="24"/>
          <w:highlight w:val="none"/>
        </w:rPr>
      </w:pPr>
      <w:r>
        <w:rPr>
          <w:rFonts w:hint="eastAsia" w:ascii="宋体" w:hAnsi="宋体"/>
          <w:b/>
          <w:sz w:val="24"/>
          <w:highlight w:val="none"/>
        </w:rPr>
        <w:t>有下列情形之一，本项目将予以终止：</w:t>
      </w:r>
    </w:p>
    <w:p>
      <w:pPr>
        <w:pStyle w:val="31"/>
        <w:spacing w:after="0" w:line="560" w:lineRule="exact"/>
        <w:ind w:firstLine="600" w:firstLineChars="250"/>
        <w:rPr>
          <w:rFonts w:ascii="宋体" w:hAnsi="宋体"/>
          <w:sz w:val="24"/>
          <w:highlight w:val="none"/>
        </w:rPr>
      </w:pPr>
      <w:r>
        <w:rPr>
          <w:rFonts w:hint="eastAsia" w:ascii="宋体" w:hAnsi="宋体"/>
          <w:sz w:val="24"/>
          <w:highlight w:val="none"/>
        </w:rPr>
        <w:t>1）至递交响应文件截止时间止，递交响应文件的响应人不足3家的；</w:t>
      </w:r>
    </w:p>
    <w:p>
      <w:pPr>
        <w:pStyle w:val="31"/>
        <w:spacing w:after="0" w:line="560" w:lineRule="exact"/>
        <w:ind w:firstLine="600" w:firstLineChars="250"/>
        <w:rPr>
          <w:rFonts w:ascii="宋体" w:hAnsi="宋体"/>
          <w:sz w:val="24"/>
          <w:highlight w:val="none"/>
        </w:rPr>
      </w:pPr>
      <w:r>
        <w:rPr>
          <w:rFonts w:hint="eastAsia" w:ascii="宋体" w:hAnsi="宋体"/>
          <w:sz w:val="24"/>
          <w:highlight w:val="none"/>
        </w:rPr>
        <w:t>2）经评审，对采购文件作出实质性响应的响应人不足3家的，或者提交最终报价的响应人不足3家的；但符合《政府采购竞争性磋商采购方式管理暂行办法》第三十四条、《财政部关于政府采购竞争性磋商采购方式管理暂行办法有关问题的补充通知》除外；</w:t>
      </w:r>
    </w:p>
    <w:p>
      <w:pPr>
        <w:pStyle w:val="31"/>
        <w:spacing w:after="0" w:line="560" w:lineRule="exact"/>
        <w:ind w:firstLine="600" w:firstLineChars="250"/>
        <w:rPr>
          <w:rFonts w:ascii="宋体" w:hAnsi="宋体"/>
          <w:sz w:val="24"/>
          <w:highlight w:val="none"/>
        </w:rPr>
      </w:pPr>
      <w:r>
        <w:rPr>
          <w:rFonts w:hint="eastAsia" w:ascii="宋体" w:hAnsi="宋体"/>
          <w:sz w:val="24"/>
          <w:highlight w:val="none"/>
        </w:rPr>
        <w:t>3）出现影响采购公正的违法违规行为的；</w:t>
      </w:r>
    </w:p>
    <w:p>
      <w:pPr>
        <w:pStyle w:val="31"/>
        <w:spacing w:after="0" w:line="560" w:lineRule="exact"/>
        <w:ind w:firstLine="600" w:firstLineChars="250"/>
        <w:rPr>
          <w:rFonts w:ascii="宋体" w:hAnsi="宋体"/>
          <w:sz w:val="24"/>
          <w:highlight w:val="none"/>
        </w:rPr>
      </w:pPr>
      <w:r>
        <w:rPr>
          <w:rFonts w:hint="eastAsia" w:ascii="宋体" w:hAnsi="宋体"/>
          <w:sz w:val="24"/>
          <w:highlight w:val="none"/>
        </w:rPr>
        <w:t>4）因情况变化，不再符合规定的竞争性磋商采购方式适用情形的；</w:t>
      </w:r>
    </w:p>
    <w:p>
      <w:pPr>
        <w:pStyle w:val="31"/>
        <w:spacing w:after="0" w:line="560" w:lineRule="exact"/>
        <w:ind w:firstLine="600" w:firstLineChars="250"/>
        <w:rPr>
          <w:rFonts w:ascii="宋体" w:hAnsi="宋体"/>
          <w:sz w:val="24"/>
          <w:highlight w:val="none"/>
        </w:rPr>
      </w:pPr>
      <w:r>
        <w:rPr>
          <w:rFonts w:hint="eastAsia" w:ascii="宋体" w:hAnsi="宋体"/>
          <w:sz w:val="24"/>
          <w:highlight w:val="none"/>
        </w:rPr>
        <w:t>5）法律、法规及采购文件规定的其他情况。</w:t>
      </w:r>
    </w:p>
    <w:p>
      <w:pPr>
        <w:pStyle w:val="6"/>
        <w:spacing w:before="0" w:after="0" w:line="500" w:lineRule="exact"/>
        <w:ind w:firstLine="504" w:firstLineChars="209"/>
        <w:rPr>
          <w:rFonts w:ascii="宋体" w:hAnsi="宋体"/>
          <w:sz w:val="24"/>
          <w:szCs w:val="24"/>
          <w:highlight w:val="none"/>
        </w:rPr>
      </w:pPr>
      <w:r>
        <w:rPr>
          <w:rFonts w:hint="eastAsia" w:ascii="宋体" w:hAnsi="宋体"/>
          <w:sz w:val="24"/>
          <w:szCs w:val="24"/>
          <w:highlight w:val="none"/>
        </w:rPr>
        <w:t>★31.串通报价</w:t>
      </w:r>
    </w:p>
    <w:p>
      <w:pPr>
        <w:pStyle w:val="31"/>
        <w:spacing w:after="0" w:line="560" w:lineRule="exact"/>
        <w:ind w:firstLine="600" w:firstLineChars="250"/>
        <w:rPr>
          <w:rFonts w:ascii="宋体" w:hAnsi="宋体"/>
          <w:sz w:val="24"/>
          <w:highlight w:val="none"/>
        </w:rPr>
      </w:pPr>
      <w:r>
        <w:rPr>
          <w:rFonts w:hint="eastAsia" w:ascii="宋体" w:hAnsi="宋体"/>
          <w:sz w:val="24"/>
          <w:highlight w:val="none"/>
        </w:rPr>
        <w:t>31.1响应人出现《中华人民共和国政府采购法实施条例》等规定的串通报价或影响政府采购的违法行为，其报价无效，采购人或磋商小组将书面报告本级财政部门，给采购人、采购代理机构造成损失的，采购人、采购代理机构有索赔的权利，响应人应予以赔偿。</w:t>
      </w:r>
    </w:p>
    <w:p>
      <w:pPr>
        <w:pStyle w:val="6"/>
        <w:spacing w:before="0" w:after="0" w:line="500" w:lineRule="exact"/>
        <w:ind w:firstLine="504" w:firstLineChars="209"/>
        <w:rPr>
          <w:rFonts w:ascii="宋体" w:hAnsi="宋体"/>
          <w:sz w:val="24"/>
          <w:szCs w:val="24"/>
          <w:highlight w:val="none"/>
        </w:rPr>
      </w:pPr>
      <w:r>
        <w:rPr>
          <w:rFonts w:hint="eastAsia" w:ascii="宋体" w:hAnsi="宋体"/>
          <w:sz w:val="24"/>
          <w:szCs w:val="24"/>
          <w:highlight w:val="none"/>
        </w:rPr>
        <w:t>32.  成交公告</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32.1 采购人确定成交人后，采购代理机构将在发布竞争性磋商公告的同一媒体发布成交公告。</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32.2 成交公告内容应当包括采购人和采购代理机构的名称、地址、联系方式，项目名称和项目编号，成交人名称、地址和成交金额，主要成交标的的名称、规格型号、数量、单价、服务要求以及评审专家名单。</w:t>
      </w:r>
    </w:p>
    <w:p>
      <w:pPr>
        <w:pStyle w:val="4"/>
        <w:widowControl/>
        <w:spacing w:before="120" w:after="120" w:line="360" w:lineRule="exact"/>
        <w:ind w:firstLine="516" w:firstLineChars="214"/>
        <w:rPr>
          <w:rFonts w:ascii="宋体" w:hAnsi="宋体" w:eastAsia="宋体" w:cs="宋体"/>
          <w:sz w:val="24"/>
          <w:szCs w:val="24"/>
          <w:highlight w:val="none"/>
        </w:rPr>
      </w:pPr>
      <w:bookmarkStart w:id="130" w:name="_Toc20802"/>
      <w:bookmarkStart w:id="131" w:name="_Toc508784352"/>
      <w:bookmarkStart w:id="132" w:name="_Toc510973922"/>
      <w:bookmarkStart w:id="133" w:name="_Toc27305"/>
      <w:bookmarkStart w:id="134" w:name="_Toc60585213"/>
      <w:bookmarkStart w:id="135" w:name="_Toc23255"/>
      <w:bookmarkStart w:id="136" w:name="_Toc19438"/>
      <w:r>
        <w:rPr>
          <w:rFonts w:hint="eastAsia" w:ascii="宋体" w:hAnsi="宋体" w:eastAsia="宋体" w:cs="宋体"/>
          <w:sz w:val="24"/>
          <w:szCs w:val="24"/>
          <w:highlight w:val="none"/>
        </w:rPr>
        <w:t>六、询问和质疑</w:t>
      </w:r>
      <w:bookmarkEnd w:id="130"/>
      <w:bookmarkEnd w:id="131"/>
      <w:bookmarkEnd w:id="132"/>
      <w:bookmarkEnd w:id="133"/>
      <w:bookmarkEnd w:id="134"/>
      <w:bookmarkEnd w:id="135"/>
      <w:bookmarkEnd w:id="136"/>
    </w:p>
    <w:p>
      <w:pPr>
        <w:pStyle w:val="6"/>
        <w:spacing w:before="0" w:after="0" w:line="500" w:lineRule="exact"/>
        <w:ind w:firstLine="504" w:firstLineChars="209"/>
        <w:rPr>
          <w:rFonts w:ascii="宋体" w:hAnsi="宋体"/>
          <w:sz w:val="24"/>
          <w:szCs w:val="24"/>
          <w:highlight w:val="none"/>
        </w:rPr>
      </w:pPr>
      <w:r>
        <w:rPr>
          <w:rFonts w:hint="eastAsia" w:ascii="宋体" w:hAnsi="宋体"/>
          <w:sz w:val="24"/>
          <w:szCs w:val="24"/>
          <w:highlight w:val="none"/>
        </w:rPr>
        <w:t>33. 询问和质疑</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33.1 响应人认为本采购文件的条款，或采购需求中的技术、服务要求，或政府采购合同草案条款内容表述不明确的，可以按本项目竞争性磋商公告中载明的联系人、联系方式以电话或书面（电子邮件等）方式与采购代理机构项目负责人联系。采购人或采购代理机构将在收到询问后3个工作日内做出答复。</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33.2 响应人认为采购文件、采购过程和成交结果使自己的权益受到损害的，可以在知道或者应知其权益受到损害之日起七个工作日内，以书面形式向采购人或采购代理机构提出质疑。响应人应在法定质疑期内一次性提出针对同一采购程序环节的质疑。</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响应人应知其权益受到损害之日，是指：</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（1）对可以质疑的采购文件提出质疑的，为收到采购文件之日或者采购文件公告期限届满之日；</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（2）对采购过程提出质疑的，为各采购程序环节结束之日；</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（3）对成交结果提出质疑的，为成交结果公告期限届满之日。</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33.3 采购人或采购代理机构应当在收到响应人的书面质疑后七个工作日内作出答复，并以书面形式通知质疑响应人和其他有关响应人，但答复的内容不得涉及商业秘密。</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33.4 采购人或采购代理机构接收质疑函的联系人、联系电话和通讯地址等信息详见本采购文件“竞争性磋商公告”中的联系方式相关内容、“响应人须知附表”中载明的采购人、采购代理机构联系方式和联系人。</w:t>
      </w:r>
    </w:p>
    <w:p>
      <w:pPr>
        <w:pStyle w:val="31"/>
        <w:spacing w:after="0" w:line="560" w:lineRule="exact"/>
        <w:ind w:firstLine="600" w:firstLineChars="250"/>
        <w:rPr>
          <w:rFonts w:ascii="宋体" w:hAnsi="宋体" w:cs="宋体"/>
          <w:sz w:val="24"/>
          <w:highlight w:val="none"/>
        </w:rPr>
      </w:pPr>
      <w:r>
        <w:rPr>
          <w:rFonts w:ascii="宋体" w:hAnsi="宋体" w:cs="宋体"/>
          <w:sz w:val="24"/>
          <w:highlight w:val="none"/>
        </w:rPr>
        <w:t>3</w:t>
      </w:r>
      <w:r>
        <w:rPr>
          <w:rFonts w:hint="eastAsia" w:ascii="宋体" w:hAnsi="宋体" w:cs="宋体"/>
          <w:sz w:val="24"/>
          <w:highlight w:val="none"/>
        </w:rPr>
        <w:t>3</w:t>
      </w:r>
      <w:r>
        <w:rPr>
          <w:rFonts w:ascii="宋体" w:hAnsi="宋体" w:cs="宋体"/>
          <w:sz w:val="24"/>
          <w:highlight w:val="none"/>
        </w:rPr>
        <w:t xml:space="preserve">.5 </w:t>
      </w:r>
      <w:r>
        <w:rPr>
          <w:rFonts w:hint="eastAsia" w:ascii="宋体" w:hAnsi="宋体" w:cs="宋体"/>
          <w:sz w:val="24"/>
          <w:highlight w:val="none"/>
        </w:rPr>
        <w:t>依据《政府采购质疑和投诉办法》（财政部令第</w:t>
      </w:r>
      <w:r>
        <w:rPr>
          <w:rFonts w:ascii="宋体" w:hAnsi="宋体" w:cs="宋体"/>
          <w:sz w:val="24"/>
          <w:highlight w:val="none"/>
        </w:rPr>
        <w:t>94号），</w:t>
      </w:r>
      <w:r>
        <w:rPr>
          <w:rFonts w:hint="eastAsia" w:ascii="宋体" w:hAnsi="宋体" w:cs="宋体"/>
          <w:sz w:val="24"/>
          <w:highlight w:val="none"/>
        </w:rPr>
        <w:t>响应人可以委托代理人进行质疑和投诉。其授权委托书应当载明代理人的姓名或者名称、代理事项、具体权限、期限和相关事项。响应人为自然人的，应当由本人签字；响应人为法人或者其他组织的，应当由法定代表人、主要负责人签字或者盖章，并加盖公章。</w:t>
      </w:r>
    </w:p>
    <w:p>
      <w:pPr>
        <w:pStyle w:val="31"/>
        <w:spacing w:after="0" w:line="560" w:lineRule="exact"/>
        <w:ind w:firstLine="480" w:firstLineChars="200"/>
        <w:rPr>
          <w:rFonts w:ascii="宋体" w:hAnsi="宋体" w:cs="宋体"/>
          <w:sz w:val="24"/>
          <w:highlight w:val="none"/>
        </w:rPr>
      </w:pPr>
      <w:r>
        <w:rPr>
          <w:rFonts w:hint="eastAsia" w:ascii="宋体" w:hAnsi="宋体" w:cs="宋体"/>
          <w:sz w:val="24"/>
          <w:highlight w:val="none"/>
        </w:rPr>
        <w:t>代理人提出质疑和投诉，应当提交响应人签署的授权委托书。</w:t>
      </w:r>
    </w:p>
    <w:p>
      <w:pPr>
        <w:pStyle w:val="31"/>
        <w:spacing w:after="0" w:line="560" w:lineRule="exact"/>
        <w:ind w:firstLine="480" w:firstLineChars="200"/>
        <w:rPr>
          <w:rFonts w:ascii="宋体" w:hAnsi="宋体" w:cs="宋体"/>
          <w:sz w:val="24"/>
          <w:highlight w:val="none"/>
        </w:rPr>
      </w:pPr>
      <w:r>
        <w:rPr>
          <w:rFonts w:hint="eastAsia" w:ascii="宋体" w:hAnsi="宋体" w:cs="宋体"/>
          <w:sz w:val="24"/>
          <w:highlight w:val="none"/>
        </w:rPr>
        <w:t>以联合体形式参加政府采购活动的，其投诉应当由组成联合体的所有响应人共同提出。</w:t>
      </w:r>
    </w:p>
    <w:p>
      <w:pPr>
        <w:pStyle w:val="31"/>
        <w:spacing w:after="0" w:line="560" w:lineRule="exact"/>
        <w:ind w:firstLine="600" w:firstLineChars="250"/>
        <w:rPr>
          <w:rFonts w:ascii="宋体" w:hAnsi="宋体" w:cs="宋体"/>
          <w:sz w:val="24"/>
          <w:highlight w:val="none"/>
        </w:rPr>
      </w:pPr>
      <w:r>
        <w:rPr>
          <w:rFonts w:ascii="宋体" w:hAnsi="宋体" w:cs="宋体"/>
          <w:sz w:val="24"/>
          <w:highlight w:val="none"/>
        </w:rPr>
        <w:t>3</w:t>
      </w:r>
      <w:r>
        <w:rPr>
          <w:rFonts w:hint="eastAsia" w:ascii="宋体" w:hAnsi="宋体" w:cs="宋体"/>
          <w:sz w:val="24"/>
          <w:highlight w:val="none"/>
        </w:rPr>
        <w:t>3</w:t>
      </w:r>
      <w:r>
        <w:rPr>
          <w:rFonts w:ascii="宋体" w:hAnsi="宋体" w:cs="宋体"/>
          <w:sz w:val="24"/>
          <w:highlight w:val="none"/>
        </w:rPr>
        <w:t>.6 提出质疑的</w:t>
      </w:r>
      <w:r>
        <w:rPr>
          <w:rFonts w:hint="eastAsia" w:ascii="宋体" w:hAnsi="宋体" w:cs="宋体"/>
          <w:sz w:val="24"/>
          <w:highlight w:val="none"/>
        </w:rPr>
        <w:t>响应人应当是参与所质疑项目采购活动的响应人。</w:t>
      </w:r>
    </w:p>
    <w:p>
      <w:pPr>
        <w:pStyle w:val="31"/>
        <w:spacing w:after="0" w:line="560" w:lineRule="exact"/>
        <w:ind w:firstLine="600" w:firstLineChars="250"/>
        <w:rPr>
          <w:rFonts w:ascii="宋体" w:hAnsi="宋体" w:cs="宋体"/>
          <w:sz w:val="24"/>
          <w:highlight w:val="none"/>
        </w:rPr>
      </w:pPr>
      <w:r>
        <w:rPr>
          <w:rFonts w:ascii="宋体" w:hAnsi="宋体" w:cs="宋体"/>
          <w:sz w:val="24"/>
          <w:highlight w:val="none"/>
        </w:rPr>
        <w:t>3</w:t>
      </w:r>
      <w:r>
        <w:rPr>
          <w:rFonts w:hint="eastAsia" w:ascii="宋体" w:hAnsi="宋体" w:cs="宋体"/>
          <w:sz w:val="24"/>
          <w:highlight w:val="none"/>
        </w:rPr>
        <w:t>3</w:t>
      </w:r>
      <w:r>
        <w:rPr>
          <w:rFonts w:ascii="宋体" w:hAnsi="宋体" w:cs="宋体"/>
          <w:sz w:val="24"/>
          <w:highlight w:val="none"/>
        </w:rPr>
        <w:t>.7 潜在</w:t>
      </w:r>
      <w:r>
        <w:rPr>
          <w:rFonts w:hint="eastAsia" w:ascii="宋体" w:hAnsi="宋体" w:cs="宋体"/>
          <w:sz w:val="24"/>
          <w:highlight w:val="none"/>
        </w:rPr>
        <w:t>响应人已依法获取其可质疑的采购文件的，可以对该文件提出质疑。对采购文件提出质疑的，应当在获取采购文件或者采购文件公告期限届满之日起</w:t>
      </w:r>
      <w:r>
        <w:rPr>
          <w:rFonts w:ascii="宋体" w:hAnsi="宋体" w:cs="宋体"/>
          <w:sz w:val="24"/>
          <w:highlight w:val="none"/>
        </w:rPr>
        <w:t>7个工作日内提出。</w:t>
      </w:r>
    </w:p>
    <w:p>
      <w:pPr>
        <w:pStyle w:val="31"/>
        <w:spacing w:after="0" w:line="560" w:lineRule="exact"/>
        <w:ind w:firstLine="600" w:firstLineChars="250"/>
        <w:rPr>
          <w:rFonts w:ascii="宋体" w:hAnsi="宋体" w:cs="宋体"/>
          <w:sz w:val="24"/>
          <w:highlight w:val="none"/>
        </w:rPr>
      </w:pPr>
      <w:r>
        <w:rPr>
          <w:rFonts w:ascii="宋体" w:hAnsi="宋体" w:cs="宋体"/>
          <w:sz w:val="24"/>
          <w:highlight w:val="none"/>
        </w:rPr>
        <w:t>3</w:t>
      </w:r>
      <w:r>
        <w:rPr>
          <w:rFonts w:hint="eastAsia" w:ascii="宋体" w:hAnsi="宋体" w:cs="宋体"/>
          <w:sz w:val="24"/>
          <w:highlight w:val="none"/>
        </w:rPr>
        <w:t>3</w:t>
      </w:r>
      <w:r>
        <w:rPr>
          <w:rFonts w:ascii="宋体" w:hAnsi="宋体" w:cs="宋体"/>
          <w:sz w:val="24"/>
          <w:highlight w:val="none"/>
        </w:rPr>
        <w:t xml:space="preserve">.8 </w:t>
      </w:r>
      <w:r>
        <w:rPr>
          <w:rFonts w:hint="eastAsia" w:ascii="宋体" w:hAnsi="宋体" w:cs="宋体"/>
          <w:sz w:val="24"/>
          <w:highlight w:val="none"/>
        </w:rPr>
        <w:t>响应人提出质疑应当提交质疑函和必要的证明材料。质疑函应当包括下列内容：</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1</w:t>
      </w:r>
      <w:r>
        <w:rPr>
          <w:rFonts w:hint="eastAsia" w:ascii="宋体" w:hAnsi="宋体" w:cs="宋体"/>
          <w:sz w:val="24"/>
          <w:highlight w:val="none"/>
        </w:rPr>
        <w:t>）响应人的姓名或者名称、地址、邮编、联系人及联系电话；</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2</w:t>
      </w:r>
      <w:r>
        <w:rPr>
          <w:rFonts w:hint="eastAsia" w:ascii="宋体" w:hAnsi="宋体" w:cs="宋体"/>
          <w:sz w:val="24"/>
          <w:highlight w:val="none"/>
        </w:rPr>
        <w:t>）质疑项目的名称、编号；</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3</w:t>
      </w:r>
      <w:r>
        <w:rPr>
          <w:rFonts w:hint="eastAsia" w:ascii="宋体" w:hAnsi="宋体" w:cs="宋体"/>
          <w:sz w:val="24"/>
          <w:highlight w:val="none"/>
        </w:rPr>
        <w:t>）具体、明确的质疑事项和与质疑事项相关的请求；</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4</w:t>
      </w:r>
      <w:r>
        <w:rPr>
          <w:rFonts w:hint="eastAsia" w:ascii="宋体" w:hAnsi="宋体" w:cs="宋体"/>
          <w:sz w:val="24"/>
          <w:highlight w:val="none"/>
        </w:rPr>
        <w:t>）事实依据；</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5</w:t>
      </w:r>
      <w:r>
        <w:rPr>
          <w:rFonts w:hint="eastAsia" w:ascii="宋体" w:hAnsi="宋体" w:cs="宋体"/>
          <w:sz w:val="24"/>
          <w:highlight w:val="none"/>
        </w:rPr>
        <w:t>）必要的法律依据；</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6</w:t>
      </w:r>
      <w:r>
        <w:rPr>
          <w:rFonts w:hint="eastAsia" w:ascii="宋体" w:hAnsi="宋体" w:cs="宋体"/>
          <w:sz w:val="24"/>
          <w:highlight w:val="none"/>
        </w:rPr>
        <w:t>）提出质疑的日期。</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响应人为自然人的，应当由本人签字；响应人为法人或者其他组织的，应当由法定代表人、主要负责人，或者其授权代表签字或者盖章，并加盖公章。</w:t>
      </w:r>
    </w:p>
    <w:p>
      <w:pPr>
        <w:pStyle w:val="31"/>
        <w:spacing w:after="0" w:line="560" w:lineRule="exact"/>
        <w:ind w:firstLine="600" w:firstLineChars="250"/>
        <w:rPr>
          <w:rFonts w:ascii="宋体" w:hAnsi="宋体" w:cs="宋体"/>
          <w:sz w:val="24"/>
          <w:highlight w:val="none"/>
        </w:rPr>
      </w:pPr>
      <w:r>
        <w:rPr>
          <w:rFonts w:ascii="宋体" w:hAnsi="宋体" w:cs="宋体"/>
          <w:sz w:val="24"/>
          <w:highlight w:val="none"/>
        </w:rPr>
        <w:t>3</w:t>
      </w:r>
      <w:r>
        <w:rPr>
          <w:rFonts w:hint="eastAsia" w:ascii="宋体" w:hAnsi="宋体" w:cs="宋体"/>
          <w:sz w:val="24"/>
          <w:highlight w:val="none"/>
        </w:rPr>
        <w:t>3</w:t>
      </w:r>
      <w:r>
        <w:rPr>
          <w:rFonts w:ascii="宋体" w:hAnsi="宋体" w:cs="宋体"/>
          <w:sz w:val="24"/>
          <w:highlight w:val="none"/>
        </w:rPr>
        <w:t xml:space="preserve">.9 </w:t>
      </w:r>
      <w:r>
        <w:rPr>
          <w:rFonts w:hint="eastAsia" w:ascii="宋体" w:hAnsi="宋体" w:cs="宋体"/>
          <w:sz w:val="24"/>
          <w:highlight w:val="none"/>
        </w:rPr>
        <w:t>采购人、采购代理机构认为响应人质疑不成立，或者成立但未对成交、成交结果构成影响的，继续开展采购活动；认为响应人质疑成立且影响或者可能影响成交、成交结果的，按照下列情况处理：</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1</w:t>
      </w:r>
      <w:r>
        <w:rPr>
          <w:rFonts w:hint="eastAsia" w:ascii="宋体" w:hAnsi="宋体" w:cs="宋体"/>
          <w:sz w:val="24"/>
          <w:highlight w:val="none"/>
        </w:rPr>
        <w:t>）对采购文件提出的质疑，依法通过澄清或者修改可以继续开展采购活动的，澄清或者修改采购文件后继续开展采购活动；否则应当修改采购文件后重新开展采购活动。</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2）对采购过程、成交或者成交结果提出的质疑，合格</w:t>
      </w:r>
      <w:r>
        <w:rPr>
          <w:rFonts w:hint="eastAsia" w:ascii="宋体" w:hAnsi="宋体" w:cs="宋体"/>
          <w:sz w:val="24"/>
          <w:highlight w:val="none"/>
        </w:rPr>
        <w:t>响应人</w:t>
      </w:r>
      <w:r>
        <w:rPr>
          <w:rFonts w:ascii="宋体" w:hAnsi="宋体" w:cs="宋体"/>
          <w:sz w:val="24"/>
          <w:highlight w:val="none"/>
        </w:rPr>
        <w:t>符合法定数量时，可以从合格的成交候选</w:t>
      </w:r>
      <w:r>
        <w:rPr>
          <w:rFonts w:hint="eastAsia" w:ascii="宋体" w:hAnsi="宋体" w:cs="宋体"/>
          <w:sz w:val="24"/>
          <w:highlight w:val="none"/>
        </w:rPr>
        <w:t>响应人</w:t>
      </w:r>
      <w:r>
        <w:rPr>
          <w:rFonts w:ascii="宋体" w:hAnsi="宋体" w:cs="宋体"/>
          <w:sz w:val="24"/>
          <w:highlight w:val="none"/>
        </w:rPr>
        <w:t>中另行确定成交候选</w:t>
      </w:r>
      <w:r>
        <w:rPr>
          <w:rFonts w:hint="eastAsia" w:ascii="宋体" w:hAnsi="宋体" w:cs="宋体"/>
          <w:sz w:val="24"/>
          <w:highlight w:val="none"/>
        </w:rPr>
        <w:t>响应人</w:t>
      </w:r>
      <w:r>
        <w:rPr>
          <w:rFonts w:ascii="宋体" w:hAnsi="宋体" w:cs="宋体"/>
          <w:sz w:val="24"/>
          <w:highlight w:val="none"/>
        </w:rPr>
        <w:t>的，应当依法另行确定成交候选</w:t>
      </w:r>
      <w:r>
        <w:rPr>
          <w:rFonts w:hint="eastAsia" w:ascii="宋体" w:hAnsi="宋体" w:cs="宋体"/>
          <w:sz w:val="24"/>
          <w:highlight w:val="none"/>
        </w:rPr>
        <w:t>响应人</w:t>
      </w:r>
      <w:r>
        <w:rPr>
          <w:rFonts w:ascii="宋体" w:hAnsi="宋体" w:cs="宋体"/>
          <w:sz w:val="24"/>
          <w:highlight w:val="none"/>
        </w:rPr>
        <w:t>；否则应当重新开展采购活动。</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33.10 质疑响应人对采购人、采购代理机构的答复不满意或者采购人、采购代理机构未在规定的时间内作出答复的，可以在答复期满后十五个工作日内向同级政府采购监督管理部门投诉。</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跨区域联合采购项目的投诉，采购人所属预算级次相同的，由采购文件事先约定的财政部门负责处理，事先未约定的，由最先收到投诉的财政部门负责处理；采购人所属预算级次不同的，由预算级次最高的财政部门负责处理。</w:t>
      </w:r>
    </w:p>
    <w:p>
      <w:pPr>
        <w:pStyle w:val="4"/>
        <w:spacing w:before="120" w:after="120" w:line="360" w:lineRule="exact"/>
        <w:ind w:firstLine="516" w:firstLineChars="214"/>
        <w:rPr>
          <w:rFonts w:ascii="宋体" w:hAnsi="宋体" w:eastAsia="宋体"/>
          <w:sz w:val="24"/>
          <w:szCs w:val="24"/>
          <w:highlight w:val="none"/>
        </w:rPr>
      </w:pPr>
      <w:bookmarkStart w:id="137" w:name="_Toc25776"/>
      <w:bookmarkStart w:id="138" w:name="_Toc60585214"/>
      <w:bookmarkStart w:id="139" w:name="_Toc510973923"/>
      <w:bookmarkStart w:id="140" w:name="_Toc508784353"/>
      <w:bookmarkStart w:id="141" w:name="_Toc29186"/>
      <w:bookmarkStart w:id="142" w:name="_Toc26845"/>
      <w:bookmarkStart w:id="143" w:name="_Toc28141"/>
      <w:r>
        <w:rPr>
          <w:rFonts w:hint="eastAsia" w:ascii="宋体" w:hAnsi="宋体" w:eastAsia="宋体" w:cs="宋体"/>
          <w:sz w:val="24"/>
          <w:szCs w:val="24"/>
          <w:highlight w:val="none"/>
        </w:rPr>
        <w:t>七、授予合同</w:t>
      </w:r>
      <w:bookmarkEnd w:id="137"/>
      <w:bookmarkEnd w:id="138"/>
      <w:bookmarkEnd w:id="139"/>
      <w:bookmarkEnd w:id="140"/>
      <w:bookmarkEnd w:id="141"/>
      <w:bookmarkEnd w:id="142"/>
      <w:bookmarkEnd w:id="143"/>
    </w:p>
    <w:p>
      <w:pPr>
        <w:pStyle w:val="6"/>
        <w:spacing w:before="0" w:after="0" w:line="500" w:lineRule="exact"/>
        <w:ind w:firstLine="504" w:firstLineChars="209"/>
        <w:rPr>
          <w:rFonts w:ascii="宋体" w:hAnsi="宋体"/>
          <w:sz w:val="24"/>
          <w:szCs w:val="24"/>
          <w:highlight w:val="none"/>
        </w:rPr>
      </w:pPr>
      <w:bookmarkStart w:id="144" w:name="_Toc352332884"/>
      <w:bookmarkStart w:id="145" w:name="_Toc346306763"/>
      <w:bookmarkStart w:id="146" w:name="_Toc346372910"/>
      <w:r>
        <w:rPr>
          <w:rFonts w:ascii="宋体" w:hAnsi="宋体"/>
          <w:sz w:val="24"/>
          <w:szCs w:val="24"/>
          <w:highlight w:val="none"/>
        </w:rPr>
        <w:t>3</w:t>
      </w:r>
      <w:r>
        <w:rPr>
          <w:rFonts w:hint="eastAsia" w:ascii="宋体" w:hAnsi="宋体"/>
          <w:sz w:val="24"/>
          <w:szCs w:val="24"/>
          <w:highlight w:val="none"/>
        </w:rPr>
        <w:t>4</w:t>
      </w:r>
      <w:r>
        <w:rPr>
          <w:rFonts w:ascii="宋体" w:hAnsi="宋体"/>
          <w:sz w:val="24"/>
          <w:szCs w:val="24"/>
          <w:highlight w:val="none"/>
        </w:rPr>
        <w:t xml:space="preserve">.  </w:t>
      </w:r>
      <w:r>
        <w:rPr>
          <w:rFonts w:hint="eastAsia" w:ascii="宋体" w:hAnsi="宋体"/>
          <w:sz w:val="24"/>
          <w:szCs w:val="24"/>
          <w:highlight w:val="none"/>
        </w:rPr>
        <w:t>成交通知书</w:t>
      </w:r>
      <w:bookmarkEnd w:id="144"/>
      <w:bookmarkEnd w:id="145"/>
      <w:bookmarkEnd w:id="146"/>
    </w:p>
    <w:p>
      <w:pPr>
        <w:pStyle w:val="31"/>
        <w:spacing w:after="0" w:line="560" w:lineRule="exact"/>
        <w:ind w:firstLine="600" w:firstLineChars="250"/>
        <w:rPr>
          <w:rFonts w:ascii="宋体" w:hAnsi="宋体" w:cs="宋体"/>
          <w:sz w:val="24"/>
          <w:highlight w:val="none"/>
        </w:rPr>
      </w:pPr>
      <w:bookmarkStart w:id="147" w:name="_Toc346372911"/>
      <w:bookmarkStart w:id="148" w:name="_Toc352332885"/>
      <w:bookmarkStart w:id="149" w:name="_Toc346306764"/>
      <w:r>
        <w:rPr>
          <w:rFonts w:hint="eastAsia" w:ascii="宋体" w:hAnsi="宋体" w:cs="宋体"/>
          <w:sz w:val="24"/>
          <w:highlight w:val="none"/>
        </w:rPr>
        <w:t>34.1在发布成交结果的同时，采购人或采购代理机构向成交人签发《成交通知书》。</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34.2 成交通知书是合同的一个组成部分。</w:t>
      </w:r>
    </w:p>
    <w:p>
      <w:pPr>
        <w:pStyle w:val="6"/>
        <w:spacing w:before="0" w:after="0" w:line="500" w:lineRule="exact"/>
        <w:ind w:firstLine="504" w:firstLineChars="209"/>
        <w:rPr>
          <w:rFonts w:ascii="宋体" w:hAnsi="宋体"/>
          <w:sz w:val="24"/>
          <w:szCs w:val="24"/>
          <w:highlight w:val="none"/>
        </w:rPr>
      </w:pPr>
      <w:r>
        <w:rPr>
          <w:rFonts w:ascii="宋体" w:hAnsi="宋体"/>
          <w:sz w:val="24"/>
          <w:szCs w:val="24"/>
          <w:highlight w:val="none"/>
        </w:rPr>
        <w:t>3</w:t>
      </w:r>
      <w:r>
        <w:rPr>
          <w:rFonts w:hint="eastAsia" w:ascii="宋体" w:hAnsi="宋体"/>
          <w:sz w:val="24"/>
          <w:szCs w:val="24"/>
          <w:highlight w:val="none"/>
        </w:rPr>
        <w:t>5</w:t>
      </w:r>
      <w:r>
        <w:rPr>
          <w:rFonts w:ascii="宋体" w:hAnsi="宋体"/>
          <w:sz w:val="24"/>
          <w:szCs w:val="24"/>
          <w:highlight w:val="none"/>
        </w:rPr>
        <w:t xml:space="preserve">.  </w:t>
      </w:r>
      <w:r>
        <w:rPr>
          <w:rFonts w:hint="eastAsia" w:ascii="宋体" w:hAnsi="宋体"/>
          <w:sz w:val="24"/>
          <w:szCs w:val="24"/>
          <w:highlight w:val="none"/>
        </w:rPr>
        <w:t>签订合同</w:t>
      </w:r>
      <w:bookmarkEnd w:id="147"/>
      <w:bookmarkEnd w:id="148"/>
      <w:bookmarkEnd w:id="149"/>
    </w:p>
    <w:p>
      <w:pPr>
        <w:pStyle w:val="31"/>
        <w:spacing w:line="560" w:lineRule="exact"/>
        <w:ind w:firstLine="600" w:firstLineChars="250"/>
        <w:rPr>
          <w:rFonts w:ascii="宋体" w:hAnsi="宋体" w:cs="宋体"/>
          <w:sz w:val="24"/>
          <w:highlight w:val="none"/>
        </w:rPr>
      </w:pPr>
      <w:bookmarkStart w:id="150" w:name="_Toc475090309"/>
      <w:r>
        <w:rPr>
          <w:rFonts w:hint="eastAsia" w:ascii="宋体" w:hAnsi="宋体" w:cs="宋体"/>
          <w:sz w:val="24"/>
          <w:highlight w:val="none"/>
        </w:rPr>
        <w:t>35.1成交通知书发出之日起30日内，双方按照采购文件确定的事项签订合同。</w:t>
      </w:r>
      <w:bookmarkEnd w:id="150"/>
    </w:p>
    <w:p>
      <w:pPr>
        <w:pStyle w:val="31"/>
        <w:spacing w:line="560" w:lineRule="exact"/>
        <w:ind w:firstLine="600" w:firstLineChars="250"/>
        <w:rPr>
          <w:rFonts w:ascii="宋体" w:hAnsi="宋体" w:cs="宋体"/>
          <w:sz w:val="24"/>
          <w:highlight w:val="none"/>
        </w:rPr>
      </w:pPr>
      <w:bookmarkStart w:id="151" w:name="_Toc475090310"/>
      <w:r>
        <w:rPr>
          <w:rFonts w:hint="eastAsia" w:ascii="宋体" w:hAnsi="宋体" w:cs="宋体"/>
          <w:sz w:val="24"/>
          <w:highlight w:val="none"/>
        </w:rPr>
        <w:t>35.2 采购文件、成交人的响应文件以及评审过程中的有关澄清、承诺文件均为合同的组成部分。</w:t>
      </w:r>
      <w:bookmarkEnd w:id="151"/>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35.3成交人拒绝与采购人签订合同的，采购人可以依法确定排名紧随其后的成交候选响应人为成交人，也可以重新开展政府采购活动。</w:t>
      </w:r>
    </w:p>
    <w:p>
      <w:pPr>
        <w:pStyle w:val="4"/>
        <w:widowControl/>
        <w:spacing w:before="120" w:after="120" w:line="360" w:lineRule="exact"/>
        <w:ind w:firstLine="516" w:firstLineChars="214"/>
        <w:rPr>
          <w:rFonts w:ascii="宋体" w:hAnsi="宋体" w:eastAsia="宋体" w:cs="宋体"/>
          <w:sz w:val="24"/>
          <w:szCs w:val="24"/>
          <w:highlight w:val="none"/>
        </w:rPr>
      </w:pPr>
      <w:bookmarkStart w:id="152" w:name="_Toc11464"/>
      <w:bookmarkStart w:id="153" w:name="_Toc510973924"/>
      <w:bookmarkStart w:id="154" w:name="_Toc5942"/>
      <w:bookmarkStart w:id="155" w:name="_Toc26841"/>
      <w:bookmarkStart w:id="156" w:name="_Toc6445"/>
      <w:bookmarkStart w:id="157" w:name="_Toc60585215"/>
      <w:r>
        <w:rPr>
          <w:rFonts w:hint="eastAsia" w:ascii="宋体" w:hAnsi="宋体" w:eastAsia="宋体" w:cs="宋体"/>
          <w:sz w:val="24"/>
          <w:szCs w:val="24"/>
          <w:highlight w:val="none"/>
          <w:lang w:eastAsia="zh-CN"/>
        </w:rPr>
        <w:t>八</w:t>
      </w:r>
      <w:r>
        <w:rPr>
          <w:rFonts w:hint="eastAsia" w:ascii="宋体" w:hAnsi="宋体" w:eastAsia="宋体" w:cs="宋体"/>
          <w:sz w:val="24"/>
          <w:szCs w:val="24"/>
          <w:highlight w:val="none"/>
        </w:rPr>
        <w:t>、履约担保</w:t>
      </w:r>
      <w:bookmarkEnd w:id="152"/>
      <w:bookmarkEnd w:id="153"/>
      <w:bookmarkEnd w:id="154"/>
      <w:bookmarkEnd w:id="155"/>
      <w:bookmarkEnd w:id="156"/>
      <w:bookmarkEnd w:id="157"/>
    </w:p>
    <w:p>
      <w:pPr>
        <w:pStyle w:val="6"/>
        <w:spacing w:before="0" w:after="0" w:line="500" w:lineRule="exact"/>
        <w:ind w:firstLine="504" w:firstLineChars="209"/>
        <w:rPr>
          <w:rFonts w:ascii="宋体" w:hAnsi="宋体"/>
          <w:sz w:val="24"/>
          <w:szCs w:val="24"/>
          <w:highlight w:val="none"/>
        </w:rPr>
      </w:pPr>
      <w:r>
        <w:rPr>
          <w:rFonts w:hint="eastAsia" w:ascii="宋体" w:hAnsi="宋体"/>
          <w:sz w:val="24"/>
          <w:szCs w:val="24"/>
          <w:highlight w:val="none"/>
        </w:rPr>
        <w:t>3</w:t>
      </w:r>
      <w:r>
        <w:rPr>
          <w:rFonts w:hint="eastAsia" w:ascii="宋体" w:hAnsi="宋体"/>
          <w:sz w:val="24"/>
          <w:szCs w:val="24"/>
          <w:highlight w:val="none"/>
          <w:lang w:val="en-US" w:eastAsia="zh-CN"/>
        </w:rPr>
        <w:t>6</w:t>
      </w:r>
      <w:r>
        <w:rPr>
          <w:rFonts w:hint="eastAsia" w:ascii="宋体" w:hAnsi="宋体"/>
          <w:sz w:val="24"/>
          <w:szCs w:val="24"/>
          <w:highlight w:val="none"/>
        </w:rPr>
        <w:t>.  履约担保</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3</w:t>
      </w:r>
      <w:r>
        <w:rPr>
          <w:rFonts w:hint="eastAsia" w:ascii="宋体" w:hAnsi="宋体" w:cs="宋体"/>
          <w:sz w:val="24"/>
          <w:highlight w:val="none"/>
          <w:lang w:val="en-US" w:eastAsia="zh-CN"/>
        </w:rPr>
        <w:t>6</w:t>
      </w:r>
      <w:r>
        <w:rPr>
          <w:rFonts w:hint="eastAsia" w:ascii="宋体" w:hAnsi="宋体" w:cs="宋体"/>
          <w:sz w:val="24"/>
          <w:highlight w:val="none"/>
        </w:rPr>
        <w:t>.1本项目成交人应按采购人要求提交履约担保，除非采购文件“响应人须知前附表”明确说明不要求成交人提交履约担保。履约担保的形式和担保金额见采购文件“响应人须知前附表”。</w:t>
      </w:r>
    </w:p>
    <w:p>
      <w:pPr>
        <w:pStyle w:val="4"/>
        <w:spacing w:before="120" w:after="120" w:line="360" w:lineRule="exact"/>
        <w:ind w:firstLine="516" w:firstLineChars="214"/>
        <w:rPr>
          <w:rFonts w:ascii="宋体" w:hAnsi="宋体" w:eastAsia="宋体" w:cs="宋体"/>
          <w:sz w:val="24"/>
          <w:szCs w:val="24"/>
          <w:highlight w:val="none"/>
        </w:rPr>
      </w:pPr>
      <w:bookmarkStart w:id="158" w:name="_Toc15203"/>
      <w:bookmarkStart w:id="159" w:name="_Toc11117"/>
      <w:bookmarkStart w:id="160" w:name="_Toc510973925"/>
      <w:bookmarkStart w:id="161" w:name="_Toc1055"/>
      <w:bookmarkStart w:id="162" w:name="_Toc878"/>
      <w:bookmarkStart w:id="163" w:name="_Toc21839"/>
      <w:bookmarkStart w:id="164" w:name="_Toc60585216"/>
      <w:bookmarkStart w:id="165" w:name="_Toc508784354"/>
      <w:r>
        <w:rPr>
          <w:rFonts w:hint="eastAsia" w:ascii="宋体" w:hAnsi="宋体" w:eastAsia="宋体" w:cs="宋体"/>
          <w:sz w:val="24"/>
          <w:szCs w:val="24"/>
          <w:highlight w:val="none"/>
          <w:lang w:eastAsia="zh-CN"/>
        </w:rPr>
        <w:t>九</w:t>
      </w:r>
      <w:r>
        <w:rPr>
          <w:rFonts w:hint="eastAsia" w:ascii="宋体" w:hAnsi="宋体" w:eastAsia="宋体" w:cs="宋体"/>
          <w:sz w:val="24"/>
          <w:szCs w:val="24"/>
          <w:highlight w:val="none"/>
        </w:rPr>
        <w:t>、成交服务费</w:t>
      </w:r>
      <w:bookmarkEnd w:id="158"/>
      <w:bookmarkEnd w:id="159"/>
      <w:bookmarkEnd w:id="160"/>
      <w:bookmarkEnd w:id="161"/>
      <w:bookmarkEnd w:id="162"/>
      <w:bookmarkEnd w:id="163"/>
      <w:bookmarkEnd w:id="164"/>
      <w:bookmarkEnd w:id="165"/>
    </w:p>
    <w:p>
      <w:pPr>
        <w:pStyle w:val="6"/>
        <w:spacing w:before="0" w:after="0" w:line="500" w:lineRule="exact"/>
        <w:ind w:firstLine="504" w:firstLineChars="209"/>
        <w:rPr>
          <w:rFonts w:ascii="宋体" w:hAnsi="宋体"/>
          <w:sz w:val="24"/>
          <w:szCs w:val="24"/>
          <w:highlight w:val="none"/>
        </w:rPr>
      </w:pPr>
      <w:r>
        <w:rPr>
          <w:rFonts w:hint="eastAsia" w:ascii="宋体" w:hAnsi="宋体"/>
          <w:sz w:val="24"/>
          <w:szCs w:val="24"/>
          <w:highlight w:val="none"/>
        </w:rPr>
        <w:t>3</w:t>
      </w:r>
      <w:r>
        <w:rPr>
          <w:rFonts w:hint="eastAsia" w:ascii="宋体" w:hAnsi="宋体"/>
          <w:sz w:val="24"/>
          <w:szCs w:val="24"/>
          <w:highlight w:val="none"/>
          <w:lang w:val="en-US" w:eastAsia="zh-CN"/>
        </w:rPr>
        <w:t>7</w:t>
      </w:r>
      <w:r>
        <w:rPr>
          <w:rFonts w:hint="eastAsia" w:ascii="宋体" w:hAnsi="宋体"/>
          <w:sz w:val="24"/>
          <w:szCs w:val="24"/>
          <w:highlight w:val="none"/>
        </w:rPr>
        <w:t>.成交服务费</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3</w:t>
      </w:r>
      <w:r>
        <w:rPr>
          <w:rFonts w:hint="eastAsia" w:ascii="宋体" w:hAnsi="宋体" w:cs="宋体"/>
          <w:sz w:val="24"/>
          <w:highlight w:val="none"/>
          <w:lang w:val="en-US" w:eastAsia="zh-CN"/>
        </w:rPr>
        <w:t>7</w:t>
      </w:r>
      <w:r>
        <w:rPr>
          <w:rFonts w:hint="eastAsia" w:ascii="宋体" w:hAnsi="宋体" w:cs="宋体"/>
          <w:sz w:val="24"/>
          <w:highlight w:val="none"/>
        </w:rPr>
        <w:t>. 本项目成交服务费的计算标准详见响应人须知前附表。</w:t>
      </w:r>
    </w:p>
    <w:p>
      <w:pPr>
        <w:pStyle w:val="4"/>
        <w:spacing w:before="120" w:after="120" w:line="360" w:lineRule="exact"/>
        <w:ind w:firstLine="516" w:firstLineChars="214"/>
        <w:rPr>
          <w:rFonts w:ascii="宋体" w:hAnsi="宋体" w:eastAsia="宋体"/>
          <w:sz w:val="24"/>
          <w:szCs w:val="24"/>
          <w:highlight w:val="none"/>
        </w:rPr>
      </w:pPr>
      <w:bookmarkStart w:id="166" w:name="_Toc60585217"/>
      <w:bookmarkStart w:id="167" w:name="_Toc23022"/>
      <w:bookmarkStart w:id="168" w:name="_Toc8651"/>
      <w:bookmarkStart w:id="169" w:name="_Toc14529"/>
      <w:bookmarkStart w:id="170" w:name="_Toc510973926"/>
      <w:bookmarkStart w:id="171" w:name="_Toc21704"/>
      <w:bookmarkStart w:id="172" w:name="_Toc508784355"/>
      <w:r>
        <w:rPr>
          <w:rFonts w:hint="eastAsia" w:ascii="宋体" w:hAnsi="宋体" w:eastAsia="宋体" w:cs="宋体"/>
          <w:sz w:val="24"/>
          <w:szCs w:val="24"/>
          <w:highlight w:val="none"/>
        </w:rPr>
        <w:t>十、解释权</w:t>
      </w:r>
      <w:bookmarkEnd w:id="166"/>
      <w:bookmarkEnd w:id="167"/>
      <w:bookmarkEnd w:id="168"/>
      <w:bookmarkEnd w:id="169"/>
      <w:bookmarkEnd w:id="170"/>
      <w:bookmarkEnd w:id="171"/>
      <w:bookmarkEnd w:id="172"/>
    </w:p>
    <w:p>
      <w:pPr>
        <w:pStyle w:val="6"/>
        <w:spacing w:before="0" w:after="0" w:line="500" w:lineRule="exact"/>
        <w:ind w:firstLine="504" w:firstLineChars="209"/>
        <w:rPr>
          <w:rFonts w:ascii="宋体" w:hAnsi="宋体"/>
          <w:sz w:val="24"/>
          <w:szCs w:val="24"/>
          <w:highlight w:val="none"/>
        </w:rPr>
      </w:pPr>
      <w:r>
        <w:rPr>
          <w:rFonts w:hint="eastAsia" w:ascii="宋体" w:hAnsi="宋体"/>
          <w:sz w:val="24"/>
          <w:szCs w:val="24"/>
          <w:highlight w:val="none"/>
        </w:rPr>
        <w:t>3</w:t>
      </w:r>
      <w:r>
        <w:rPr>
          <w:rFonts w:hint="eastAsia" w:ascii="宋体" w:hAnsi="宋体"/>
          <w:sz w:val="24"/>
          <w:szCs w:val="24"/>
          <w:highlight w:val="none"/>
          <w:lang w:val="en-US" w:eastAsia="zh-CN"/>
        </w:rPr>
        <w:t>8</w:t>
      </w:r>
      <w:r>
        <w:rPr>
          <w:rFonts w:hint="eastAsia" w:ascii="宋体" w:hAnsi="宋体"/>
          <w:sz w:val="24"/>
          <w:szCs w:val="24"/>
          <w:highlight w:val="none"/>
        </w:rPr>
        <w:t>. 解释权</w:t>
      </w:r>
    </w:p>
    <w:p>
      <w:pPr>
        <w:pStyle w:val="31"/>
        <w:spacing w:after="0" w:line="560" w:lineRule="exact"/>
        <w:ind w:firstLine="600" w:firstLineChars="250"/>
        <w:rPr>
          <w:rFonts w:ascii="宋体" w:hAnsi="宋体" w:cs="宋体"/>
          <w:sz w:val="24"/>
          <w:highlight w:val="none"/>
        </w:rPr>
      </w:pPr>
      <w:r>
        <w:rPr>
          <w:rFonts w:hint="eastAsia" w:ascii="宋体" w:hAnsi="宋体" w:cs="宋体"/>
          <w:sz w:val="24"/>
          <w:highlight w:val="none"/>
        </w:rPr>
        <w:t>3</w:t>
      </w:r>
      <w:r>
        <w:rPr>
          <w:rFonts w:hint="eastAsia" w:ascii="宋体" w:hAnsi="宋体" w:cs="宋体"/>
          <w:sz w:val="24"/>
          <w:highlight w:val="none"/>
          <w:lang w:val="en-US" w:eastAsia="zh-CN"/>
        </w:rPr>
        <w:t>8</w:t>
      </w:r>
      <w:r>
        <w:rPr>
          <w:rFonts w:hint="eastAsia" w:ascii="宋体" w:hAnsi="宋体" w:cs="宋体"/>
          <w:sz w:val="24"/>
          <w:highlight w:val="none"/>
        </w:rPr>
        <w:t>.本采购文件的最终解释权归代理机构，当对一个问题有多种解释时以代理机构的书面解释为准。采购文件未做明示，而又有相关法律、法规规定的，代理机构对此所做解释以相关的法律、法规规定为依据。</w:t>
      </w:r>
    </w:p>
    <w:p>
      <w:pPr>
        <w:pStyle w:val="4"/>
        <w:spacing w:before="120" w:after="120" w:line="360" w:lineRule="exact"/>
        <w:ind w:firstLine="516" w:firstLineChars="214"/>
        <w:rPr>
          <w:rFonts w:ascii="宋体" w:hAnsi="宋体" w:eastAsia="宋体" w:cs="宋体"/>
          <w:sz w:val="24"/>
          <w:szCs w:val="24"/>
          <w:highlight w:val="none"/>
        </w:rPr>
      </w:pPr>
      <w:bookmarkStart w:id="173" w:name="_Toc60585218"/>
      <w:bookmarkStart w:id="174" w:name="_Toc16149"/>
      <w:bookmarkStart w:id="175" w:name="_Toc9251"/>
      <w:bookmarkStart w:id="176" w:name="_Toc2790"/>
      <w:bookmarkStart w:id="177" w:name="_Toc20832"/>
      <w:r>
        <w:rPr>
          <w:rFonts w:hint="eastAsia" w:ascii="宋体" w:hAnsi="宋体" w:eastAsia="宋体" w:cs="宋体"/>
          <w:sz w:val="24"/>
          <w:szCs w:val="24"/>
          <w:highlight w:val="none"/>
        </w:rPr>
        <w:t>十</w:t>
      </w:r>
      <w:r>
        <w:rPr>
          <w:rFonts w:hint="eastAsia" w:ascii="宋体" w:hAnsi="宋体" w:eastAsia="宋体" w:cs="宋体"/>
          <w:sz w:val="24"/>
          <w:szCs w:val="24"/>
          <w:highlight w:val="none"/>
          <w:lang w:eastAsia="zh-CN"/>
        </w:rPr>
        <w:t>一</w:t>
      </w:r>
      <w:r>
        <w:rPr>
          <w:rFonts w:hint="eastAsia" w:ascii="宋体" w:hAnsi="宋体" w:eastAsia="宋体" w:cs="宋体"/>
          <w:sz w:val="24"/>
          <w:szCs w:val="24"/>
          <w:highlight w:val="none"/>
        </w:rPr>
        <w:t>、其他</w:t>
      </w:r>
      <w:bookmarkEnd w:id="173"/>
      <w:bookmarkEnd w:id="174"/>
      <w:bookmarkEnd w:id="175"/>
      <w:bookmarkEnd w:id="176"/>
      <w:bookmarkEnd w:id="177"/>
    </w:p>
    <w:p>
      <w:pPr>
        <w:pStyle w:val="31"/>
        <w:spacing w:after="0" w:line="560" w:lineRule="exact"/>
        <w:ind w:firstLine="600" w:firstLineChars="250"/>
        <w:rPr>
          <w:rFonts w:ascii="宋体" w:hAnsi="宋体"/>
          <w:sz w:val="24"/>
          <w:highlight w:val="none"/>
        </w:rPr>
      </w:pPr>
      <w:r>
        <w:rPr>
          <w:rFonts w:hint="eastAsia" w:ascii="宋体" w:hAnsi="宋体" w:cs="宋体"/>
          <w:sz w:val="24"/>
          <w:highlight w:val="none"/>
        </w:rPr>
        <w:t>其他补充内容，详见响应人须知前附表。</w:t>
      </w:r>
    </w:p>
    <w:p>
      <w:pPr>
        <w:pStyle w:val="3"/>
        <w:spacing w:before="120" w:after="120" w:line="240" w:lineRule="auto"/>
        <w:jc w:val="center"/>
        <w:rPr>
          <w:rFonts w:ascii="宋体" w:hAnsi="宋体"/>
          <w:kern w:val="2"/>
          <w:sz w:val="32"/>
          <w:highlight w:val="none"/>
        </w:rPr>
      </w:pPr>
      <w:r>
        <w:rPr>
          <w:rFonts w:ascii="宋体" w:hAnsi="宋体"/>
          <w:kern w:val="2"/>
          <w:sz w:val="32"/>
          <w:highlight w:val="none"/>
        </w:rPr>
        <w:br w:type="page"/>
      </w:r>
      <w:bookmarkStart w:id="178" w:name="_Toc12369"/>
      <w:bookmarkStart w:id="179" w:name="_Toc732"/>
      <w:bookmarkStart w:id="180" w:name="_Toc28967"/>
      <w:bookmarkStart w:id="181" w:name="_Toc60585219"/>
      <w:bookmarkStart w:id="182" w:name="_Toc7032"/>
      <w:r>
        <w:rPr>
          <w:rFonts w:hint="eastAsia" w:ascii="宋体" w:hAnsi="宋体"/>
          <w:kern w:val="2"/>
          <w:sz w:val="32"/>
          <w:highlight w:val="none"/>
        </w:rPr>
        <w:t>第三章评分办法</w:t>
      </w:r>
      <w:bookmarkEnd w:id="178"/>
      <w:bookmarkEnd w:id="179"/>
      <w:bookmarkEnd w:id="180"/>
      <w:bookmarkEnd w:id="181"/>
      <w:bookmarkEnd w:id="182"/>
    </w:p>
    <w:p>
      <w:pPr>
        <w:spacing w:line="540" w:lineRule="exact"/>
        <w:ind w:firstLine="477" w:firstLineChars="198"/>
        <w:rPr>
          <w:rFonts w:ascii="宋体" w:hAnsi="宋体"/>
          <w:b/>
          <w:sz w:val="24"/>
          <w:highlight w:val="none"/>
        </w:rPr>
      </w:pPr>
      <w:r>
        <w:rPr>
          <w:rFonts w:hint="eastAsia" w:ascii="宋体" w:hAnsi="宋体"/>
          <w:b/>
          <w:sz w:val="24"/>
          <w:highlight w:val="none"/>
        </w:rPr>
        <w:t>一、评审方法</w:t>
      </w:r>
    </w:p>
    <w:p>
      <w:pPr>
        <w:spacing w:line="540" w:lineRule="exact"/>
        <w:ind w:firstLine="475" w:firstLineChars="198"/>
        <w:rPr>
          <w:rFonts w:ascii="宋体" w:hAnsi="宋体"/>
          <w:sz w:val="24"/>
          <w:highlight w:val="none"/>
        </w:rPr>
      </w:pPr>
      <w:r>
        <w:rPr>
          <w:rFonts w:hint="eastAsia" w:ascii="宋体" w:hAnsi="宋体"/>
          <w:sz w:val="24"/>
          <w:highlight w:val="none"/>
        </w:rPr>
        <w:t>1.1本项目评审方法采用综合评分法。磋商小组将依据各响应人响应文件，对其商务、技术</w:t>
      </w:r>
      <w:r>
        <w:rPr>
          <w:rFonts w:ascii="宋体" w:hAnsi="宋体"/>
          <w:sz w:val="24"/>
          <w:highlight w:val="none"/>
        </w:rPr>
        <w:t>、价格</w:t>
      </w:r>
      <w:r>
        <w:rPr>
          <w:rFonts w:hint="eastAsia" w:ascii="宋体" w:hAnsi="宋体"/>
          <w:sz w:val="24"/>
          <w:highlight w:val="none"/>
        </w:rPr>
        <w:t>、服务</w:t>
      </w:r>
      <w:r>
        <w:rPr>
          <w:rFonts w:ascii="宋体" w:hAnsi="宋体"/>
          <w:sz w:val="24"/>
          <w:highlight w:val="none"/>
        </w:rPr>
        <w:t>等各项因素进行评价</w:t>
      </w:r>
      <w:r>
        <w:rPr>
          <w:rFonts w:hint="eastAsia" w:ascii="宋体" w:hAnsi="宋体"/>
          <w:sz w:val="24"/>
          <w:highlight w:val="none"/>
        </w:rPr>
        <w:t>并按评分细则进行打分</w:t>
      </w:r>
      <w:r>
        <w:rPr>
          <w:rFonts w:ascii="宋体" w:hAnsi="宋体"/>
          <w:sz w:val="24"/>
          <w:highlight w:val="none"/>
        </w:rPr>
        <w:t>。每一</w:t>
      </w:r>
      <w:r>
        <w:rPr>
          <w:rFonts w:hint="eastAsia" w:ascii="宋体" w:hAnsi="宋体"/>
          <w:sz w:val="24"/>
          <w:highlight w:val="none"/>
        </w:rPr>
        <w:t>响应人</w:t>
      </w:r>
      <w:r>
        <w:rPr>
          <w:rFonts w:ascii="宋体" w:hAnsi="宋体"/>
          <w:sz w:val="24"/>
          <w:highlight w:val="none"/>
        </w:rPr>
        <w:t>的最终得分为所有</w:t>
      </w:r>
      <w:r>
        <w:rPr>
          <w:rFonts w:hint="eastAsia" w:ascii="宋体" w:hAnsi="宋体"/>
          <w:sz w:val="24"/>
          <w:highlight w:val="none"/>
        </w:rPr>
        <w:t>磋商小组成员</w:t>
      </w:r>
      <w:r>
        <w:rPr>
          <w:rFonts w:ascii="宋体" w:hAnsi="宋体"/>
          <w:sz w:val="24"/>
          <w:highlight w:val="none"/>
        </w:rPr>
        <w:t>评分的算术平均值。</w:t>
      </w:r>
    </w:p>
    <w:p>
      <w:pPr>
        <w:spacing w:line="540" w:lineRule="exact"/>
        <w:ind w:firstLine="475" w:firstLineChars="198"/>
        <w:rPr>
          <w:rFonts w:hint="eastAsia" w:ascii="宋体" w:hAnsi="宋体"/>
          <w:sz w:val="24"/>
          <w:highlight w:val="none"/>
        </w:rPr>
      </w:pPr>
      <w:r>
        <w:rPr>
          <w:rFonts w:hint="eastAsia" w:ascii="宋体" w:hAnsi="宋体"/>
          <w:sz w:val="24"/>
          <w:highlight w:val="none"/>
        </w:rPr>
        <w:t>1.2磋商小组按各响应人最终得分由高到低顺序排列。得分相同的，按最终报价由低到高顺序排列。得分且最终报价相同的，按技术指标优劣顺序排列，按采购文件规定的成交候选响应人家数推荐成交候选响应人。</w:t>
      </w:r>
    </w:p>
    <w:p>
      <w:pPr>
        <w:spacing w:line="540" w:lineRule="exact"/>
        <w:ind w:firstLine="475" w:firstLineChars="198"/>
        <w:rPr>
          <w:rFonts w:hint="default" w:ascii="宋体" w:hAnsi="宋体" w:eastAsia="宋体"/>
          <w:sz w:val="24"/>
          <w:highlight w:val="none"/>
          <w:lang w:val="en-US" w:eastAsia="zh-CN"/>
        </w:rPr>
      </w:pPr>
      <w:r>
        <w:rPr>
          <w:rFonts w:hint="default" w:ascii="宋体" w:hAnsi="宋体"/>
          <w:sz w:val="24"/>
          <w:highlight w:val="none"/>
          <w:lang w:val="en-US" w:eastAsia="zh-CN"/>
        </w:rPr>
        <w:t>1.3</w:t>
      </w:r>
      <w:r>
        <w:rPr>
          <w:rFonts w:hint="eastAsia" w:ascii="宋体" w:hAnsi="宋体"/>
          <w:sz w:val="24"/>
          <w:highlight w:val="none"/>
          <w:lang w:val="en-US" w:eastAsia="zh-CN"/>
        </w:rPr>
        <w:t>本项目分为2个包，可兼投兼中。</w:t>
      </w:r>
    </w:p>
    <w:p>
      <w:pPr>
        <w:spacing w:line="540" w:lineRule="exact"/>
        <w:ind w:firstLine="477" w:firstLineChars="198"/>
        <w:rPr>
          <w:rFonts w:ascii="宋体" w:hAnsi="宋体"/>
          <w:b/>
          <w:sz w:val="24"/>
          <w:highlight w:val="none"/>
        </w:rPr>
      </w:pPr>
      <w:r>
        <w:rPr>
          <w:rFonts w:hint="eastAsia" w:ascii="宋体" w:hAnsi="宋体"/>
          <w:b/>
          <w:sz w:val="24"/>
          <w:highlight w:val="none"/>
        </w:rPr>
        <w:t>二、评审细则</w:t>
      </w:r>
    </w:p>
    <w:p>
      <w:pPr>
        <w:spacing w:line="540" w:lineRule="exact"/>
        <w:ind w:firstLine="477" w:firstLineChars="198"/>
        <w:rPr>
          <w:rFonts w:ascii="宋体" w:hAnsi="宋体"/>
          <w:b/>
          <w:sz w:val="24"/>
          <w:highlight w:val="none"/>
        </w:rPr>
      </w:pPr>
    </w:p>
    <w:tbl>
      <w:tblPr>
        <w:tblStyle w:val="7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3"/>
        <w:gridCol w:w="1766"/>
        <w:gridCol w:w="6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5000" w:type="pct"/>
            <w:gridSpan w:val="3"/>
            <w:vAlign w:val="center"/>
          </w:tcPr>
          <w:p>
            <w:pPr>
              <w:spacing w:line="360" w:lineRule="auto"/>
              <w:jc w:val="center"/>
              <w:rPr>
                <w:rFonts w:hint="eastAsia" w:ascii="宋体" w:hAnsi="宋体" w:eastAsia="宋体" w:cs="仿宋"/>
                <w:sz w:val="24"/>
                <w:highlight w:val="none"/>
                <w:lang w:val="en-US" w:eastAsia="zh-CN"/>
              </w:rPr>
            </w:pPr>
            <w:r>
              <w:rPr>
                <w:rFonts w:hint="eastAsia" w:ascii="宋体" w:hAnsi="宋体" w:cs="仿宋"/>
                <w:sz w:val="24"/>
                <w:highlight w:val="none"/>
                <w:lang w:val="en-US" w:eastAsia="zh-CN"/>
              </w:rPr>
              <w:t>包一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00" w:type="pct"/>
            <w:gridSpan w:val="3"/>
            <w:vAlign w:val="center"/>
          </w:tcPr>
          <w:p>
            <w:pPr>
              <w:spacing w:line="360" w:lineRule="auto"/>
              <w:jc w:val="center"/>
              <w:rPr>
                <w:rFonts w:ascii="宋体" w:hAnsi="宋体" w:cs="仿宋"/>
                <w:sz w:val="24"/>
                <w:highlight w:val="none"/>
              </w:rPr>
            </w:pPr>
            <w:r>
              <w:rPr>
                <w:rFonts w:hint="eastAsia" w:ascii="宋体" w:hAnsi="宋体" w:cs="仿宋"/>
                <w:sz w:val="24"/>
                <w:highlight w:val="none"/>
              </w:rPr>
              <w:t>总分100分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9" w:type="pct"/>
            <w:vMerge w:val="restart"/>
            <w:vAlign w:val="center"/>
          </w:tcPr>
          <w:p>
            <w:pPr>
              <w:spacing w:line="360" w:lineRule="auto"/>
              <w:jc w:val="center"/>
              <w:rPr>
                <w:rFonts w:ascii="宋体" w:hAnsi="宋体" w:cs="仿宋"/>
                <w:sz w:val="24"/>
                <w:highlight w:val="none"/>
              </w:rPr>
            </w:pPr>
            <w:r>
              <w:rPr>
                <w:rFonts w:hint="eastAsia" w:ascii="宋体" w:hAnsi="宋体" w:cs="仿宋"/>
                <w:sz w:val="24"/>
                <w:highlight w:val="none"/>
              </w:rPr>
              <w:t>总分组成</w:t>
            </w:r>
          </w:p>
        </w:tc>
        <w:tc>
          <w:tcPr>
            <w:tcW w:w="951" w:type="pct"/>
            <w:vAlign w:val="center"/>
          </w:tcPr>
          <w:p>
            <w:pPr>
              <w:spacing w:line="360" w:lineRule="auto"/>
              <w:jc w:val="center"/>
              <w:rPr>
                <w:rFonts w:ascii="宋体" w:hAnsi="宋体" w:cs="仿宋"/>
                <w:sz w:val="24"/>
                <w:highlight w:val="none"/>
              </w:rPr>
            </w:pPr>
            <w:r>
              <w:rPr>
                <w:rFonts w:hint="eastAsia" w:ascii="宋体" w:hAnsi="宋体" w:cs="仿宋"/>
                <w:sz w:val="24"/>
                <w:highlight w:val="none"/>
              </w:rPr>
              <w:t>（1）价格</w:t>
            </w:r>
          </w:p>
        </w:tc>
        <w:tc>
          <w:tcPr>
            <w:tcW w:w="3519" w:type="pct"/>
            <w:vAlign w:val="center"/>
          </w:tcPr>
          <w:p>
            <w:pPr>
              <w:spacing w:line="360" w:lineRule="auto"/>
              <w:jc w:val="center"/>
              <w:rPr>
                <w:rFonts w:hint="default" w:ascii="宋体" w:hAnsi="宋体" w:eastAsia="宋体" w:cs="仿宋"/>
                <w:sz w:val="24"/>
                <w:highlight w:val="none"/>
                <w:lang w:val="en-US" w:eastAsia="zh-CN"/>
              </w:rPr>
            </w:pPr>
            <w:r>
              <w:rPr>
                <w:rFonts w:hint="eastAsia" w:ascii="宋体" w:hAnsi="宋体" w:cs="仿宋"/>
                <w:sz w:val="24"/>
                <w:highlight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9" w:type="pct"/>
            <w:vMerge w:val="continue"/>
            <w:vAlign w:val="center"/>
          </w:tcPr>
          <w:p>
            <w:pPr>
              <w:spacing w:line="360" w:lineRule="auto"/>
              <w:jc w:val="center"/>
              <w:rPr>
                <w:rFonts w:ascii="宋体" w:hAnsi="宋体" w:cs="仿宋"/>
                <w:sz w:val="24"/>
                <w:highlight w:val="none"/>
              </w:rPr>
            </w:pPr>
          </w:p>
        </w:tc>
        <w:tc>
          <w:tcPr>
            <w:tcW w:w="951" w:type="pct"/>
            <w:vAlign w:val="center"/>
          </w:tcPr>
          <w:p>
            <w:pPr>
              <w:spacing w:line="360" w:lineRule="auto"/>
              <w:jc w:val="center"/>
              <w:rPr>
                <w:rFonts w:ascii="宋体" w:hAnsi="宋体" w:cs="仿宋"/>
                <w:sz w:val="24"/>
                <w:highlight w:val="none"/>
              </w:rPr>
            </w:pPr>
            <w:r>
              <w:rPr>
                <w:rFonts w:hint="eastAsia" w:ascii="宋体" w:hAnsi="宋体" w:cs="仿宋"/>
                <w:sz w:val="24"/>
                <w:highlight w:val="none"/>
              </w:rPr>
              <w:t>（2）技术</w:t>
            </w:r>
          </w:p>
        </w:tc>
        <w:tc>
          <w:tcPr>
            <w:tcW w:w="3519" w:type="pct"/>
            <w:vAlign w:val="center"/>
          </w:tcPr>
          <w:p>
            <w:pPr>
              <w:spacing w:line="360" w:lineRule="auto"/>
              <w:jc w:val="center"/>
              <w:rPr>
                <w:rFonts w:hint="default" w:ascii="宋体" w:hAnsi="宋体" w:eastAsia="宋体" w:cs="仿宋"/>
                <w:color w:val="auto"/>
                <w:sz w:val="24"/>
                <w:highlight w:val="none"/>
                <w:lang w:val="en-US" w:eastAsia="zh-CN"/>
              </w:rPr>
            </w:pPr>
            <w:r>
              <w:rPr>
                <w:rFonts w:hint="eastAsia" w:ascii="宋体" w:hAnsi="宋体" w:cs="仿宋"/>
                <w:color w:val="auto"/>
                <w:sz w:val="24"/>
                <w:highlight w:val="none"/>
                <w:lang w:val="en-US" w:eastAsia="zh-CN"/>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9" w:type="pct"/>
            <w:vMerge w:val="continue"/>
            <w:vAlign w:val="center"/>
          </w:tcPr>
          <w:p>
            <w:pPr>
              <w:spacing w:line="360" w:lineRule="auto"/>
              <w:jc w:val="center"/>
              <w:rPr>
                <w:rFonts w:ascii="宋体" w:hAnsi="宋体" w:cs="仿宋"/>
                <w:sz w:val="24"/>
                <w:highlight w:val="none"/>
              </w:rPr>
            </w:pPr>
          </w:p>
        </w:tc>
        <w:tc>
          <w:tcPr>
            <w:tcW w:w="951" w:type="pct"/>
            <w:vAlign w:val="center"/>
          </w:tcPr>
          <w:p>
            <w:pPr>
              <w:spacing w:line="360" w:lineRule="auto"/>
              <w:jc w:val="center"/>
              <w:rPr>
                <w:rFonts w:ascii="宋体" w:hAnsi="宋体" w:cs="仿宋"/>
                <w:sz w:val="24"/>
                <w:highlight w:val="none"/>
              </w:rPr>
            </w:pPr>
            <w:r>
              <w:rPr>
                <w:rFonts w:hint="eastAsia" w:ascii="宋体" w:hAnsi="宋体" w:cs="仿宋"/>
                <w:sz w:val="24"/>
                <w:highlight w:val="none"/>
              </w:rPr>
              <w:t>（3）商务</w:t>
            </w:r>
          </w:p>
        </w:tc>
        <w:tc>
          <w:tcPr>
            <w:tcW w:w="3519" w:type="pct"/>
            <w:vAlign w:val="center"/>
          </w:tcPr>
          <w:p>
            <w:pPr>
              <w:spacing w:line="360" w:lineRule="auto"/>
              <w:jc w:val="center"/>
              <w:rPr>
                <w:rFonts w:hint="default" w:ascii="宋体" w:hAnsi="宋体" w:eastAsia="宋体" w:cs="仿宋"/>
                <w:color w:val="auto"/>
                <w:sz w:val="24"/>
                <w:highlight w:val="none"/>
                <w:lang w:val="en-US" w:eastAsia="zh-CN"/>
              </w:rPr>
            </w:pPr>
            <w:r>
              <w:rPr>
                <w:rFonts w:hint="eastAsia" w:ascii="宋体" w:hAnsi="宋体" w:cs="仿宋"/>
                <w:color w:val="auto"/>
                <w:sz w:val="24"/>
                <w:highlight w:val="no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80" w:type="pct"/>
            <w:gridSpan w:val="2"/>
            <w:vAlign w:val="center"/>
          </w:tcPr>
          <w:p>
            <w:pPr>
              <w:spacing w:line="360" w:lineRule="auto"/>
              <w:jc w:val="center"/>
              <w:rPr>
                <w:rFonts w:ascii="宋体" w:hAnsi="宋体" w:cs="仿宋"/>
                <w:sz w:val="24"/>
                <w:highlight w:val="none"/>
              </w:rPr>
            </w:pPr>
            <w:r>
              <w:rPr>
                <w:rFonts w:hint="eastAsia" w:ascii="宋体" w:hAnsi="宋体" w:cs="仿宋"/>
                <w:sz w:val="24"/>
                <w:highlight w:val="none"/>
              </w:rPr>
              <w:t>响应报价</w:t>
            </w:r>
          </w:p>
          <w:p>
            <w:pPr>
              <w:spacing w:line="360" w:lineRule="auto"/>
              <w:jc w:val="center"/>
              <w:rPr>
                <w:rFonts w:ascii="宋体" w:hAnsi="宋体" w:cs="仿宋"/>
                <w:sz w:val="24"/>
                <w:highlight w:val="none"/>
              </w:rPr>
            </w:pPr>
            <w:r>
              <w:rPr>
                <w:rFonts w:hint="eastAsia" w:ascii="宋体" w:hAnsi="宋体" w:cs="仿宋"/>
                <w:sz w:val="24"/>
                <w:highlight w:val="none"/>
                <w:lang w:val="en-US" w:eastAsia="zh-CN"/>
              </w:rPr>
              <w:t>25</w:t>
            </w:r>
            <w:r>
              <w:rPr>
                <w:rFonts w:hint="eastAsia" w:ascii="宋体" w:hAnsi="宋体" w:cs="仿宋"/>
                <w:sz w:val="24"/>
                <w:highlight w:val="none"/>
              </w:rPr>
              <w:t>分</w:t>
            </w:r>
          </w:p>
        </w:tc>
        <w:tc>
          <w:tcPr>
            <w:tcW w:w="3519" w:type="pct"/>
            <w:vAlign w:val="center"/>
          </w:tcPr>
          <w:p>
            <w:pPr>
              <w:spacing w:line="360" w:lineRule="auto"/>
              <w:jc w:val="left"/>
              <w:rPr>
                <w:rFonts w:hint="eastAsia" w:ascii="宋体" w:hAnsi="宋体" w:cs="仿宋"/>
                <w:sz w:val="24"/>
                <w:highlight w:val="none"/>
              </w:rPr>
            </w:pPr>
            <w:r>
              <w:rPr>
                <w:rFonts w:hint="eastAsia" w:ascii="宋体" w:hAnsi="宋体" w:cs="仿宋"/>
                <w:sz w:val="24"/>
                <w:highlight w:val="none"/>
              </w:rPr>
              <w:t>以满足磋商文件要求且最终报价最低的响应报价为评标基准价，其价格分为满分</w:t>
            </w:r>
            <w:r>
              <w:rPr>
                <w:rFonts w:hint="eastAsia" w:ascii="宋体" w:hAnsi="宋体" w:cs="仿宋"/>
                <w:sz w:val="24"/>
                <w:highlight w:val="none"/>
                <w:lang w:val="en-US" w:eastAsia="zh-CN"/>
              </w:rPr>
              <w:t>25</w:t>
            </w:r>
            <w:r>
              <w:rPr>
                <w:rFonts w:hint="eastAsia" w:ascii="宋体" w:hAnsi="宋体" w:cs="仿宋"/>
                <w:sz w:val="24"/>
                <w:highlight w:val="none"/>
              </w:rPr>
              <w:t>分，其他响应人的价格分按照下列公式计算：响应报价得分=（评标基准价/响应报价）×</w:t>
            </w:r>
            <w:r>
              <w:rPr>
                <w:rFonts w:hint="eastAsia" w:ascii="宋体" w:hAnsi="宋体" w:cs="仿宋"/>
                <w:sz w:val="24"/>
                <w:highlight w:val="none"/>
                <w:lang w:val="en-US" w:eastAsia="zh-CN"/>
              </w:rPr>
              <w:t>25</w:t>
            </w:r>
            <w:r>
              <w:rPr>
                <w:rFonts w:hint="eastAsia" w:ascii="宋体" w:hAnsi="宋体" w:cs="仿宋"/>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9" w:type="pct"/>
            <w:vMerge w:val="restart"/>
            <w:vAlign w:val="center"/>
          </w:tcPr>
          <w:p>
            <w:pPr>
              <w:spacing w:line="360" w:lineRule="auto"/>
              <w:jc w:val="center"/>
              <w:rPr>
                <w:rFonts w:hint="eastAsia" w:ascii="宋体" w:hAnsi="宋体" w:cs="仿宋"/>
                <w:sz w:val="24"/>
                <w:highlight w:val="none"/>
              </w:rPr>
            </w:pPr>
            <w:r>
              <w:rPr>
                <w:rFonts w:hint="eastAsia" w:ascii="宋体" w:hAnsi="宋体" w:cs="仿宋"/>
                <w:sz w:val="24"/>
                <w:highlight w:val="none"/>
              </w:rPr>
              <w:t>技术</w:t>
            </w:r>
          </w:p>
          <w:p>
            <w:pPr>
              <w:spacing w:line="360" w:lineRule="auto"/>
              <w:jc w:val="center"/>
              <w:rPr>
                <w:rFonts w:hint="eastAsia" w:ascii="宋体" w:hAnsi="宋体" w:cs="仿宋"/>
                <w:sz w:val="24"/>
                <w:highlight w:val="none"/>
              </w:rPr>
            </w:pPr>
            <w:r>
              <w:rPr>
                <w:rFonts w:hint="eastAsia" w:ascii="宋体" w:hAnsi="宋体" w:cs="仿宋"/>
                <w:sz w:val="24"/>
                <w:highlight w:val="none"/>
              </w:rPr>
              <w:t>部分</w:t>
            </w:r>
          </w:p>
          <w:p>
            <w:pPr>
              <w:spacing w:line="360" w:lineRule="auto"/>
              <w:jc w:val="center"/>
              <w:rPr>
                <w:rFonts w:ascii="宋体" w:hAnsi="宋体" w:cs="仿宋"/>
                <w:sz w:val="24"/>
                <w:highlight w:val="none"/>
              </w:rPr>
            </w:pPr>
            <w:r>
              <w:rPr>
                <w:rFonts w:hint="eastAsia" w:ascii="宋体" w:hAnsi="宋体" w:cs="仿宋"/>
                <w:sz w:val="24"/>
                <w:highlight w:val="none"/>
                <w:lang w:val="en-US" w:eastAsia="zh-CN"/>
              </w:rPr>
              <w:t>59</w:t>
            </w:r>
            <w:r>
              <w:rPr>
                <w:rFonts w:hint="eastAsia" w:ascii="宋体" w:hAnsi="宋体" w:cs="仿宋"/>
                <w:sz w:val="24"/>
                <w:highlight w:val="none"/>
              </w:rPr>
              <w:t>分</w:t>
            </w:r>
          </w:p>
        </w:tc>
        <w:tc>
          <w:tcPr>
            <w:tcW w:w="951" w:type="pct"/>
            <w:vAlign w:val="center"/>
          </w:tcPr>
          <w:p>
            <w:pPr>
              <w:spacing w:line="360" w:lineRule="auto"/>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技术能力</w:t>
            </w:r>
          </w:p>
          <w:p>
            <w:pPr>
              <w:spacing w:line="360" w:lineRule="auto"/>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30</w:t>
            </w:r>
            <w:r>
              <w:rPr>
                <w:rFonts w:hint="eastAsia" w:ascii="宋体" w:hAnsi="宋体" w:cs="宋体"/>
                <w:sz w:val="24"/>
                <w:highlight w:val="none"/>
                <w:lang w:val="zh-CN" w:eastAsia="zh-CN"/>
              </w:rPr>
              <w:t>分</w:t>
            </w:r>
          </w:p>
        </w:tc>
        <w:tc>
          <w:tcPr>
            <w:tcW w:w="3519" w:type="pct"/>
            <w:tcBorders>
              <w:top w:val="single" w:color="auto" w:sz="4" w:space="0"/>
              <w:left w:val="single" w:color="auto" w:sz="4" w:space="0"/>
            </w:tcBorders>
            <w:vAlign w:val="center"/>
          </w:tcPr>
          <w:p>
            <w:pPr>
              <w:spacing w:line="360" w:lineRule="auto"/>
              <w:jc w:val="left"/>
              <w:rPr>
                <w:rFonts w:hint="default" w:ascii="宋体" w:hAnsi="宋体" w:cs="仿宋"/>
                <w:sz w:val="24"/>
                <w:highlight w:val="none"/>
                <w:lang w:val="en-US" w:eastAsia="zh-CN"/>
              </w:rPr>
            </w:pPr>
            <w:r>
              <w:rPr>
                <w:rFonts w:hint="eastAsia" w:ascii="宋体" w:hAnsi="宋体" w:cs="仿宋"/>
                <w:sz w:val="24"/>
                <w:highlight w:val="none"/>
                <w:lang w:val="en-US" w:eastAsia="zh-CN"/>
              </w:rPr>
              <w:t>检定/校准资质覆盖所投包项目表所有设备类别的计30分，每缺一项扣3分，直至扣完为止（需按照采购需求表中的顺序一一标注）。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9" w:type="pct"/>
            <w:vMerge w:val="continue"/>
            <w:vAlign w:val="center"/>
          </w:tcPr>
          <w:p>
            <w:pPr>
              <w:spacing w:line="360" w:lineRule="auto"/>
              <w:jc w:val="center"/>
              <w:rPr>
                <w:rFonts w:hint="eastAsia" w:ascii="宋体" w:hAnsi="宋体" w:cs="仿宋"/>
                <w:sz w:val="24"/>
                <w:highlight w:val="none"/>
              </w:rPr>
            </w:pPr>
          </w:p>
        </w:tc>
        <w:tc>
          <w:tcPr>
            <w:tcW w:w="951" w:type="pct"/>
            <w:vAlign w:val="center"/>
          </w:tcPr>
          <w:p>
            <w:pPr>
              <w:spacing w:line="360" w:lineRule="auto"/>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相关检校设备</w:t>
            </w:r>
          </w:p>
          <w:p>
            <w:pPr>
              <w:spacing w:line="360" w:lineRule="auto"/>
              <w:jc w:val="center"/>
              <w:rPr>
                <w:rFonts w:hint="default" w:ascii="宋体" w:hAnsi="宋体" w:cs="宋体"/>
                <w:sz w:val="24"/>
                <w:highlight w:val="none"/>
                <w:lang w:val="en-US" w:eastAsia="zh-CN"/>
              </w:rPr>
            </w:pPr>
            <w:r>
              <w:rPr>
                <w:rFonts w:hint="eastAsia" w:ascii="宋体" w:hAnsi="宋体" w:cs="宋体"/>
                <w:sz w:val="24"/>
                <w:highlight w:val="none"/>
                <w:lang w:val="en-US" w:eastAsia="zh-CN"/>
              </w:rPr>
              <w:t>7分</w:t>
            </w:r>
          </w:p>
        </w:tc>
        <w:tc>
          <w:tcPr>
            <w:tcW w:w="3519" w:type="pct"/>
            <w:tcBorders>
              <w:top w:val="single" w:color="auto" w:sz="4" w:space="0"/>
              <w:left w:val="single" w:color="auto" w:sz="4" w:space="0"/>
            </w:tcBorders>
            <w:vAlign w:val="center"/>
          </w:tcPr>
          <w:p>
            <w:pPr>
              <w:spacing w:line="360" w:lineRule="auto"/>
              <w:jc w:val="left"/>
              <w:rPr>
                <w:rFonts w:hint="default" w:ascii="宋体" w:hAnsi="宋体" w:cs="仿宋"/>
                <w:sz w:val="24"/>
                <w:highlight w:val="none"/>
                <w:lang w:val="en-US" w:eastAsia="zh-CN"/>
              </w:rPr>
            </w:pPr>
            <w:r>
              <w:rPr>
                <w:rFonts w:hint="default" w:ascii="宋体" w:hAnsi="宋体" w:cs="仿宋"/>
                <w:sz w:val="24"/>
                <w:highlight w:val="none"/>
                <w:lang w:val="en-US" w:eastAsia="zh-CN"/>
              </w:rPr>
              <w:t>根据供应商提供的自有检校设备的购置发票或实验室实地照片等证明材料，进行评审：</w:t>
            </w:r>
          </w:p>
          <w:p>
            <w:pPr>
              <w:spacing w:line="360" w:lineRule="auto"/>
              <w:jc w:val="left"/>
              <w:rPr>
                <w:rFonts w:hint="default" w:ascii="宋体" w:hAnsi="宋体" w:cs="仿宋"/>
                <w:sz w:val="24"/>
                <w:highlight w:val="none"/>
                <w:lang w:val="en-US" w:eastAsia="zh-CN"/>
              </w:rPr>
            </w:pPr>
            <w:r>
              <w:rPr>
                <w:rFonts w:hint="default" w:ascii="宋体" w:hAnsi="宋体" w:cs="仿宋"/>
                <w:sz w:val="24"/>
                <w:highlight w:val="none"/>
                <w:lang w:val="en-US" w:eastAsia="zh-CN"/>
              </w:rPr>
              <w:t>A</w:t>
            </w:r>
            <w:r>
              <w:rPr>
                <w:rFonts w:hint="eastAsia" w:ascii="宋体" w:hAnsi="宋体" w:cs="仿宋"/>
                <w:sz w:val="24"/>
                <w:highlight w:val="none"/>
                <w:lang w:val="en-US" w:eastAsia="zh-CN"/>
              </w:rPr>
              <w:t>.</w:t>
            </w:r>
            <w:r>
              <w:rPr>
                <w:rFonts w:hint="default" w:ascii="宋体" w:hAnsi="宋体" w:cs="仿宋"/>
                <w:sz w:val="24"/>
                <w:highlight w:val="none"/>
                <w:lang w:val="en-US" w:eastAsia="zh-CN"/>
              </w:rPr>
              <w:t>自有检校设备性能先进，溯源合格，设备参数符合检定规程或校准规范要求的，得</w:t>
            </w:r>
            <w:r>
              <w:rPr>
                <w:rFonts w:hint="eastAsia" w:ascii="宋体" w:hAnsi="宋体" w:cs="仿宋"/>
                <w:sz w:val="24"/>
                <w:highlight w:val="none"/>
                <w:lang w:val="en-US" w:eastAsia="zh-CN"/>
              </w:rPr>
              <w:t>7</w:t>
            </w:r>
            <w:r>
              <w:rPr>
                <w:rFonts w:hint="default" w:ascii="宋体" w:hAnsi="宋体" w:cs="仿宋"/>
                <w:sz w:val="24"/>
                <w:highlight w:val="none"/>
                <w:lang w:val="en-US" w:eastAsia="zh-CN"/>
              </w:rPr>
              <w:t>分；</w:t>
            </w:r>
          </w:p>
          <w:p>
            <w:pPr>
              <w:spacing w:line="360" w:lineRule="auto"/>
              <w:jc w:val="left"/>
              <w:rPr>
                <w:rFonts w:hint="default" w:ascii="宋体" w:hAnsi="宋体" w:cs="仿宋"/>
                <w:sz w:val="24"/>
                <w:highlight w:val="none"/>
                <w:lang w:val="en-US" w:eastAsia="zh-CN"/>
              </w:rPr>
            </w:pPr>
            <w:r>
              <w:rPr>
                <w:rFonts w:hint="default" w:ascii="宋体" w:hAnsi="宋体" w:cs="仿宋"/>
                <w:sz w:val="24"/>
                <w:highlight w:val="none"/>
                <w:lang w:val="en-US" w:eastAsia="zh-CN"/>
              </w:rPr>
              <w:t>B</w:t>
            </w:r>
            <w:r>
              <w:rPr>
                <w:rFonts w:hint="eastAsia" w:ascii="宋体" w:hAnsi="宋体" w:cs="仿宋"/>
                <w:sz w:val="24"/>
                <w:highlight w:val="none"/>
                <w:lang w:val="en-US" w:eastAsia="zh-CN"/>
              </w:rPr>
              <w:t>.</w:t>
            </w:r>
            <w:r>
              <w:rPr>
                <w:rFonts w:hint="default" w:ascii="宋体" w:hAnsi="宋体" w:cs="仿宋"/>
                <w:sz w:val="24"/>
                <w:highlight w:val="none"/>
                <w:lang w:val="en-US" w:eastAsia="zh-CN"/>
              </w:rPr>
              <w:t>自有检校设备性能良好，数量满足项目实际需求，符合相关行业规范要求，得</w:t>
            </w:r>
            <w:r>
              <w:rPr>
                <w:rFonts w:hint="eastAsia" w:ascii="宋体" w:hAnsi="宋体" w:cs="仿宋"/>
                <w:sz w:val="24"/>
                <w:highlight w:val="none"/>
                <w:lang w:val="en-US" w:eastAsia="zh-CN"/>
              </w:rPr>
              <w:t>5</w:t>
            </w:r>
            <w:r>
              <w:rPr>
                <w:rFonts w:hint="default" w:ascii="宋体" w:hAnsi="宋体" w:cs="仿宋"/>
                <w:sz w:val="24"/>
                <w:highlight w:val="none"/>
                <w:lang w:val="en-US" w:eastAsia="zh-CN"/>
              </w:rPr>
              <w:t>分；</w:t>
            </w:r>
          </w:p>
          <w:p>
            <w:pPr>
              <w:spacing w:line="360" w:lineRule="auto"/>
              <w:jc w:val="left"/>
              <w:rPr>
                <w:rFonts w:hint="default" w:ascii="宋体" w:hAnsi="宋体" w:cs="仿宋"/>
                <w:sz w:val="24"/>
                <w:highlight w:val="none"/>
                <w:lang w:val="en-US" w:eastAsia="zh-CN"/>
              </w:rPr>
            </w:pPr>
            <w:r>
              <w:rPr>
                <w:rFonts w:hint="default" w:ascii="宋体" w:hAnsi="宋体" w:cs="仿宋"/>
                <w:sz w:val="24"/>
                <w:highlight w:val="none"/>
                <w:lang w:val="en-US" w:eastAsia="zh-CN"/>
              </w:rPr>
              <w:t>C</w:t>
            </w:r>
            <w:r>
              <w:rPr>
                <w:rFonts w:hint="eastAsia" w:ascii="宋体" w:hAnsi="宋体" w:cs="仿宋"/>
                <w:sz w:val="24"/>
                <w:highlight w:val="none"/>
                <w:lang w:val="en-US" w:eastAsia="zh-CN"/>
              </w:rPr>
              <w:t>.</w:t>
            </w:r>
            <w:r>
              <w:rPr>
                <w:rFonts w:hint="default" w:ascii="宋体" w:hAnsi="宋体" w:cs="仿宋"/>
                <w:sz w:val="24"/>
                <w:highlight w:val="none"/>
                <w:lang w:val="en-US" w:eastAsia="zh-CN"/>
              </w:rPr>
              <w:t>自有检校设备性能较差，数量仅能基本满足项目需求，得</w:t>
            </w:r>
            <w:r>
              <w:rPr>
                <w:rFonts w:hint="eastAsia" w:ascii="宋体" w:hAnsi="宋体" w:cs="仿宋"/>
                <w:sz w:val="24"/>
                <w:highlight w:val="none"/>
                <w:lang w:val="en-US" w:eastAsia="zh-CN"/>
              </w:rPr>
              <w:t>3</w:t>
            </w:r>
            <w:r>
              <w:rPr>
                <w:rFonts w:hint="default" w:ascii="宋体" w:hAnsi="宋体" w:cs="仿宋"/>
                <w:sz w:val="24"/>
                <w:highlight w:val="none"/>
                <w:lang w:val="en-US" w:eastAsia="zh-CN"/>
              </w:rPr>
              <w:t>分。</w:t>
            </w:r>
          </w:p>
          <w:p>
            <w:pPr>
              <w:spacing w:line="360" w:lineRule="auto"/>
              <w:jc w:val="left"/>
              <w:rPr>
                <w:rFonts w:hint="eastAsia" w:ascii="宋体" w:hAnsi="宋体" w:cs="仿宋"/>
                <w:sz w:val="24"/>
                <w:highlight w:val="none"/>
                <w:lang w:val="en-US" w:eastAsia="zh-CN"/>
              </w:rPr>
            </w:pPr>
            <w:r>
              <w:rPr>
                <w:rFonts w:hint="eastAsia" w:ascii="宋体" w:hAnsi="宋体" w:cs="仿宋"/>
                <w:sz w:val="24"/>
                <w:highlight w:val="none"/>
                <w:lang w:val="en-US" w:eastAsia="zh-CN"/>
              </w:rPr>
              <w:t>D.未提供不得分。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9" w:type="pct"/>
            <w:vMerge w:val="continue"/>
            <w:vAlign w:val="center"/>
          </w:tcPr>
          <w:p>
            <w:pPr>
              <w:spacing w:line="360" w:lineRule="auto"/>
              <w:jc w:val="center"/>
              <w:rPr>
                <w:rFonts w:ascii="宋体" w:hAnsi="宋体" w:cs="仿宋"/>
                <w:sz w:val="24"/>
                <w:highlight w:val="none"/>
              </w:rPr>
            </w:pPr>
          </w:p>
        </w:tc>
        <w:tc>
          <w:tcPr>
            <w:tcW w:w="951" w:type="pct"/>
            <w:vAlign w:val="center"/>
          </w:tcPr>
          <w:p>
            <w:pPr>
              <w:spacing w:line="360" w:lineRule="auto"/>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拟派团队成员情况</w:t>
            </w:r>
          </w:p>
          <w:p>
            <w:pPr>
              <w:spacing w:line="360" w:lineRule="auto"/>
              <w:jc w:val="center"/>
              <w:rPr>
                <w:rFonts w:hint="default" w:ascii="宋体" w:hAnsi="宋体" w:cs="宋体"/>
                <w:sz w:val="24"/>
                <w:highlight w:val="none"/>
                <w:lang w:val="en-US" w:eastAsia="zh-CN"/>
              </w:rPr>
            </w:pPr>
            <w:r>
              <w:rPr>
                <w:rFonts w:hint="eastAsia" w:ascii="宋体" w:hAnsi="宋体" w:cs="宋体"/>
                <w:sz w:val="24"/>
                <w:highlight w:val="none"/>
                <w:lang w:val="en-US" w:eastAsia="zh-CN"/>
              </w:rPr>
              <w:t>7分</w:t>
            </w:r>
          </w:p>
        </w:tc>
        <w:tc>
          <w:tcPr>
            <w:tcW w:w="3519" w:type="pct"/>
            <w:tcBorders>
              <w:top w:val="single" w:color="auto" w:sz="4" w:space="0"/>
            </w:tcBorders>
            <w:vAlign w:val="center"/>
          </w:tcPr>
          <w:p>
            <w:pPr>
              <w:spacing w:line="360" w:lineRule="auto"/>
              <w:jc w:val="left"/>
              <w:rPr>
                <w:rFonts w:hint="eastAsia" w:ascii="宋体" w:hAnsi="宋体" w:cs="仿宋"/>
                <w:sz w:val="24"/>
                <w:highlight w:val="none"/>
                <w:lang w:val="en-US" w:eastAsia="zh-CN"/>
              </w:rPr>
            </w:pPr>
            <w:r>
              <w:rPr>
                <w:rFonts w:hint="eastAsia" w:ascii="宋体" w:hAnsi="宋体" w:cs="仿宋"/>
                <w:sz w:val="24"/>
                <w:highlight w:val="none"/>
                <w:lang w:val="en-US" w:eastAsia="zh-CN"/>
              </w:rPr>
              <w:t>对响应人提供的团队人员整体配备情况进行综合评价：</w:t>
            </w:r>
          </w:p>
          <w:p>
            <w:pPr>
              <w:spacing w:line="360" w:lineRule="auto"/>
              <w:jc w:val="left"/>
              <w:rPr>
                <w:rFonts w:hint="eastAsia" w:ascii="宋体" w:hAnsi="宋体" w:cs="仿宋"/>
                <w:sz w:val="24"/>
                <w:highlight w:val="none"/>
                <w:lang w:val="en-US" w:eastAsia="zh-CN"/>
              </w:rPr>
            </w:pPr>
            <w:r>
              <w:rPr>
                <w:rFonts w:hint="eastAsia" w:ascii="宋体" w:hAnsi="宋体" w:cs="仿宋"/>
                <w:sz w:val="24"/>
                <w:highlight w:val="none"/>
                <w:lang w:val="en-US" w:eastAsia="zh-CN"/>
              </w:rPr>
              <w:t>A.为本项目配置的人员数量充足（4人及以上），团队整体资质水平高，以往服务经验丰富，服务能力强，服务团队人员稳定切措施完善、可操作性强，得7分；</w:t>
            </w:r>
          </w:p>
          <w:p>
            <w:pPr>
              <w:spacing w:line="360" w:lineRule="auto"/>
              <w:jc w:val="left"/>
              <w:rPr>
                <w:rFonts w:hint="eastAsia" w:ascii="宋体" w:hAnsi="宋体" w:cs="仿宋"/>
                <w:sz w:val="24"/>
                <w:highlight w:val="none"/>
                <w:lang w:val="en-US" w:eastAsia="zh-CN"/>
              </w:rPr>
            </w:pPr>
            <w:r>
              <w:rPr>
                <w:rFonts w:hint="eastAsia" w:ascii="宋体" w:hAnsi="宋体" w:cs="仿宋"/>
                <w:sz w:val="24"/>
                <w:highlight w:val="none"/>
                <w:lang w:val="en-US" w:eastAsia="zh-CN"/>
              </w:rPr>
              <w:t>B.为本项目配置的人员比较齐全（3人及以上），团队整体资质水平较高，以往服务经验较丰富，服务团队人员比较稳定且措施比较完善、可操作性较强，但有瑕疵，得5分；</w:t>
            </w:r>
          </w:p>
          <w:p>
            <w:pPr>
              <w:spacing w:line="360" w:lineRule="auto"/>
              <w:jc w:val="left"/>
              <w:rPr>
                <w:rFonts w:hint="eastAsia" w:ascii="宋体" w:hAnsi="宋体" w:cs="仿宋"/>
                <w:sz w:val="24"/>
                <w:highlight w:val="none"/>
                <w:lang w:val="en-US" w:eastAsia="zh-CN"/>
              </w:rPr>
            </w:pPr>
            <w:r>
              <w:rPr>
                <w:rFonts w:hint="eastAsia" w:ascii="宋体" w:hAnsi="宋体" w:cs="仿宋"/>
                <w:sz w:val="24"/>
                <w:highlight w:val="none"/>
                <w:lang w:val="en-US" w:eastAsia="zh-CN"/>
              </w:rPr>
              <w:t>C.为本项目配置的人员数量不足或资质水平较差，无法保障团队服务人员的稳定性，或存在明显问题，得3分；</w:t>
            </w:r>
          </w:p>
          <w:p>
            <w:pPr>
              <w:spacing w:line="360" w:lineRule="auto"/>
              <w:jc w:val="left"/>
              <w:rPr>
                <w:rFonts w:hint="eastAsia" w:ascii="宋体" w:hAnsi="宋体" w:cs="仿宋"/>
                <w:sz w:val="24"/>
                <w:highlight w:val="none"/>
                <w:lang w:val="en-US" w:eastAsia="zh-CN"/>
              </w:rPr>
            </w:pPr>
            <w:r>
              <w:rPr>
                <w:rFonts w:hint="eastAsia" w:ascii="宋体" w:hAnsi="宋体" w:cs="仿宋"/>
                <w:sz w:val="24"/>
                <w:highlight w:val="none"/>
                <w:lang w:val="en-US" w:eastAsia="zh-CN"/>
              </w:rPr>
              <w:t>D.未提供不得分。</w:t>
            </w:r>
          </w:p>
          <w:p>
            <w:pPr>
              <w:spacing w:line="360" w:lineRule="auto"/>
              <w:jc w:val="left"/>
              <w:rPr>
                <w:rFonts w:hint="default" w:ascii="宋体" w:hAnsi="宋体" w:cs="仿宋"/>
                <w:sz w:val="24"/>
                <w:highlight w:val="none"/>
                <w:lang w:val="en-US" w:eastAsia="zh-CN"/>
              </w:rPr>
            </w:pPr>
            <w:r>
              <w:rPr>
                <w:rFonts w:hint="eastAsia" w:ascii="宋体" w:hAnsi="宋体" w:cs="仿宋"/>
                <w:sz w:val="24"/>
                <w:highlight w:val="none"/>
                <w:lang w:val="en-US" w:eastAsia="zh-CN"/>
              </w:rPr>
              <w:t>注：所有团队人员需提供当前参保单位为响应人的三个月以上的社会保险参保证明一份。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7" w:hRule="atLeast"/>
        </w:trPr>
        <w:tc>
          <w:tcPr>
            <w:tcW w:w="529" w:type="pct"/>
            <w:vMerge w:val="continue"/>
            <w:vAlign w:val="center"/>
          </w:tcPr>
          <w:p>
            <w:pPr>
              <w:spacing w:line="360" w:lineRule="auto"/>
              <w:jc w:val="center"/>
              <w:rPr>
                <w:rFonts w:ascii="宋体" w:hAnsi="宋体" w:cs="仿宋"/>
                <w:sz w:val="24"/>
                <w:highlight w:val="none"/>
              </w:rPr>
            </w:pPr>
          </w:p>
        </w:tc>
        <w:tc>
          <w:tcPr>
            <w:tcW w:w="951" w:type="pct"/>
            <w:vAlign w:val="center"/>
          </w:tcPr>
          <w:p>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企业内部</w:t>
            </w:r>
          </w:p>
          <w:p>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管理制度</w:t>
            </w:r>
          </w:p>
          <w:p>
            <w:pPr>
              <w:spacing w:line="360" w:lineRule="auto"/>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4分</w:t>
            </w:r>
          </w:p>
        </w:tc>
        <w:tc>
          <w:tcPr>
            <w:tcW w:w="3519" w:type="pct"/>
            <w:vAlign w:val="center"/>
          </w:tcPr>
          <w:p>
            <w:pPr>
              <w:spacing w:line="360" w:lineRule="auto"/>
              <w:rPr>
                <w:rFonts w:hint="eastAsia"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对响应人提供的公司各项内部管理制度（包含但不限于质量管理制度、人员培训制度及考核方案、服务管理制度等）进行综合评价：</w:t>
            </w:r>
          </w:p>
          <w:p>
            <w:pPr>
              <w:spacing w:line="360" w:lineRule="auto"/>
              <w:rPr>
                <w:rFonts w:hint="eastAsia"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A.管理制度全面详实、高效，得</w:t>
            </w:r>
            <w:r>
              <w:rPr>
                <w:rFonts w:hint="eastAsia" w:ascii="宋体" w:hAnsi="宋体" w:cs="宋体"/>
                <w:color w:val="000000" w:themeColor="text1"/>
                <w:sz w:val="24"/>
                <w:szCs w:val="24"/>
                <w:highlight w:val="none"/>
                <w:lang w:val="en-US" w:eastAsia="zh-CN"/>
                <w14:textFill>
                  <w14:solidFill>
                    <w14:schemeClr w14:val="tx1"/>
                  </w14:solidFill>
                </w14:textFill>
              </w:rPr>
              <w:t>4</w:t>
            </w:r>
            <w:r>
              <w:rPr>
                <w:rFonts w:hint="eastAsia" w:ascii="宋体" w:hAnsi="宋体" w:cs="宋体"/>
                <w:color w:val="000000" w:themeColor="text1"/>
                <w:sz w:val="24"/>
                <w:szCs w:val="24"/>
                <w:highlight w:val="none"/>
                <w:lang w:val="zh-CN"/>
                <w14:textFill>
                  <w14:solidFill>
                    <w14:schemeClr w14:val="tx1"/>
                  </w14:solidFill>
                </w14:textFill>
              </w:rPr>
              <w:t>分；</w:t>
            </w:r>
          </w:p>
          <w:p>
            <w:pPr>
              <w:spacing w:line="360" w:lineRule="auto"/>
              <w:rPr>
                <w:rFonts w:hint="eastAsia"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B.管理制度比较全面详实，但有瑕疵或存在问题，得</w:t>
            </w: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cs="宋体"/>
                <w:color w:val="000000" w:themeColor="text1"/>
                <w:sz w:val="24"/>
                <w:szCs w:val="24"/>
                <w:highlight w:val="none"/>
                <w:lang w:val="zh-CN"/>
                <w14:textFill>
                  <w14:solidFill>
                    <w14:schemeClr w14:val="tx1"/>
                  </w14:solidFill>
                </w14:textFill>
              </w:rPr>
              <w:t>分；</w:t>
            </w:r>
          </w:p>
          <w:p>
            <w:pPr>
              <w:spacing w:line="360" w:lineRule="auto"/>
              <w:rPr>
                <w:rFonts w:hint="eastAsia"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C.管理制度内容不全、粗陋</w:t>
            </w:r>
            <w:r>
              <w:rPr>
                <w:rFonts w:hint="eastAsia" w:ascii="宋体" w:hAnsi="宋体" w:cs="宋体"/>
                <w:color w:val="000000" w:themeColor="text1"/>
                <w:sz w:val="24"/>
                <w:szCs w:val="24"/>
                <w:highlight w:val="none"/>
                <w:lang w:val="en-US" w:eastAsia="zh-CN"/>
                <w14:textFill>
                  <w14:solidFill>
                    <w14:schemeClr w14:val="tx1"/>
                  </w14:solidFill>
                </w14:textFill>
              </w:rPr>
              <w:t>或</w:t>
            </w:r>
            <w:r>
              <w:rPr>
                <w:rFonts w:hint="eastAsia" w:ascii="宋体" w:hAnsi="宋体" w:cs="宋体"/>
                <w:color w:val="000000" w:themeColor="text1"/>
                <w:sz w:val="24"/>
                <w:szCs w:val="24"/>
                <w:highlight w:val="none"/>
                <w:lang w:val="zh-CN"/>
                <w14:textFill>
                  <w14:solidFill>
                    <w14:schemeClr w14:val="tx1"/>
                  </w14:solidFill>
                </w14:textFill>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trPr>
        <w:tc>
          <w:tcPr>
            <w:tcW w:w="529" w:type="pct"/>
            <w:vMerge w:val="continue"/>
            <w:tcBorders>
              <w:bottom w:val="nil"/>
            </w:tcBorders>
            <w:vAlign w:val="center"/>
          </w:tcPr>
          <w:p>
            <w:pPr>
              <w:spacing w:line="360" w:lineRule="auto"/>
              <w:jc w:val="center"/>
              <w:rPr>
                <w:rFonts w:ascii="宋体" w:hAnsi="宋体" w:cs="仿宋"/>
                <w:sz w:val="24"/>
                <w:highlight w:val="none"/>
              </w:rPr>
            </w:pPr>
          </w:p>
        </w:tc>
        <w:tc>
          <w:tcPr>
            <w:tcW w:w="951" w:type="pct"/>
            <w:vAlign w:val="center"/>
          </w:tcPr>
          <w:p>
            <w:pPr>
              <w:spacing w:line="360" w:lineRule="auto"/>
              <w:jc w:val="center"/>
              <w:rPr>
                <w:rFonts w:hint="eastAsia" w:ascii="宋体" w:hAnsi="宋体" w:cs="宋体"/>
                <w:sz w:val="24"/>
                <w:szCs w:val="24"/>
                <w:highlight w:val="none"/>
                <w:lang w:val="zh-CN" w:eastAsia="zh-CN"/>
              </w:rPr>
            </w:pPr>
            <w:r>
              <w:rPr>
                <w:rFonts w:hint="eastAsia" w:ascii="宋体" w:hAnsi="宋体" w:cs="宋体"/>
                <w:sz w:val="24"/>
                <w:szCs w:val="24"/>
                <w:highlight w:val="none"/>
                <w:lang w:val="zh-CN" w:eastAsia="zh-CN"/>
              </w:rPr>
              <w:t>实施方案</w:t>
            </w:r>
          </w:p>
          <w:p>
            <w:pPr>
              <w:spacing w:line="360" w:lineRule="auto"/>
              <w:jc w:val="center"/>
              <w:rPr>
                <w:rFonts w:hint="eastAsia" w:ascii="宋体" w:hAnsi="宋体" w:cs="宋体"/>
                <w:sz w:val="24"/>
                <w:szCs w:val="24"/>
                <w:highlight w:val="none"/>
                <w:lang w:val="zh-CN" w:eastAsia="zh-CN"/>
              </w:rPr>
            </w:pPr>
            <w:r>
              <w:rPr>
                <w:rFonts w:hint="eastAsia" w:ascii="宋体" w:hAnsi="宋体" w:cs="宋体"/>
                <w:sz w:val="24"/>
                <w:szCs w:val="24"/>
                <w:highlight w:val="none"/>
                <w:lang w:val="en-US" w:eastAsia="zh-CN"/>
              </w:rPr>
              <w:t>7</w:t>
            </w:r>
            <w:r>
              <w:rPr>
                <w:rFonts w:hint="eastAsia" w:ascii="宋体" w:hAnsi="宋体" w:cs="宋体"/>
                <w:sz w:val="24"/>
                <w:szCs w:val="24"/>
                <w:highlight w:val="none"/>
                <w:lang w:val="zh-CN" w:eastAsia="zh-CN"/>
              </w:rPr>
              <w:t>分</w:t>
            </w:r>
          </w:p>
        </w:tc>
        <w:tc>
          <w:tcPr>
            <w:tcW w:w="3519" w:type="pct"/>
            <w:vAlign w:val="center"/>
          </w:tcPr>
          <w:p>
            <w:pPr>
              <w:spacing w:line="360" w:lineRule="auto"/>
              <w:rPr>
                <w:rFonts w:hint="eastAsia" w:ascii="宋体" w:hAnsi="宋体" w:cs="宋体"/>
                <w:color w:val="000000" w:themeColor="text1"/>
                <w:sz w:val="24"/>
                <w:szCs w:val="24"/>
                <w:highlight w:val="none"/>
                <w:lang w:val="zh-CN" w:eastAsia="zh-CN"/>
                <w14:textFill>
                  <w14:solidFill>
                    <w14:schemeClr w14:val="tx1"/>
                  </w14:solidFill>
                </w14:textFill>
              </w:rPr>
            </w:pPr>
            <w:r>
              <w:rPr>
                <w:rFonts w:hint="eastAsia" w:ascii="宋体" w:hAnsi="宋体" w:cs="宋体"/>
                <w:color w:val="000000" w:themeColor="text1"/>
                <w:sz w:val="24"/>
                <w:szCs w:val="24"/>
                <w:highlight w:val="none"/>
                <w:lang w:val="zh-CN" w:eastAsia="zh-CN"/>
                <w14:textFill>
                  <w14:solidFill>
                    <w14:schemeClr w14:val="tx1"/>
                  </w14:solidFill>
                </w14:textFill>
              </w:rPr>
              <w:t>对响应人提供的</w:t>
            </w:r>
            <w:r>
              <w:rPr>
                <w:rFonts w:hint="eastAsia" w:ascii="宋体" w:hAnsi="宋体" w:cs="宋体"/>
                <w:color w:val="000000" w:themeColor="text1"/>
                <w:sz w:val="24"/>
                <w:szCs w:val="24"/>
                <w:highlight w:val="none"/>
                <w:lang w:val="en-US" w:eastAsia="zh-CN"/>
                <w14:textFill>
                  <w14:solidFill>
                    <w14:schemeClr w14:val="tx1"/>
                  </w14:solidFill>
                </w14:textFill>
              </w:rPr>
              <w:t>实施方案(</w:t>
            </w:r>
            <w:r>
              <w:rPr>
                <w:rFonts w:hint="eastAsia" w:ascii="宋体" w:hAnsi="宋体" w:cs="宋体"/>
                <w:color w:val="000000" w:themeColor="text1"/>
                <w:sz w:val="24"/>
                <w:szCs w:val="24"/>
                <w:highlight w:val="none"/>
                <w:lang w:val="zh-CN" w:eastAsia="zh-CN"/>
                <w14:textFill>
                  <w14:solidFill>
                    <w14:schemeClr w14:val="tx1"/>
                  </w14:solidFill>
                </w14:textFill>
              </w:rPr>
              <w:t>检校实施方案，质量及售后保证、检校周期进度计划的合理性，响应人在技术支持、快速响应时间等方面</w:t>
            </w:r>
            <w:r>
              <w:rPr>
                <w:rFonts w:hint="eastAsia" w:ascii="宋体" w:hAnsi="宋体" w:cs="宋体"/>
                <w:color w:val="000000" w:themeColor="text1"/>
                <w:sz w:val="24"/>
                <w:szCs w:val="24"/>
                <w:highlight w:val="none"/>
                <w:lang w:val="en-US" w:eastAsia="zh-CN"/>
                <w14:textFill>
                  <w14:solidFill>
                    <w14:schemeClr w14:val="tx1"/>
                  </w14:solidFill>
                </w14:textFill>
              </w:rPr>
              <w:t>)</w:t>
            </w:r>
            <w:r>
              <w:rPr>
                <w:rFonts w:hint="eastAsia" w:ascii="宋体" w:hAnsi="宋体" w:cs="宋体"/>
                <w:color w:val="000000" w:themeColor="text1"/>
                <w:sz w:val="24"/>
                <w:szCs w:val="24"/>
                <w:highlight w:val="none"/>
                <w:lang w:val="zh-CN" w:eastAsia="zh-CN"/>
                <w14:textFill>
                  <w14:solidFill>
                    <w14:schemeClr w14:val="tx1"/>
                  </w14:solidFill>
                </w14:textFill>
              </w:rPr>
              <w:t>进行综合评分：</w:t>
            </w:r>
          </w:p>
          <w:p>
            <w:pPr>
              <w:spacing w:line="360" w:lineRule="auto"/>
              <w:rPr>
                <w:rFonts w:hint="eastAsia" w:ascii="宋体" w:hAnsi="宋体" w:cs="宋体"/>
                <w:color w:val="000000" w:themeColor="text1"/>
                <w:sz w:val="24"/>
                <w:szCs w:val="24"/>
                <w:highlight w:val="none"/>
                <w:lang w:val="zh-CN" w:eastAsia="zh-CN"/>
                <w14:textFill>
                  <w14:solidFill>
                    <w14:schemeClr w14:val="tx1"/>
                  </w14:solidFill>
                </w14:textFill>
              </w:rPr>
            </w:pPr>
            <w:r>
              <w:rPr>
                <w:rFonts w:hint="eastAsia" w:ascii="宋体" w:hAnsi="宋体" w:cs="宋体"/>
                <w:color w:val="000000" w:themeColor="text1"/>
                <w:sz w:val="24"/>
                <w:szCs w:val="24"/>
                <w:highlight w:val="none"/>
                <w:lang w:val="zh-CN" w:eastAsia="zh-CN"/>
                <w14:textFill>
                  <w14:solidFill>
                    <w14:schemeClr w14:val="tx1"/>
                  </w14:solidFill>
                </w14:textFill>
              </w:rPr>
              <w:t>A.方案针对性强，措施完善，进度安排合理、可行，表述清晰，得</w:t>
            </w:r>
            <w:r>
              <w:rPr>
                <w:rFonts w:hint="eastAsia" w:ascii="宋体" w:hAnsi="宋体" w:cs="宋体"/>
                <w:color w:val="000000" w:themeColor="text1"/>
                <w:sz w:val="24"/>
                <w:szCs w:val="24"/>
                <w:highlight w:val="none"/>
                <w:lang w:val="en-US" w:eastAsia="zh-CN"/>
                <w14:textFill>
                  <w14:solidFill>
                    <w14:schemeClr w14:val="tx1"/>
                  </w14:solidFill>
                </w14:textFill>
              </w:rPr>
              <w:t>7</w:t>
            </w:r>
            <w:r>
              <w:rPr>
                <w:rFonts w:hint="eastAsia" w:ascii="宋体" w:hAnsi="宋体" w:cs="宋体"/>
                <w:color w:val="000000" w:themeColor="text1"/>
                <w:sz w:val="24"/>
                <w:szCs w:val="24"/>
                <w:highlight w:val="none"/>
                <w:lang w:val="zh-CN" w:eastAsia="zh-CN"/>
                <w14:textFill>
                  <w14:solidFill>
                    <w14:schemeClr w14:val="tx1"/>
                  </w14:solidFill>
                </w14:textFill>
              </w:rPr>
              <w:t>分；</w:t>
            </w:r>
          </w:p>
          <w:p>
            <w:pPr>
              <w:spacing w:line="360" w:lineRule="auto"/>
              <w:rPr>
                <w:rFonts w:hint="eastAsia" w:ascii="宋体" w:hAnsi="宋体" w:cs="宋体"/>
                <w:color w:val="000000" w:themeColor="text1"/>
                <w:sz w:val="24"/>
                <w:szCs w:val="24"/>
                <w:highlight w:val="none"/>
                <w:lang w:val="zh-CN" w:eastAsia="zh-CN"/>
                <w14:textFill>
                  <w14:solidFill>
                    <w14:schemeClr w14:val="tx1"/>
                  </w14:solidFill>
                </w14:textFill>
              </w:rPr>
            </w:pPr>
            <w:r>
              <w:rPr>
                <w:rFonts w:hint="eastAsia" w:ascii="宋体" w:hAnsi="宋体" w:cs="宋体"/>
                <w:color w:val="000000" w:themeColor="text1"/>
                <w:sz w:val="24"/>
                <w:szCs w:val="24"/>
                <w:highlight w:val="none"/>
                <w:lang w:val="zh-CN" w:eastAsia="zh-CN"/>
                <w14:textFill>
                  <w14:solidFill>
                    <w14:schemeClr w14:val="tx1"/>
                  </w14:solidFill>
                </w14:textFill>
              </w:rPr>
              <w:t>B.方案针对性较强，措施较为完善，进度安排比较合理、可行，表述比较清晰，但有瑕疵，得</w:t>
            </w:r>
            <w:r>
              <w:rPr>
                <w:rFonts w:hint="eastAsia" w:ascii="宋体" w:hAnsi="宋体" w:cs="宋体"/>
                <w:color w:val="000000" w:themeColor="text1"/>
                <w:sz w:val="24"/>
                <w:szCs w:val="24"/>
                <w:highlight w:val="none"/>
                <w:lang w:val="en-US" w:eastAsia="zh-CN"/>
                <w14:textFill>
                  <w14:solidFill>
                    <w14:schemeClr w14:val="tx1"/>
                  </w14:solidFill>
                </w14:textFill>
              </w:rPr>
              <w:t>5</w:t>
            </w:r>
            <w:r>
              <w:rPr>
                <w:rFonts w:hint="eastAsia" w:ascii="宋体" w:hAnsi="宋体" w:cs="宋体"/>
                <w:color w:val="000000" w:themeColor="text1"/>
                <w:sz w:val="24"/>
                <w:szCs w:val="24"/>
                <w:highlight w:val="none"/>
                <w:lang w:val="zh-CN" w:eastAsia="zh-CN"/>
                <w14:textFill>
                  <w14:solidFill>
                    <w14:schemeClr w14:val="tx1"/>
                  </w14:solidFill>
                </w14:textFill>
              </w:rPr>
              <w:t>分；</w:t>
            </w:r>
          </w:p>
          <w:p>
            <w:pPr>
              <w:spacing w:line="360" w:lineRule="auto"/>
              <w:rPr>
                <w:rFonts w:hint="eastAsia" w:ascii="宋体" w:hAnsi="宋体" w:cs="宋体"/>
                <w:color w:val="000000" w:themeColor="text1"/>
                <w:sz w:val="24"/>
                <w:szCs w:val="24"/>
                <w:highlight w:val="none"/>
                <w:lang w:val="zh-CN" w:eastAsia="zh-CN"/>
                <w14:textFill>
                  <w14:solidFill>
                    <w14:schemeClr w14:val="tx1"/>
                  </w14:solidFill>
                </w14:textFill>
              </w:rPr>
            </w:pPr>
            <w:r>
              <w:rPr>
                <w:rFonts w:hint="eastAsia" w:ascii="宋体" w:hAnsi="宋体" w:cs="宋体"/>
                <w:color w:val="000000" w:themeColor="text1"/>
                <w:sz w:val="24"/>
                <w:szCs w:val="24"/>
                <w:highlight w:val="none"/>
                <w:lang w:val="zh-CN" w:eastAsia="zh-CN"/>
                <w14:textFill>
                  <w14:solidFill>
                    <w14:schemeClr w14:val="tx1"/>
                  </w14:solidFill>
                </w14:textFill>
              </w:rPr>
              <w:t>C.方案具有一定的针对性，措施、进度安排比较简单，表述不够清晰，存在少量问题，得</w:t>
            </w: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cs="宋体"/>
                <w:color w:val="000000" w:themeColor="text1"/>
                <w:sz w:val="24"/>
                <w:szCs w:val="24"/>
                <w:highlight w:val="none"/>
                <w:lang w:val="zh-CN" w:eastAsia="zh-CN"/>
                <w14:textFill>
                  <w14:solidFill>
                    <w14:schemeClr w14:val="tx1"/>
                  </w14:solidFill>
                </w14:textFill>
              </w:rPr>
              <w:t>分；</w:t>
            </w:r>
          </w:p>
          <w:p>
            <w:pPr>
              <w:spacing w:line="360" w:lineRule="auto"/>
              <w:rPr>
                <w:rFonts w:hint="eastAsia" w:ascii="宋体" w:hAnsi="宋体" w:cs="宋体"/>
                <w:color w:val="000000" w:themeColor="text1"/>
                <w:sz w:val="24"/>
                <w:szCs w:val="24"/>
                <w:highlight w:val="none"/>
                <w:lang w:val="zh-CN" w:eastAsia="zh-CN"/>
                <w14:textFill>
                  <w14:solidFill>
                    <w14:schemeClr w14:val="tx1"/>
                  </w14:solidFill>
                </w14:textFill>
              </w:rPr>
            </w:pPr>
            <w:r>
              <w:rPr>
                <w:rFonts w:hint="eastAsia" w:ascii="宋体" w:hAnsi="宋体" w:cs="宋体"/>
                <w:color w:val="000000" w:themeColor="text1"/>
                <w:sz w:val="24"/>
                <w:szCs w:val="24"/>
                <w:highlight w:val="none"/>
                <w:lang w:val="zh-CN" w:eastAsia="zh-CN"/>
                <w14:textFill>
                  <w14:solidFill>
                    <w14:schemeClr w14:val="tx1"/>
                  </w14:solidFill>
                </w14:textFill>
              </w:rPr>
              <w:t>D.方案缺乏针对性，措施不完善，进度安排不合理，表述含糊，或方案缺失，得0分。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9" w:type="pct"/>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仿宋"/>
                <w:sz w:val="24"/>
                <w:highlight w:val="none"/>
              </w:rPr>
            </w:pPr>
          </w:p>
        </w:tc>
        <w:tc>
          <w:tcPr>
            <w:tcW w:w="951" w:type="pct"/>
            <w:tcBorders>
              <w:left w:val="single" w:color="auto" w:sz="4" w:space="0"/>
            </w:tcBorders>
            <w:vAlign w:val="center"/>
          </w:tcPr>
          <w:p>
            <w:pPr>
              <w:spacing w:line="360" w:lineRule="auto"/>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疫情防控方案</w:t>
            </w:r>
          </w:p>
          <w:p>
            <w:pPr>
              <w:spacing w:line="360" w:lineRule="auto"/>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4分</w:t>
            </w:r>
          </w:p>
        </w:tc>
        <w:tc>
          <w:tcPr>
            <w:tcW w:w="3519" w:type="pct"/>
            <w:vAlign w:val="center"/>
          </w:tcPr>
          <w:p>
            <w:pPr>
              <w:spacing w:line="360" w:lineRule="auto"/>
              <w:rPr>
                <w:rFonts w:hint="eastAsia" w:ascii="宋体" w:hAnsi="宋体" w:cs="宋体"/>
                <w:color w:val="000000" w:themeColor="text1"/>
                <w:sz w:val="24"/>
                <w:szCs w:val="24"/>
                <w:highlight w:val="none"/>
                <w:lang w:val="zh-CN" w:eastAsia="zh-CN"/>
                <w14:textFill>
                  <w14:solidFill>
                    <w14:schemeClr w14:val="tx1"/>
                  </w14:solidFill>
                </w14:textFill>
              </w:rPr>
            </w:pPr>
            <w:r>
              <w:rPr>
                <w:rFonts w:hint="default" w:ascii="宋体" w:hAnsi="宋体" w:cs="宋体"/>
                <w:color w:val="000000" w:themeColor="text1"/>
                <w:sz w:val="24"/>
                <w:szCs w:val="24"/>
                <w:highlight w:val="none"/>
                <w:lang w:val="zh-CN" w:eastAsia="zh-CN"/>
                <w14:textFill>
                  <w14:solidFill>
                    <w14:schemeClr w14:val="tx1"/>
                  </w14:solidFill>
                </w14:textFill>
              </w:rPr>
              <w:t>根据</w:t>
            </w:r>
            <w:r>
              <w:rPr>
                <w:rFonts w:hint="eastAsia" w:ascii="宋体" w:hAnsi="宋体" w:cs="宋体"/>
                <w:color w:val="000000" w:themeColor="text1"/>
                <w:sz w:val="24"/>
                <w:szCs w:val="24"/>
                <w:highlight w:val="none"/>
                <w:lang w:val="zh-CN" w:eastAsia="zh-CN"/>
                <w14:textFill>
                  <w14:solidFill>
                    <w14:schemeClr w14:val="tx1"/>
                  </w14:solidFill>
                </w14:textFill>
              </w:rPr>
              <w:t>响应人</w:t>
            </w:r>
            <w:r>
              <w:rPr>
                <w:rFonts w:hint="default" w:ascii="宋体" w:hAnsi="宋体" w:cs="宋体"/>
                <w:color w:val="000000" w:themeColor="text1"/>
                <w:sz w:val="24"/>
                <w:szCs w:val="24"/>
                <w:highlight w:val="none"/>
                <w:lang w:val="zh-CN" w:eastAsia="zh-CN"/>
                <w14:textFill>
                  <w14:solidFill>
                    <w14:schemeClr w14:val="tx1"/>
                  </w14:solidFill>
                </w14:textFill>
              </w:rPr>
              <w:t>提供的疫情防控方案，分三个评价等级打分：</w:t>
            </w:r>
          </w:p>
          <w:p>
            <w:pPr>
              <w:spacing w:line="360" w:lineRule="auto"/>
              <w:rPr>
                <w:rFonts w:hint="default" w:ascii="宋体" w:hAnsi="宋体" w:cs="宋体"/>
                <w:color w:val="000000" w:themeColor="text1"/>
                <w:sz w:val="24"/>
                <w:szCs w:val="24"/>
                <w:highlight w:val="none"/>
                <w:lang w:val="zh-CN" w:eastAsia="zh-CN"/>
                <w14:textFill>
                  <w14:solidFill>
                    <w14:schemeClr w14:val="tx1"/>
                  </w14:solidFill>
                </w14:textFill>
              </w:rPr>
            </w:pPr>
            <w:r>
              <w:rPr>
                <w:rFonts w:hint="default" w:ascii="宋体" w:hAnsi="宋体" w:cs="宋体"/>
                <w:color w:val="000000" w:themeColor="text1"/>
                <w:sz w:val="24"/>
                <w:szCs w:val="24"/>
                <w:highlight w:val="none"/>
                <w:lang w:val="zh-CN" w:eastAsia="zh-CN"/>
                <w14:textFill>
                  <w14:solidFill>
                    <w14:schemeClr w14:val="tx1"/>
                  </w14:solidFill>
                </w14:textFill>
              </w:rPr>
              <w:t>A.方案全面、详实、完善，细节描述清晰得</w:t>
            </w:r>
            <w:r>
              <w:rPr>
                <w:rFonts w:hint="eastAsia" w:ascii="宋体" w:hAnsi="宋体" w:cs="宋体"/>
                <w:color w:val="000000" w:themeColor="text1"/>
                <w:sz w:val="24"/>
                <w:szCs w:val="24"/>
                <w:highlight w:val="none"/>
                <w:lang w:val="en-US" w:eastAsia="zh-CN"/>
                <w14:textFill>
                  <w14:solidFill>
                    <w14:schemeClr w14:val="tx1"/>
                  </w14:solidFill>
                </w14:textFill>
              </w:rPr>
              <w:t>4</w:t>
            </w:r>
            <w:r>
              <w:rPr>
                <w:rFonts w:hint="default" w:ascii="宋体" w:hAnsi="宋体" w:cs="宋体"/>
                <w:color w:val="000000" w:themeColor="text1"/>
                <w:sz w:val="24"/>
                <w:szCs w:val="24"/>
                <w:highlight w:val="none"/>
                <w:lang w:val="zh-CN" w:eastAsia="zh-CN"/>
                <w14:textFill>
                  <w14:solidFill>
                    <w14:schemeClr w14:val="tx1"/>
                  </w14:solidFill>
                </w14:textFill>
              </w:rPr>
              <w:t>分；</w:t>
            </w:r>
          </w:p>
          <w:p>
            <w:pPr>
              <w:spacing w:line="360" w:lineRule="auto"/>
              <w:rPr>
                <w:rFonts w:hint="default" w:ascii="宋体" w:hAnsi="宋体" w:cs="宋体"/>
                <w:color w:val="000000" w:themeColor="text1"/>
                <w:sz w:val="24"/>
                <w:szCs w:val="24"/>
                <w:highlight w:val="none"/>
                <w:lang w:val="zh-CN" w:eastAsia="zh-CN"/>
                <w14:textFill>
                  <w14:solidFill>
                    <w14:schemeClr w14:val="tx1"/>
                  </w14:solidFill>
                </w14:textFill>
              </w:rPr>
            </w:pPr>
            <w:r>
              <w:rPr>
                <w:rFonts w:hint="default" w:ascii="宋体" w:hAnsi="宋体" w:cs="宋体"/>
                <w:color w:val="000000" w:themeColor="text1"/>
                <w:sz w:val="24"/>
                <w:szCs w:val="24"/>
                <w:highlight w:val="none"/>
                <w:lang w:val="zh-CN" w:eastAsia="zh-CN"/>
                <w14:textFill>
                  <w14:solidFill>
                    <w14:schemeClr w14:val="tx1"/>
                  </w14:solidFill>
                </w14:textFill>
              </w:rPr>
              <w:t>B.方案比较完善，细节描述比较清晰得2分；</w:t>
            </w:r>
          </w:p>
          <w:p>
            <w:pPr>
              <w:spacing w:line="360" w:lineRule="auto"/>
              <w:rPr>
                <w:rFonts w:hint="eastAsia" w:ascii="宋体" w:hAnsi="宋体" w:cs="宋体"/>
                <w:color w:val="000000" w:themeColor="text1"/>
                <w:sz w:val="24"/>
                <w:szCs w:val="24"/>
                <w:highlight w:val="none"/>
                <w:lang w:val="zh-CN" w:eastAsia="zh-CN"/>
                <w14:textFill>
                  <w14:solidFill>
                    <w14:schemeClr w14:val="tx1"/>
                  </w14:solidFill>
                </w14:textFill>
              </w:rPr>
            </w:pPr>
            <w:r>
              <w:rPr>
                <w:rFonts w:hint="default" w:ascii="宋体" w:hAnsi="宋体" w:cs="宋体"/>
                <w:color w:val="000000" w:themeColor="text1"/>
                <w:sz w:val="24"/>
                <w:szCs w:val="24"/>
                <w:highlight w:val="none"/>
                <w:lang w:val="zh-CN" w:eastAsia="zh-CN"/>
                <w14:textFill>
                  <w14:solidFill>
                    <w14:schemeClr w14:val="tx1"/>
                  </w14:solidFill>
                </w14:textFill>
              </w:rPr>
              <w:t>C.方案简略或缺失，得0分。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trPr>
        <w:tc>
          <w:tcPr>
            <w:tcW w:w="529" w:type="pct"/>
            <w:vMerge w:val="restart"/>
            <w:tcBorders>
              <w:top w:val="single" w:color="auto" w:sz="4" w:space="0"/>
              <w:bottom w:val="single" w:color="auto" w:sz="4" w:space="0"/>
            </w:tcBorders>
            <w:vAlign w:val="center"/>
          </w:tcPr>
          <w:p>
            <w:pPr>
              <w:spacing w:line="360" w:lineRule="auto"/>
              <w:jc w:val="center"/>
              <w:rPr>
                <w:rFonts w:ascii="宋体" w:hAnsi="宋体" w:cs="仿宋"/>
                <w:color w:val="auto"/>
                <w:sz w:val="24"/>
                <w:highlight w:val="none"/>
              </w:rPr>
            </w:pPr>
            <w:r>
              <w:rPr>
                <w:rFonts w:hint="eastAsia" w:ascii="宋体" w:hAnsi="宋体" w:cs="仿宋"/>
                <w:color w:val="auto"/>
                <w:sz w:val="24"/>
                <w:highlight w:val="none"/>
              </w:rPr>
              <w:t>商务</w:t>
            </w:r>
          </w:p>
          <w:p>
            <w:pPr>
              <w:spacing w:line="360" w:lineRule="auto"/>
              <w:jc w:val="center"/>
              <w:rPr>
                <w:rFonts w:ascii="宋体" w:hAnsi="宋体" w:cs="仿宋"/>
                <w:color w:val="auto"/>
                <w:sz w:val="24"/>
                <w:highlight w:val="none"/>
              </w:rPr>
            </w:pPr>
            <w:r>
              <w:rPr>
                <w:rFonts w:hint="eastAsia" w:ascii="宋体" w:hAnsi="宋体" w:cs="仿宋"/>
                <w:color w:val="auto"/>
                <w:sz w:val="24"/>
                <w:highlight w:val="none"/>
              </w:rPr>
              <w:t>部分</w:t>
            </w:r>
          </w:p>
          <w:p>
            <w:pPr>
              <w:spacing w:line="360" w:lineRule="auto"/>
              <w:jc w:val="center"/>
              <w:rPr>
                <w:rFonts w:ascii="宋体" w:hAnsi="宋体" w:cs="仿宋"/>
                <w:color w:val="auto"/>
                <w:sz w:val="24"/>
                <w:highlight w:val="none"/>
              </w:rPr>
            </w:pPr>
            <w:r>
              <w:rPr>
                <w:rFonts w:hint="eastAsia" w:ascii="宋体" w:hAnsi="宋体" w:cs="仿宋"/>
                <w:color w:val="auto"/>
                <w:sz w:val="24"/>
                <w:highlight w:val="none"/>
                <w:lang w:val="en-US" w:eastAsia="zh-CN"/>
              </w:rPr>
              <w:t>16</w:t>
            </w:r>
            <w:r>
              <w:rPr>
                <w:rFonts w:hint="eastAsia" w:ascii="宋体" w:hAnsi="宋体" w:cs="仿宋"/>
                <w:color w:val="auto"/>
                <w:sz w:val="24"/>
                <w:highlight w:val="none"/>
              </w:rPr>
              <w:t>分</w:t>
            </w:r>
          </w:p>
        </w:tc>
        <w:tc>
          <w:tcPr>
            <w:tcW w:w="951" w:type="pct"/>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同类项目业绩</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lang w:val="en-US" w:eastAsia="zh-CN"/>
              </w:rPr>
              <w:t>10</w:t>
            </w:r>
            <w:r>
              <w:rPr>
                <w:rFonts w:hint="eastAsia" w:ascii="宋体" w:hAnsi="宋体" w:cs="宋体"/>
                <w:color w:val="auto"/>
                <w:sz w:val="24"/>
                <w:highlight w:val="none"/>
              </w:rPr>
              <w:t>分</w:t>
            </w:r>
          </w:p>
        </w:tc>
        <w:tc>
          <w:tcPr>
            <w:tcW w:w="3519" w:type="pct"/>
          </w:tcPr>
          <w:p>
            <w:pPr>
              <w:spacing w:line="360" w:lineRule="auto"/>
              <w:rPr>
                <w:rFonts w:hint="default" w:ascii="宋体" w:hAnsi="宋体" w:cs="宋体"/>
                <w:color w:val="000000" w:themeColor="text1"/>
                <w:sz w:val="24"/>
                <w:szCs w:val="24"/>
                <w:highlight w:val="none"/>
                <w:lang w:val="zh-CN" w:eastAsia="zh-CN"/>
                <w14:textFill>
                  <w14:solidFill>
                    <w14:schemeClr w14:val="tx1"/>
                  </w14:solidFill>
                </w14:textFill>
              </w:rPr>
            </w:pPr>
            <w:r>
              <w:rPr>
                <w:rFonts w:hint="eastAsia" w:ascii="宋体" w:hAnsi="宋体" w:cs="宋体"/>
                <w:color w:val="000000" w:themeColor="text1"/>
                <w:sz w:val="24"/>
                <w:szCs w:val="24"/>
                <w:highlight w:val="none"/>
                <w:lang w:val="zh-CN" w:eastAsia="zh-CN"/>
                <w14:textFill>
                  <w14:solidFill>
                    <w14:schemeClr w14:val="tx1"/>
                  </w14:solidFill>
                </w14:textFill>
              </w:rPr>
              <w:t>响应人自</w:t>
            </w:r>
            <w:r>
              <w:rPr>
                <w:rFonts w:hint="eastAsia" w:ascii="宋体" w:hAnsi="宋体" w:cs="宋体"/>
                <w:color w:val="000000" w:themeColor="text1"/>
                <w:sz w:val="24"/>
                <w:szCs w:val="24"/>
                <w:highlight w:val="none"/>
                <w:lang w:val="en-US" w:eastAsia="zh-CN"/>
                <w14:textFill>
                  <w14:solidFill>
                    <w14:schemeClr w14:val="tx1"/>
                  </w14:solidFill>
                </w14:textFill>
              </w:rPr>
              <w:t>2020</w:t>
            </w:r>
            <w:r>
              <w:rPr>
                <w:rFonts w:hint="eastAsia" w:ascii="宋体" w:hAnsi="宋体" w:cs="宋体"/>
                <w:color w:val="000000" w:themeColor="text1"/>
                <w:sz w:val="24"/>
                <w:szCs w:val="24"/>
                <w:highlight w:val="none"/>
                <w:lang w:val="zh-CN" w:eastAsia="zh-CN"/>
                <w14:textFill>
                  <w14:solidFill>
                    <w14:schemeClr w14:val="tx1"/>
                  </w14:solidFill>
                </w14:textFill>
              </w:rPr>
              <w:t>年</w:t>
            </w:r>
            <w:r>
              <w:rPr>
                <w:rFonts w:hint="eastAsia" w:ascii="宋体" w:hAnsi="宋体" w:cs="宋体"/>
                <w:color w:val="000000" w:themeColor="text1"/>
                <w:sz w:val="24"/>
                <w:szCs w:val="24"/>
                <w:highlight w:val="none"/>
                <w:lang w:val="en-US" w:eastAsia="zh-CN"/>
                <w14:textFill>
                  <w14:solidFill>
                    <w14:schemeClr w14:val="tx1"/>
                  </w14:solidFill>
                </w14:textFill>
              </w:rPr>
              <w:t>1</w:t>
            </w:r>
            <w:r>
              <w:rPr>
                <w:rFonts w:hint="eastAsia" w:ascii="宋体" w:hAnsi="宋体" w:cs="宋体"/>
                <w:color w:val="000000" w:themeColor="text1"/>
                <w:sz w:val="24"/>
                <w:szCs w:val="24"/>
                <w:highlight w:val="none"/>
                <w:lang w:val="zh-CN" w:eastAsia="zh-CN"/>
                <w14:textFill>
                  <w14:solidFill>
                    <w14:schemeClr w14:val="tx1"/>
                  </w14:solidFill>
                </w14:textFill>
              </w:rPr>
              <w:t>月1日至今已完成的同类项目，每项得</w:t>
            </w:r>
            <w:r>
              <w:rPr>
                <w:rFonts w:hint="eastAsia" w:ascii="宋体" w:hAnsi="宋体" w:cs="宋体"/>
                <w:color w:val="000000" w:themeColor="text1"/>
                <w:sz w:val="24"/>
                <w:szCs w:val="24"/>
                <w:highlight w:val="none"/>
                <w:lang w:val="en-US" w:eastAsia="zh-CN"/>
                <w14:textFill>
                  <w14:solidFill>
                    <w14:schemeClr w14:val="tx1"/>
                  </w14:solidFill>
                </w14:textFill>
              </w:rPr>
              <w:t>1</w:t>
            </w:r>
            <w:r>
              <w:rPr>
                <w:rFonts w:hint="eastAsia" w:ascii="宋体" w:hAnsi="宋体" w:cs="宋体"/>
                <w:color w:val="000000" w:themeColor="text1"/>
                <w:sz w:val="24"/>
                <w:szCs w:val="24"/>
                <w:highlight w:val="none"/>
                <w:lang w:val="zh-CN" w:eastAsia="zh-CN"/>
                <w14:textFill>
                  <w14:solidFill>
                    <w14:schemeClr w14:val="tx1"/>
                  </w14:solidFill>
                </w14:textFill>
              </w:rPr>
              <w:t>分，满分</w:t>
            </w:r>
            <w:r>
              <w:rPr>
                <w:rFonts w:hint="eastAsia" w:ascii="宋体" w:hAnsi="宋体" w:cs="宋体"/>
                <w:color w:val="000000" w:themeColor="text1"/>
                <w:sz w:val="24"/>
                <w:szCs w:val="24"/>
                <w:highlight w:val="none"/>
                <w:lang w:val="en-US" w:eastAsia="zh-CN"/>
                <w14:textFill>
                  <w14:solidFill>
                    <w14:schemeClr w14:val="tx1"/>
                  </w14:solidFill>
                </w14:textFill>
              </w:rPr>
              <w:t>10</w:t>
            </w:r>
            <w:r>
              <w:rPr>
                <w:rFonts w:hint="eastAsia" w:ascii="宋体" w:hAnsi="宋体" w:cs="宋体"/>
                <w:color w:val="000000" w:themeColor="text1"/>
                <w:sz w:val="24"/>
                <w:szCs w:val="24"/>
                <w:highlight w:val="none"/>
                <w:lang w:val="zh-CN" w:eastAsia="zh-CN"/>
                <w14:textFill>
                  <w14:solidFill>
                    <w14:schemeClr w14:val="tx1"/>
                  </w14:solidFill>
                </w14:textFill>
              </w:rPr>
              <w:t>分。</w:t>
            </w:r>
          </w:p>
          <w:p>
            <w:pPr>
              <w:spacing w:line="360" w:lineRule="auto"/>
              <w:rPr>
                <w:rFonts w:hint="eastAsia" w:ascii="宋体" w:hAnsi="宋体" w:cs="宋体"/>
                <w:color w:val="000000" w:themeColor="text1"/>
                <w:sz w:val="24"/>
                <w:szCs w:val="24"/>
                <w:highlight w:val="none"/>
                <w:lang w:val="zh-CN" w:eastAsia="zh-CN"/>
                <w14:textFill>
                  <w14:solidFill>
                    <w14:schemeClr w14:val="tx1"/>
                  </w14:solidFill>
                </w14:textFill>
              </w:rPr>
            </w:pPr>
            <w:r>
              <w:rPr>
                <w:rFonts w:hint="eastAsia" w:ascii="宋体" w:hAnsi="宋体" w:cs="宋体"/>
                <w:color w:val="000000" w:themeColor="text1"/>
                <w:sz w:val="24"/>
                <w:szCs w:val="24"/>
                <w:highlight w:val="none"/>
                <w:lang w:val="zh-CN" w:eastAsia="zh-CN"/>
                <w14:textFill>
                  <w14:solidFill>
                    <w14:schemeClr w14:val="tx1"/>
                  </w14:solidFill>
                </w14:textFill>
              </w:rPr>
              <w:t>注：响应人须在响应文件提供每项服务的合同复印件（须加盖响应人公章）、检定与校准证书复印件各两份以上，</w:t>
            </w:r>
          </w:p>
          <w:p>
            <w:pPr>
              <w:spacing w:line="360" w:lineRule="auto"/>
              <w:rPr>
                <w:rFonts w:hint="default" w:ascii="宋体" w:hAnsi="宋体" w:cs="宋体"/>
                <w:color w:val="000000" w:themeColor="text1"/>
                <w:sz w:val="24"/>
                <w:szCs w:val="24"/>
                <w:highlight w:val="none"/>
                <w:lang w:val="zh-CN" w:eastAsia="zh-CN"/>
                <w14:textFill>
                  <w14:solidFill>
                    <w14:schemeClr w14:val="tx1"/>
                  </w14:solidFill>
                </w14:textFill>
              </w:rPr>
            </w:pPr>
            <w:r>
              <w:rPr>
                <w:rFonts w:hint="eastAsia" w:ascii="宋体" w:hAnsi="宋体" w:cs="宋体"/>
                <w:color w:val="000000" w:themeColor="text1"/>
                <w:sz w:val="24"/>
                <w:szCs w:val="24"/>
                <w:highlight w:val="none"/>
                <w:lang w:val="zh-CN" w:eastAsia="zh-CN"/>
                <w14:textFill>
                  <w14:solidFill>
                    <w14:schemeClr w14:val="tx1"/>
                  </w14:solidFill>
                </w14:textFill>
              </w:rPr>
              <w:t>同时提供合同原件备查，时间以合同签订时间为准，否则不得分。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9" w:type="pct"/>
            <w:vMerge w:val="continue"/>
            <w:tcBorders>
              <w:top w:val="single" w:color="auto" w:sz="4" w:space="0"/>
              <w:bottom w:val="single" w:color="auto" w:sz="4" w:space="0"/>
            </w:tcBorders>
            <w:vAlign w:val="center"/>
          </w:tcPr>
          <w:p>
            <w:pPr>
              <w:spacing w:line="360" w:lineRule="auto"/>
              <w:jc w:val="center"/>
              <w:rPr>
                <w:rFonts w:ascii="宋体" w:hAnsi="宋体" w:cs="仿宋"/>
                <w:color w:val="auto"/>
                <w:sz w:val="24"/>
                <w:highlight w:val="none"/>
              </w:rPr>
            </w:pPr>
          </w:p>
        </w:tc>
        <w:tc>
          <w:tcPr>
            <w:tcW w:w="951" w:type="pct"/>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lang w:val="en-US" w:eastAsia="zh-CN"/>
              </w:rPr>
              <w:t>综合</w:t>
            </w:r>
            <w:r>
              <w:rPr>
                <w:rFonts w:hint="eastAsia" w:ascii="宋体" w:hAnsi="宋体" w:cs="宋体"/>
                <w:color w:val="auto"/>
                <w:sz w:val="24"/>
                <w:highlight w:val="none"/>
              </w:rPr>
              <w:t>实力</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lang w:val="en-US" w:eastAsia="zh-CN"/>
              </w:rPr>
              <w:t>6</w:t>
            </w:r>
            <w:r>
              <w:rPr>
                <w:rFonts w:hint="eastAsia" w:ascii="宋体" w:hAnsi="宋体" w:cs="宋体"/>
                <w:color w:val="auto"/>
                <w:sz w:val="24"/>
                <w:highlight w:val="none"/>
              </w:rPr>
              <w:t>分</w:t>
            </w:r>
          </w:p>
        </w:tc>
        <w:tc>
          <w:tcPr>
            <w:tcW w:w="3519" w:type="pct"/>
            <w:vAlign w:val="center"/>
          </w:tcPr>
          <w:p>
            <w:pPr>
              <w:spacing w:line="360" w:lineRule="auto"/>
              <w:jc w:val="left"/>
              <w:rPr>
                <w:rFonts w:hint="eastAsia" w:ascii="宋体" w:hAnsi="宋体" w:cs="宋体"/>
                <w:sz w:val="24"/>
                <w:highlight w:val="none"/>
                <w:lang w:val="zh-CN"/>
              </w:rPr>
            </w:pPr>
            <w:r>
              <w:rPr>
                <w:rFonts w:hint="eastAsia" w:ascii="宋体" w:hAnsi="宋体" w:cs="宋体"/>
                <w:sz w:val="24"/>
                <w:highlight w:val="none"/>
                <w:lang w:val="zh-CN"/>
              </w:rPr>
              <w:t>具有质量管理体系认证证书、环境管理体系认证证书、职业健康安全管理体系认证证书，每提供一个得</w:t>
            </w:r>
            <w:r>
              <w:rPr>
                <w:rFonts w:hint="eastAsia" w:ascii="宋体" w:hAnsi="宋体" w:cs="宋体"/>
                <w:sz w:val="24"/>
                <w:highlight w:val="none"/>
                <w:lang w:val="en-US" w:eastAsia="zh-CN"/>
              </w:rPr>
              <w:t>2</w:t>
            </w:r>
            <w:r>
              <w:rPr>
                <w:rFonts w:hint="eastAsia" w:ascii="宋体" w:hAnsi="宋体" w:cs="宋体"/>
                <w:sz w:val="24"/>
                <w:highlight w:val="none"/>
                <w:lang w:val="zh-CN"/>
              </w:rPr>
              <w:t>分，</w:t>
            </w:r>
            <w:r>
              <w:rPr>
                <w:rFonts w:hint="eastAsia" w:ascii="宋体" w:hAnsi="宋体" w:cs="宋体"/>
                <w:sz w:val="24"/>
                <w:highlight w:val="none"/>
                <w:lang w:val="en-US" w:eastAsia="zh-CN"/>
              </w:rPr>
              <w:t>共6分</w:t>
            </w:r>
            <w:r>
              <w:rPr>
                <w:rFonts w:hint="eastAsia" w:ascii="宋体" w:hAnsi="宋体" w:cs="宋体"/>
                <w:sz w:val="24"/>
                <w:highlight w:val="none"/>
                <w:lang w:val="zh-CN"/>
              </w:rPr>
              <w:t>。</w:t>
            </w:r>
          </w:p>
          <w:p>
            <w:pPr>
              <w:spacing w:line="360" w:lineRule="auto"/>
              <w:jc w:val="left"/>
              <w:rPr>
                <w:rFonts w:hint="eastAsia" w:ascii="宋体" w:hAnsi="宋体" w:cs="宋体"/>
                <w:sz w:val="24"/>
                <w:highlight w:val="none"/>
                <w:lang w:val="zh-CN"/>
              </w:rPr>
            </w:pPr>
            <w:r>
              <w:rPr>
                <w:rFonts w:hint="eastAsia" w:ascii="宋体" w:hAnsi="宋体" w:cs="宋体"/>
                <w:sz w:val="24"/>
                <w:highlight w:val="none"/>
                <w:lang w:val="zh-CN"/>
              </w:rPr>
              <w:t>注：须在响应文件中提供复印件，否则不得分。</w:t>
            </w:r>
          </w:p>
        </w:tc>
      </w:tr>
    </w:tbl>
    <w:p>
      <w:pPr>
        <w:spacing w:line="360" w:lineRule="auto"/>
        <w:jc w:val="center"/>
        <w:rPr>
          <w:rFonts w:hint="eastAsia" w:ascii="宋体" w:hAnsi="宋体" w:cs="仿宋"/>
          <w:sz w:val="24"/>
          <w:highlight w:val="none"/>
          <w:lang w:val="en-US" w:eastAsia="zh-CN"/>
        </w:rPr>
      </w:pPr>
      <w:r>
        <w:rPr>
          <w:rFonts w:hint="eastAsia" w:ascii="宋体" w:hAnsi="宋体" w:cs="仿宋"/>
          <w:sz w:val="24"/>
          <w:highlight w:val="none"/>
          <w:lang w:val="en-US" w:eastAsia="zh-CN"/>
        </w:rPr>
        <w:br w:type="page"/>
      </w:r>
    </w:p>
    <w:tbl>
      <w:tblPr>
        <w:tblStyle w:val="76"/>
        <w:tblpPr w:leftFromText="180" w:rightFromText="180" w:vertAnchor="text" w:horzAnchor="page" w:tblpX="1785" w:tblpY="460"/>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3"/>
        <w:gridCol w:w="1766"/>
        <w:gridCol w:w="6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5000" w:type="pct"/>
            <w:gridSpan w:val="3"/>
            <w:vAlign w:val="center"/>
          </w:tcPr>
          <w:p>
            <w:pPr>
              <w:spacing w:line="360" w:lineRule="auto"/>
              <w:jc w:val="center"/>
              <w:rPr>
                <w:rFonts w:hint="eastAsia" w:ascii="宋体" w:hAnsi="宋体" w:eastAsia="宋体" w:cs="仿宋"/>
                <w:sz w:val="24"/>
                <w:highlight w:val="none"/>
                <w:lang w:val="en-US" w:eastAsia="zh-CN"/>
              </w:rPr>
            </w:pPr>
            <w:r>
              <w:rPr>
                <w:rFonts w:hint="eastAsia" w:ascii="宋体" w:hAnsi="宋体" w:cs="仿宋"/>
                <w:sz w:val="24"/>
                <w:highlight w:val="none"/>
                <w:lang w:val="en-US" w:eastAsia="zh-CN"/>
              </w:rPr>
              <w:t>包二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00" w:type="pct"/>
            <w:gridSpan w:val="3"/>
            <w:vAlign w:val="center"/>
          </w:tcPr>
          <w:p>
            <w:pPr>
              <w:spacing w:line="360" w:lineRule="auto"/>
              <w:jc w:val="center"/>
              <w:rPr>
                <w:rFonts w:ascii="宋体" w:hAnsi="宋体" w:cs="仿宋"/>
                <w:sz w:val="24"/>
                <w:highlight w:val="none"/>
              </w:rPr>
            </w:pPr>
            <w:r>
              <w:rPr>
                <w:rFonts w:hint="eastAsia" w:ascii="宋体" w:hAnsi="宋体" w:cs="仿宋"/>
                <w:sz w:val="24"/>
                <w:highlight w:val="none"/>
              </w:rPr>
              <w:t>总分100分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9" w:type="pct"/>
            <w:vMerge w:val="restart"/>
            <w:vAlign w:val="center"/>
          </w:tcPr>
          <w:p>
            <w:pPr>
              <w:spacing w:line="360" w:lineRule="auto"/>
              <w:jc w:val="center"/>
              <w:rPr>
                <w:rFonts w:ascii="宋体" w:hAnsi="宋体" w:cs="仿宋"/>
                <w:sz w:val="24"/>
                <w:highlight w:val="none"/>
              </w:rPr>
            </w:pPr>
            <w:r>
              <w:rPr>
                <w:rFonts w:hint="eastAsia" w:ascii="宋体" w:hAnsi="宋体" w:cs="仿宋"/>
                <w:sz w:val="24"/>
                <w:highlight w:val="none"/>
              </w:rPr>
              <w:t>总分组成</w:t>
            </w:r>
          </w:p>
        </w:tc>
        <w:tc>
          <w:tcPr>
            <w:tcW w:w="951" w:type="pct"/>
            <w:vAlign w:val="center"/>
          </w:tcPr>
          <w:p>
            <w:pPr>
              <w:spacing w:line="360" w:lineRule="auto"/>
              <w:jc w:val="center"/>
              <w:rPr>
                <w:rFonts w:ascii="宋体" w:hAnsi="宋体" w:cs="仿宋"/>
                <w:sz w:val="24"/>
                <w:highlight w:val="none"/>
              </w:rPr>
            </w:pPr>
            <w:r>
              <w:rPr>
                <w:rFonts w:hint="eastAsia" w:ascii="宋体" w:hAnsi="宋体" w:cs="仿宋"/>
                <w:sz w:val="24"/>
                <w:highlight w:val="none"/>
              </w:rPr>
              <w:t>（1）价格</w:t>
            </w:r>
          </w:p>
        </w:tc>
        <w:tc>
          <w:tcPr>
            <w:tcW w:w="3519" w:type="pct"/>
            <w:vAlign w:val="center"/>
          </w:tcPr>
          <w:p>
            <w:pPr>
              <w:spacing w:line="360" w:lineRule="auto"/>
              <w:jc w:val="center"/>
              <w:rPr>
                <w:rFonts w:hint="default" w:ascii="宋体" w:hAnsi="宋体" w:eastAsia="宋体" w:cs="仿宋"/>
                <w:sz w:val="24"/>
                <w:highlight w:val="none"/>
                <w:lang w:val="en-US" w:eastAsia="zh-CN"/>
              </w:rPr>
            </w:pPr>
            <w:r>
              <w:rPr>
                <w:rFonts w:hint="eastAsia" w:ascii="宋体" w:hAnsi="宋体" w:cs="仿宋"/>
                <w:sz w:val="24"/>
                <w:highlight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9" w:type="pct"/>
            <w:vMerge w:val="continue"/>
            <w:vAlign w:val="center"/>
          </w:tcPr>
          <w:p>
            <w:pPr>
              <w:spacing w:line="360" w:lineRule="auto"/>
              <w:jc w:val="center"/>
              <w:rPr>
                <w:rFonts w:ascii="宋体" w:hAnsi="宋体" w:cs="仿宋"/>
                <w:sz w:val="24"/>
                <w:highlight w:val="none"/>
              </w:rPr>
            </w:pPr>
          </w:p>
        </w:tc>
        <w:tc>
          <w:tcPr>
            <w:tcW w:w="951" w:type="pct"/>
            <w:vAlign w:val="center"/>
          </w:tcPr>
          <w:p>
            <w:pPr>
              <w:spacing w:line="360" w:lineRule="auto"/>
              <w:jc w:val="center"/>
              <w:rPr>
                <w:rFonts w:ascii="宋体" w:hAnsi="宋体" w:cs="仿宋"/>
                <w:sz w:val="24"/>
                <w:highlight w:val="none"/>
              </w:rPr>
            </w:pPr>
            <w:r>
              <w:rPr>
                <w:rFonts w:hint="eastAsia" w:ascii="宋体" w:hAnsi="宋体" w:cs="仿宋"/>
                <w:sz w:val="24"/>
                <w:highlight w:val="none"/>
              </w:rPr>
              <w:t>（2）技术</w:t>
            </w:r>
          </w:p>
        </w:tc>
        <w:tc>
          <w:tcPr>
            <w:tcW w:w="3519" w:type="pct"/>
            <w:vAlign w:val="center"/>
          </w:tcPr>
          <w:p>
            <w:pPr>
              <w:spacing w:line="360" w:lineRule="auto"/>
              <w:jc w:val="center"/>
              <w:rPr>
                <w:rFonts w:hint="default" w:ascii="宋体" w:hAnsi="宋体" w:eastAsia="宋体" w:cs="仿宋"/>
                <w:color w:val="auto"/>
                <w:sz w:val="24"/>
                <w:highlight w:val="none"/>
                <w:lang w:val="en-US" w:eastAsia="zh-CN"/>
              </w:rPr>
            </w:pPr>
            <w:r>
              <w:rPr>
                <w:rFonts w:hint="eastAsia" w:ascii="宋体" w:hAnsi="宋体" w:cs="仿宋"/>
                <w:color w:val="auto"/>
                <w:sz w:val="24"/>
                <w:highlight w:val="none"/>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9" w:type="pct"/>
            <w:vMerge w:val="continue"/>
            <w:vAlign w:val="center"/>
          </w:tcPr>
          <w:p>
            <w:pPr>
              <w:spacing w:line="360" w:lineRule="auto"/>
              <w:jc w:val="center"/>
              <w:rPr>
                <w:rFonts w:ascii="宋体" w:hAnsi="宋体" w:cs="仿宋"/>
                <w:sz w:val="24"/>
                <w:highlight w:val="none"/>
              </w:rPr>
            </w:pPr>
          </w:p>
        </w:tc>
        <w:tc>
          <w:tcPr>
            <w:tcW w:w="951" w:type="pct"/>
            <w:vAlign w:val="center"/>
          </w:tcPr>
          <w:p>
            <w:pPr>
              <w:spacing w:line="360" w:lineRule="auto"/>
              <w:jc w:val="center"/>
              <w:rPr>
                <w:rFonts w:ascii="宋体" w:hAnsi="宋体" w:cs="仿宋"/>
                <w:sz w:val="24"/>
                <w:highlight w:val="none"/>
              </w:rPr>
            </w:pPr>
            <w:r>
              <w:rPr>
                <w:rFonts w:hint="eastAsia" w:ascii="宋体" w:hAnsi="宋体" w:cs="仿宋"/>
                <w:sz w:val="24"/>
                <w:highlight w:val="none"/>
              </w:rPr>
              <w:t>（3）商务</w:t>
            </w:r>
          </w:p>
        </w:tc>
        <w:tc>
          <w:tcPr>
            <w:tcW w:w="3519" w:type="pct"/>
            <w:vAlign w:val="center"/>
          </w:tcPr>
          <w:p>
            <w:pPr>
              <w:spacing w:line="360" w:lineRule="auto"/>
              <w:jc w:val="center"/>
              <w:rPr>
                <w:rFonts w:hint="default" w:ascii="宋体" w:hAnsi="宋体" w:eastAsia="宋体" w:cs="仿宋"/>
                <w:color w:val="auto"/>
                <w:sz w:val="24"/>
                <w:highlight w:val="none"/>
                <w:lang w:val="en-US" w:eastAsia="zh-CN"/>
              </w:rPr>
            </w:pPr>
            <w:r>
              <w:rPr>
                <w:rFonts w:hint="eastAsia" w:ascii="宋体" w:hAnsi="宋体" w:cs="仿宋"/>
                <w:color w:val="auto"/>
                <w:sz w:val="24"/>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80" w:type="pct"/>
            <w:gridSpan w:val="2"/>
            <w:vAlign w:val="center"/>
          </w:tcPr>
          <w:p>
            <w:pPr>
              <w:spacing w:line="360" w:lineRule="auto"/>
              <w:jc w:val="center"/>
              <w:rPr>
                <w:rFonts w:ascii="宋体" w:hAnsi="宋体" w:cs="仿宋"/>
                <w:sz w:val="24"/>
                <w:highlight w:val="none"/>
              </w:rPr>
            </w:pPr>
            <w:r>
              <w:rPr>
                <w:rFonts w:hint="eastAsia" w:ascii="宋体" w:hAnsi="宋体" w:cs="仿宋"/>
                <w:sz w:val="24"/>
                <w:highlight w:val="none"/>
              </w:rPr>
              <w:t>响应报价</w:t>
            </w:r>
          </w:p>
          <w:p>
            <w:pPr>
              <w:spacing w:line="360" w:lineRule="auto"/>
              <w:jc w:val="center"/>
              <w:rPr>
                <w:rFonts w:ascii="宋体" w:hAnsi="宋体" w:cs="仿宋"/>
                <w:sz w:val="24"/>
                <w:highlight w:val="none"/>
              </w:rPr>
            </w:pPr>
            <w:r>
              <w:rPr>
                <w:rFonts w:hint="eastAsia" w:ascii="宋体" w:hAnsi="宋体" w:cs="仿宋"/>
                <w:sz w:val="24"/>
                <w:highlight w:val="none"/>
                <w:lang w:val="en-US" w:eastAsia="zh-CN"/>
              </w:rPr>
              <w:t>25</w:t>
            </w:r>
            <w:r>
              <w:rPr>
                <w:rFonts w:hint="eastAsia" w:ascii="宋体" w:hAnsi="宋体" w:cs="仿宋"/>
                <w:sz w:val="24"/>
                <w:highlight w:val="none"/>
              </w:rPr>
              <w:t>分</w:t>
            </w:r>
          </w:p>
        </w:tc>
        <w:tc>
          <w:tcPr>
            <w:tcW w:w="3519" w:type="pct"/>
            <w:vAlign w:val="center"/>
          </w:tcPr>
          <w:p>
            <w:pPr>
              <w:spacing w:line="360" w:lineRule="auto"/>
              <w:jc w:val="left"/>
              <w:rPr>
                <w:rFonts w:hint="eastAsia" w:ascii="宋体" w:hAnsi="宋体" w:cs="仿宋"/>
                <w:sz w:val="24"/>
                <w:highlight w:val="none"/>
              </w:rPr>
            </w:pPr>
            <w:r>
              <w:rPr>
                <w:rFonts w:hint="eastAsia" w:ascii="宋体" w:hAnsi="宋体" w:cs="仿宋"/>
                <w:sz w:val="24"/>
                <w:highlight w:val="none"/>
              </w:rPr>
              <w:t>以满足磋商文件要求且最终报价最低的响应报价为评标基准价，其价格分为满分</w:t>
            </w:r>
            <w:r>
              <w:rPr>
                <w:rFonts w:hint="eastAsia" w:ascii="宋体" w:hAnsi="宋体" w:cs="仿宋"/>
                <w:sz w:val="24"/>
                <w:highlight w:val="none"/>
                <w:lang w:val="en-US" w:eastAsia="zh-CN"/>
              </w:rPr>
              <w:t>25</w:t>
            </w:r>
            <w:r>
              <w:rPr>
                <w:rFonts w:hint="eastAsia" w:ascii="宋体" w:hAnsi="宋体" w:cs="仿宋"/>
                <w:sz w:val="24"/>
                <w:highlight w:val="none"/>
              </w:rPr>
              <w:t>分，其他响应人的价格分按照下列公式计算：响应报价得分=（评标基准价/响应报价）×</w:t>
            </w:r>
            <w:r>
              <w:rPr>
                <w:rFonts w:hint="eastAsia" w:ascii="宋体" w:hAnsi="宋体" w:cs="仿宋"/>
                <w:sz w:val="24"/>
                <w:highlight w:val="none"/>
                <w:lang w:val="en-US" w:eastAsia="zh-CN"/>
              </w:rPr>
              <w:t>25</w:t>
            </w:r>
            <w:r>
              <w:rPr>
                <w:rFonts w:hint="eastAsia" w:ascii="宋体" w:hAnsi="宋体" w:cs="仿宋"/>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9" w:type="pct"/>
            <w:vMerge w:val="restart"/>
            <w:vAlign w:val="center"/>
          </w:tcPr>
          <w:p>
            <w:pPr>
              <w:spacing w:line="360" w:lineRule="auto"/>
              <w:jc w:val="center"/>
              <w:rPr>
                <w:rFonts w:hint="eastAsia" w:ascii="宋体" w:hAnsi="宋体" w:cs="仿宋"/>
                <w:sz w:val="24"/>
                <w:highlight w:val="none"/>
              </w:rPr>
            </w:pPr>
            <w:r>
              <w:rPr>
                <w:rFonts w:hint="eastAsia" w:ascii="宋体" w:hAnsi="宋体" w:cs="仿宋"/>
                <w:sz w:val="24"/>
                <w:highlight w:val="none"/>
              </w:rPr>
              <w:t>技术</w:t>
            </w:r>
          </w:p>
          <w:p>
            <w:pPr>
              <w:spacing w:line="360" w:lineRule="auto"/>
              <w:jc w:val="center"/>
              <w:rPr>
                <w:rFonts w:hint="eastAsia" w:ascii="宋体" w:hAnsi="宋体" w:cs="仿宋"/>
                <w:sz w:val="24"/>
                <w:highlight w:val="none"/>
              </w:rPr>
            </w:pPr>
            <w:r>
              <w:rPr>
                <w:rFonts w:hint="eastAsia" w:ascii="宋体" w:hAnsi="宋体" w:cs="仿宋"/>
                <w:sz w:val="24"/>
                <w:highlight w:val="none"/>
              </w:rPr>
              <w:t>部分</w:t>
            </w:r>
          </w:p>
          <w:p>
            <w:pPr>
              <w:spacing w:line="360" w:lineRule="auto"/>
              <w:jc w:val="center"/>
              <w:rPr>
                <w:rFonts w:ascii="宋体" w:hAnsi="宋体" w:cs="仿宋"/>
                <w:sz w:val="24"/>
                <w:highlight w:val="none"/>
              </w:rPr>
            </w:pPr>
            <w:r>
              <w:rPr>
                <w:rFonts w:hint="eastAsia" w:ascii="宋体" w:hAnsi="宋体" w:cs="仿宋"/>
                <w:sz w:val="24"/>
                <w:highlight w:val="none"/>
                <w:lang w:val="en-US" w:eastAsia="zh-CN"/>
              </w:rPr>
              <w:t>69</w:t>
            </w:r>
            <w:r>
              <w:rPr>
                <w:rFonts w:hint="eastAsia" w:ascii="宋体" w:hAnsi="宋体" w:cs="仿宋"/>
                <w:sz w:val="24"/>
                <w:highlight w:val="none"/>
              </w:rPr>
              <w:t>分</w:t>
            </w:r>
          </w:p>
        </w:tc>
        <w:tc>
          <w:tcPr>
            <w:tcW w:w="951" w:type="pct"/>
            <w:vAlign w:val="center"/>
          </w:tcPr>
          <w:p>
            <w:pPr>
              <w:spacing w:line="360" w:lineRule="auto"/>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技术能力</w:t>
            </w:r>
          </w:p>
          <w:p>
            <w:pPr>
              <w:spacing w:line="360" w:lineRule="auto"/>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40</w:t>
            </w:r>
            <w:r>
              <w:rPr>
                <w:rFonts w:hint="eastAsia" w:ascii="宋体" w:hAnsi="宋体" w:cs="宋体"/>
                <w:sz w:val="24"/>
                <w:highlight w:val="none"/>
                <w:lang w:val="zh-CN" w:eastAsia="zh-CN"/>
              </w:rPr>
              <w:t>分</w:t>
            </w:r>
          </w:p>
        </w:tc>
        <w:tc>
          <w:tcPr>
            <w:tcW w:w="3519" w:type="pct"/>
            <w:tcBorders>
              <w:top w:val="single" w:color="auto" w:sz="4" w:space="0"/>
              <w:left w:val="single" w:color="auto" w:sz="4" w:space="0"/>
            </w:tcBorders>
            <w:vAlign w:val="center"/>
          </w:tcPr>
          <w:p>
            <w:pPr>
              <w:spacing w:line="360" w:lineRule="auto"/>
              <w:jc w:val="left"/>
              <w:rPr>
                <w:rFonts w:hint="default" w:ascii="宋体" w:hAnsi="宋体" w:cs="仿宋"/>
                <w:sz w:val="24"/>
                <w:highlight w:val="none"/>
                <w:lang w:val="en-US" w:eastAsia="zh-CN"/>
              </w:rPr>
            </w:pPr>
            <w:r>
              <w:rPr>
                <w:rFonts w:hint="eastAsia" w:ascii="宋体" w:hAnsi="宋体" w:cs="仿宋"/>
                <w:sz w:val="24"/>
                <w:highlight w:val="none"/>
                <w:lang w:val="en-US" w:eastAsia="zh-CN"/>
              </w:rPr>
              <w:t>检定/校准资质覆盖所投包项目表所有设备类别的计40分，每缺一项扣3分，直至扣完为止（需按照采购需求表中的顺序一一标注）。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9" w:type="pct"/>
            <w:vMerge w:val="continue"/>
            <w:vAlign w:val="center"/>
          </w:tcPr>
          <w:p>
            <w:pPr>
              <w:spacing w:line="360" w:lineRule="auto"/>
              <w:jc w:val="center"/>
              <w:rPr>
                <w:rFonts w:hint="eastAsia" w:ascii="宋体" w:hAnsi="宋体" w:cs="仿宋"/>
                <w:sz w:val="24"/>
                <w:highlight w:val="none"/>
              </w:rPr>
            </w:pPr>
          </w:p>
        </w:tc>
        <w:tc>
          <w:tcPr>
            <w:tcW w:w="951" w:type="pct"/>
            <w:vAlign w:val="center"/>
          </w:tcPr>
          <w:p>
            <w:pPr>
              <w:spacing w:line="360" w:lineRule="auto"/>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相关检校设备</w:t>
            </w:r>
          </w:p>
          <w:p>
            <w:pPr>
              <w:spacing w:line="360" w:lineRule="auto"/>
              <w:jc w:val="center"/>
              <w:rPr>
                <w:rFonts w:hint="default" w:ascii="宋体" w:hAnsi="宋体" w:cs="宋体"/>
                <w:sz w:val="24"/>
                <w:highlight w:val="none"/>
                <w:lang w:val="en-US" w:eastAsia="zh-CN"/>
              </w:rPr>
            </w:pPr>
            <w:r>
              <w:rPr>
                <w:rFonts w:hint="eastAsia" w:ascii="宋体" w:hAnsi="宋体" w:cs="宋体"/>
                <w:sz w:val="24"/>
                <w:highlight w:val="none"/>
                <w:lang w:val="en-US" w:eastAsia="zh-CN"/>
              </w:rPr>
              <w:t>7分</w:t>
            </w:r>
          </w:p>
        </w:tc>
        <w:tc>
          <w:tcPr>
            <w:tcW w:w="3519" w:type="pct"/>
            <w:tcBorders>
              <w:top w:val="single" w:color="auto" w:sz="4" w:space="0"/>
              <w:left w:val="single" w:color="auto" w:sz="4" w:space="0"/>
            </w:tcBorders>
            <w:vAlign w:val="center"/>
          </w:tcPr>
          <w:p>
            <w:pPr>
              <w:spacing w:line="360" w:lineRule="auto"/>
              <w:jc w:val="left"/>
              <w:rPr>
                <w:rFonts w:hint="default" w:ascii="宋体" w:hAnsi="宋体" w:cs="仿宋"/>
                <w:sz w:val="24"/>
                <w:highlight w:val="none"/>
                <w:lang w:val="en-US" w:eastAsia="zh-CN"/>
              </w:rPr>
            </w:pPr>
            <w:r>
              <w:rPr>
                <w:rFonts w:hint="default" w:ascii="宋体" w:hAnsi="宋体" w:cs="仿宋"/>
                <w:sz w:val="24"/>
                <w:highlight w:val="none"/>
                <w:lang w:val="en-US" w:eastAsia="zh-CN"/>
              </w:rPr>
              <w:t>根据供应商提供的自有检校设备的购置发票或实验室实地照片等证明材料，进行评审：</w:t>
            </w:r>
          </w:p>
          <w:p>
            <w:pPr>
              <w:spacing w:line="360" w:lineRule="auto"/>
              <w:jc w:val="left"/>
              <w:rPr>
                <w:rFonts w:hint="default" w:ascii="宋体" w:hAnsi="宋体" w:cs="仿宋"/>
                <w:sz w:val="24"/>
                <w:highlight w:val="none"/>
                <w:lang w:val="en-US" w:eastAsia="zh-CN"/>
              </w:rPr>
            </w:pPr>
            <w:r>
              <w:rPr>
                <w:rFonts w:hint="default" w:ascii="宋体" w:hAnsi="宋体" w:cs="仿宋"/>
                <w:sz w:val="24"/>
                <w:highlight w:val="none"/>
                <w:lang w:val="en-US" w:eastAsia="zh-CN"/>
              </w:rPr>
              <w:t>A</w:t>
            </w:r>
            <w:r>
              <w:rPr>
                <w:rFonts w:hint="eastAsia" w:ascii="宋体" w:hAnsi="宋体" w:cs="仿宋"/>
                <w:sz w:val="24"/>
                <w:highlight w:val="none"/>
                <w:lang w:val="en-US" w:eastAsia="zh-CN"/>
              </w:rPr>
              <w:t>.</w:t>
            </w:r>
            <w:r>
              <w:rPr>
                <w:rFonts w:hint="default" w:ascii="宋体" w:hAnsi="宋体" w:cs="仿宋"/>
                <w:sz w:val="24"/>
                <w:highlight w:val="none"/>
                <w:lang w:val="en-US" w:eastAsia="zh-CN"/>
              </w:rPr>
              <w:t>自有检校设备性能先进，溯源合格，设备参数符合检定规程或校准规范要求的，得</w:t>
            </w:r>
            <w:r>
              <w:rPr>
                <w:rFonts w:hint="eastAsia" w:ascii="宋体" w:hAnsi="宋体" w:cs="仿宋"/>
                <w:sz w:val="24"/>
                <w:highlight w:val="none"/>
                <w:lang w:val="en-US" w:eastAsia="zh-CN"/>
              </w:rPr>
              <w:t>7</w:t>
            </w:r>
            <w:r>
              <w:rPr>
                <w:rFonts w:hint="default" w:ascii="宋体" w:hAnsi="宋体" w:cs="仿宋"/>
                <w:sz w:val="24"/>
                <w:highlight w:val="none"/>
                <w:lang w:val="en-US" w:eastAsia="zh-CN"/>
              </w:rPr>
              <w:t>分；</w:t>
            </w:r>
          </w:p>
          <w:p>
            <w:pPr>
              <w:spacing w:line="360" w:lineRule="auto"/>
              <w:jc w:val="left"/>
              <w:rPr>
                <w:rFonts w:hint="default" w:ascii="宋体" w:hAnsi="宋体" w:cs="仿宋"/>
                <w:sz w:val="24"/>
                <w:highlight w:val="none"/>
                <w:lang w:val="en-US" w:eastAsia="zh-CN"/>
              </w:rPr>
            </w:pPr>
            <w:r>
              <w:rPr>
                <w:rFonts w:hint="default" w:ascii="宋体" w:hAnsi="宋体" w:cs="仿宋"/>
                <w:sz w:val="24"/>
                <w:highlight w:val="none"/>
                <w:lang w:val="en-US" w:eastAsia="zh-CN"/>
              </w:rPr>
              <w:t>B</w:t>
            </w:r>
            <w:r>
              <w:rPr>
                <w:rFonts w:hint="eastAsia" w:ascii="宋体" w:hAnsi="宋体" w:cs="仿宋"/>
                <w:sz w:val="24"/>
                <w:highlight w:val="none"/>
                <w:lang w:val="en-US" w:eastAsia="zh-CN"/>
              </w:rPr>
              <w:t>.</w:t>
            </w:r>
            <w:r>
              <w:rPr>
                <w:rFonts w:hint="default" w:ascii="宋体" w:hAnsi="宋体" w:cs="仿宋"/>
                <w:sz w:val="24"/>
                <w:highlight w:val="none"/>
                <w:lang w:val="en-US" w:eastAsia="zh-CN"/>
              </w:rPr>
              <w:t>自有检校设备性能良好，数量满足项目实际需求，符合相关行业规范要求，得</w:t>
            </w:r>
            <w:r>
              <w:rPr>
                <w:rFonts w:hint="eastAsia" w:ascii="宋体" w:hAnsi="宋体" w:cs="仿宋"/>
                <w:sz w:val="24"/>
                <w:highlight w:val="none"/>
                <w:lang w:val="en-US" w:eastAsia="zh-CN"/>
              </w:rPr>
              <w:t>5</w:t>
            </w:r>
            <w:r>
              <w:rPr>
                <w:rFonts w:hint="default" w:ascii="宋体" w:hAnsi="宋体" w:cs="仿宋"/>
                <w:sz w:val="24"/>
                <w:highlight w:val="none"/>
                <w:lang w:val="en-US" w:eastAsia="zh-CN"/>
              </w:rPr>
              <w:t>分；</w:t>
            </w:r>
          </w:p>
          <w:p>
            <w:pPr>
              <w:spacing w:line="360" w:lineRule="auto"/>
              <w:jc w:val="left"/>
              <w:rPr>
                <w:rFonts w:hint="default" w:ascii="宋体" w:hAnsi="宋体" w:cs="仿宋"/>
                <w:sz w:val="24"/>
                <w:highlight w:val="none"/>
                <w:lang w:val="en-US" w:eastAsia="zh-CN"/>
              </w:rPr>
            </w:pPr>
            <w:r>
              <w:rPr>
                <w:rFonts w:hint="default" w:ascii="宋体" w:hAnsi="宋体" w:cs="仿宋"/>
                <w:sz w:val="24"/>
                <w:highlight w:val="none"/>
                <w:lang w:val="en-US" w:eastAsia="zh-CN"/>
              </w:rPr>
              <w:t>C</w:t>
            </w:r>
            <w:r>
              <w:rPr>
                <w:rFonts w:hint="eastAsia" w:ascii="宋体" w:hAnsi="宋体" w:cs="仿宋"/>
                <w:sz w:val="24"/>
                <w:highlight w:val="none"/>
                <w:lang w:val="en-US" w:eastAsia="zh-CN"/>
              </w:rPr>
              <w:t>.</w:t>
            </w:r>
            <w:r>
              <w:rPr>
                <w:rFonts w:hint="default" w:ascii="宋体" w:hAnsi="宋体" w:cs="仿宋"/>
                <w:sz w:val="24"/>
                <w:highlight w:val="none"/>
                <w:lang w:val="en-US" w:eastAsia="zh-CN"/>
              </w:rPr>
              <w:t>自有检校设备性能较差，数量仅能基本满足项目需求，得</w:t>
            </w:r>
            <w:r>
              <w:rPr>
                <w:rFonts w:hint="eastAsia" w:ascii="宋体" w:hAnsi="宋体" w:cs="仿宋"/>
                <w:sz w:val="24"/>
                <w:highlight w:val="none"/>
                <w:lang w:val="en-US" w:eastAsia="zh-CN"/>
              </w:rPr>
              <w:t>3</w:t>
            </w:r>
            <w:r>
              <w:rPr>
                <w:rFonts w:hint="default" w:ascii="宋体" w:hAnsi="宋体" w:cs="仿宋"/>
                <w:sz w:val="24"/>
                <w:highlight w:val="none"/>
                <w:lang w:val="en-US" w:eastAsia="zh-CN"/>
              </w:rPr>
              <w:t>分。</w:t>
            </w:r>
          </w:p>
          <w:p>
            <w:pPr>
              <w:spacing w:line="360" w:lineRule="auto"/>
              <w:jc w:val="left"/>
              <w:rPr>
                <w:rFonts w:hint="eastAsia" w:ascii="宋体" w:hAnsi="宋体" w:cs="仿宋"/>
                <w:sz w:val="24"/>
                <w:highlight w:val="none"/>
                <w:lang w:val="en-US" w:eastAsia="zh-CN"/>
              </w:rPr>
            </w:pPr>
            <w:r>
              <w:rPr>
                <w:rFonts w:hint="eastAsia" w:ascii="宋体" w:hAnsi="宋体" w:cs="仿宋"/>
                <w:sz w:val="24"/>
                <w:highlight w:val="none"/>
                <w:lang w:val="en-US" w:eastAsia="zh-CN"/>
              </w:rPr>
              <w:t>D.</w:t>
            </w:r>
            <w:r>
              <w:rPr>
                <w:rFonts w:hint="eastAsia" w:ascii="宋体" w:hAnsi="宋体" w:cs="仿宋"/>
                <w:sz w:val="24"/>
                <w:highlight w:val="none"/>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9" w:type="pct"/>
            <w:vMerge w:val="continue"/>
            <w:vAlign w:val="center"/>
          </w:tcPr>
          <w:p>
            <w:pPr>
              <w:spacing w:line="360" w:lineRule="auto"/>
              <w:jc w:val="center"/>
              <w:rPr>
                <w:rFonts w:ascii="宋体" w:hAnsi="宋体" w:cs="仿宋"/>
                <w:sz w:val="24"/>
                <w:highlight w:val="none"/>
              </w:rPr>
            </w:pPr>
          </w:p>
        </w:tc>
        <w:tc>
          <w:tcPr>
            <w:tcW w:w="951" w:type="pct"/>
            <w:vAlign w:val="center"/>
          </w:tcPr>
          <w:p>
            <w:pPr>
              <w:spacing w:line="360" w:lineRule="auto"/>
              <w:jc w:val="center"/>
              <w:rPr>
                <w:rFonts w:hint="eastAsia" w:ascii="宋体" w:hAnsi="宋体" w:cs="宋体"/>
                <w:sz w:val="24"/>
                <w:highlight w:val="none"/>
                <w:lang w:val="en-US" w:eastAsia="zh-CN"/>
              </w:rPr>
            </w:pPr>
            <w:r>
              <w:rPr>
                <w:rFonts w:hint="eastAsia" w:ascii="宋体" w:hAnsi="宋体" w:cs="宋体"/>
                <w:sz w:val="24"/>
                <w:highlight w:val="none"/>
                <w:lang w:val="en-US" w:eastAsia="zh-CN"/>
              </w:rPr>
              <w:t>拟派团队成员情况</w:t>
            </w:r>
          </w:p>
          <w:p>
            <w:pPr>
              <w:spacing w:line="360" w:lineRule="auto"/>
              <w:jc w:val="center"/>
              <w:rPr>
                <w:rFonts w:hint="default" w:ascii="宋体" w:hAnsi="宋体" w:cs="宋体"/>
                <w:sz w:val="24"/>
                <w:highlight w:val="none"/>
                <w:lang w:val="en-US" w:eastAsia="zh-CN"/>
              </w:rPr>
            </w:pPr>
            <w:r>
              <w:rPr>
                <w:rFonts w:hint="eastAsia" w:ascii="宋体" w:hAnsi="宋体" w:cs="宋体"/>
                <w:sz w:val="24"/>
                <w:highlight w:val="none"/>
                <w:lang w:val="en-US" w:eastAsia="zh-CN"/>
              </w:rPr>
              <w:t>7分</w:t>
            </w:r>
          </w:p>
        </w:tc>
        <w:tc>
          <w:tcPr>
            <w:tcW w:w="3519" w:type="pct"/>
            <w:tcBorders>
              <w:top w:val="single" w:color="auto" w:sz="4" w:space="0"/>
            </w:tcBorders>
            <w:vAlign w:val="center"/>
          </w:tcPr>
          <w:p>
            <w:pPr>
              <w:spacing w:line="360" w:lineRule="auto"/>
              <w:jc w:val="left"/>
              <w:rPr>
                <w:rFonts w:hint="eastAsia" w:ascii="宋体" w:hAnsi="宋体" w:cs="仿宋"/>
                <w:sz w:val="24"/>
                <w:highlight w:val="none"/>
                <w:lang w:val="en-US" w:eastAsia="zh-CN"/>
              </w:rPr>
            </w:pPr>
            <w:r>
              <w:rPr>
                <w:rFonts w:hint="eastAsia" w:ascii="宋体" w:hAnsi="宋体" w:cs="仿宋"/>
                <w:sz w:val="24"/>
                <w:highlight w:val="none"/>
                <w:lang w:val="en-US" w:eastAsia="zh-CN"/>
              </w:rPr>
              <w:t>对响应人提供的团队人员整体配备情况进行综合评价：</w:t>
            </w:r>
          </w:p>
          <w:p>
            <w:pPr>
              <w:spacing w:line="360" w:lineRule="auto"/>
              <w:jc w:val="left"/>
              <w:rPr>
                <w:rFonts w:hint="eastAsia" w:ascii="宋体" w:hAnsi="宋体" w:cs="仿宋"/>
                <w:sz w:val="24"/>
                <w:highlight w:val="none"/>
                <w:lang w:val="en-US" w:eastAsia="zh-CN"/>
              </w:rPr>
            </w:pPr>
            <w:r>
              <w:rPr>
                <w:rFonts w:hint="eastAsia" w:ascii="宋体" w:hAnsi="宋体" w:cs="仿宋"/>
                <w:sz w:val="24"/>
                <w:highlight w:val="none"/>
                <w:lang w:val="en-US" w:eastAsia="zh-CN"/>
              </w:rPr>
              <w:t>A.为本项目配置的人员数量充足（4人及以上），团队整体资质水平高，以往服务经验丰富，服务能力强，服务团队人员稳定切措施完善、可操作性强，得7分；</w:t>
            </w:r>
          </w:p>
          <w:p>
            <w:pPr>
              <w:spacing w:line="360" w:lineRule="auto"/>
              <w:jc w:val="left"/>
              <w:rPr>
                <w:rFonts w:hint="eastAsia" w:ascii="宋体" w:hAnsi="宋体" w:cs="仿宋"/>
                <w:sz w:val="24"/>
                <w:highlight w:val="none"/>
                <w:lang w:val="en-US" w:eastAsia="zh-CN"/>
              </w:rPr>
            </w:pPr>
            <w:r>
              <w:rPr>
                <w:rFonts w:hint="eastAsia" w:ascii="宋体" w:hAnsi="宋体" w:cs="仿宋"/>
                <w:sz w:val="24"/>
                <w:highlight w:val="none"/>
                <w:lang w:val="en-US" w:eastAsia="zh-CN"/>
              </w:rPr>
              <w:t>B.为本项目配置的人员比较齐全（3人及以上），团队整体资质水平较高，以往服务经验较丰富，服务团队人员比较稳定且措施比较完善、可操作性较强，但有瑕疵，得5分；</w:t>
            </w:r>
          </w:p>
          <w:p>
            <w:pPr>
              <w:spacing w:line="360" w:lineRule="auto"/>
              <w:jc w:val="left"/>
              <w:rPr>
                <w:rFonts w:hint="eastAsia" w:ascii="宋体" w:hAnsi="宋体" w:cs="仿宋"/>
                <w:sz w:val="24"/>
                <w:highlight w:val="none"/>
                <w:lang w:val="en-US" w:eastAsia="zh-CN"/>
              </w:rPr>
            </w:pPr>
            <w:r>
              <w:rPr>
                <w:rFonts w:hint="eastAsia" w:ascii="宋体" w:hAnsi="宋体" w:cs="仿宋"/>
                <w:sz w:val="24"/>
                <w:highlight w:val="none"/>
                <w:lang w:val="en-US" w:eastAsia="zh-CN"/>
              </w:rPr>
              <w:t>C.为本项目配置的人员数量不足或资质水平较差，无法保障团队服务人员的稳定性，或存在明显问题，得3分；</w:t>
            </w:r>
          </w:p>
          <w:p>
            <w:pPr>
              <w:spacing w:line="360" w:lineRule="auto"/>
              <w:jc w:val="left"/>
              <w:rPr>
                <w:rFonts w:hint="eastAsia" w:ascii="宋体" w:hAnsi="宋体" w:cs="仿宋"/>
                <w:sz w:val="24"/>
                <w:highlight w:val="none"/>
                <w:lang w:val="en-US" w:eastAsia="zh-CN"/>
              </w:rPr>
            </w:pPr>
            <w:r>
              <w:rPr>
                <w:rFonts w:hint="eastAsia" w:ascii="宋体" w:hAnsi="宋体" w:cs="仿宋"/>
                <w:sz w:val="24"/>
                <w:highlight w:val="none"/>
                <w:lang w:val="en-US" w:eastAsia="zh-CN"/>
              </w:rPr>
              <w:t>D.未提供不得分。</w:t>
            </w:r>
          </w:p>
          <w:p>
            <w:pPr>
              <w:spacing w:line="360" w:lineRule="auto"/>
              <w:jc w:val="left"/>
              <w:rPr>
                <w:rFonts w:hint="eastAsia"/>
                <w:highlight w:val="none"/>
                <w:lang w:val="en-US" w:eastAsia="zh-CN"/>
              </w:rPr>
            </w:pPr>
            <w:r>
              <w:rPr>
                <w:rFonts w:hint="eastAsia" w:ascii="宋体" w:hAnsi="宋体" w:cs="仿宋"/>
                <w:sz w:val="24"/>
                <w:highlight w:val="none"/>
                <w:lang w:val="en-US" w:eastAsia="zh-CN"/>
              </w:rPr>
              <w:t>注：所有团队人员需提供当前参保单位为响应人的三个月以上的社会保险参保证明一份。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7" w:hRule="atLeast"/>
        </w:trPr>
        <w:tc>
          <w:tcPr>
            <w:tcW w:w="529" w:type="pct"/>
            <w:vMerge w:val="continue"/>
            <w:vAlign w:val="center"/>
          </w:tcPr>
          <w:p>
            <w:pPr>
              <w:spacing w:line="360" w:lineRule="auto"/>
              <w:jc w:val="center"/>
              <w:rPr>
                <w:rFonts w:ascii="宋体" w:hAnsi="宋体" w:cs="仿宋"/>
                <w:sz w:val="24"/>
                <w:highlight w:val="none"/>
              </w:rPr>
            </w:pPr>
          </w:p>
        </w:tc>
        <w:tc>
          <w:tcPr>
            <w:tcW w:w="951" w:type="pct"/>
            <w:vAlign w:val="center"/>
          </w:tcPr>
          <w:p>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企业内部</w:t>
            </w:r>
          </w:p>
          <w:p>
            <w:pPr>
              <w:spacing w:line="360" w:lineRule="auto"/>
              <w:jc w:val="center"/>
              <w:rPr>
                <w:rFonts w:hint="eastAsia" w:ascii="宋体" w:hAnsi="宋体" w:cs="宋体"/>
                <w:sz w:val="24"/>
                <w:szCs w:val="24"/>
                <w:highlight w:val="none"/>
              </w:rPr>
            </w:pPr>
            <w:r>
              <w:rPr>
                <w:rFonts w:hint="eastAsia" w:ascii="宋体" w:hAnsi="宋体" w:cs="宋体"/>
                <w:sz w:val="24"/>
                <w:szCs w:val="24"/>
                <w:highlight w:val="none"/>
              </w:rPr>
              <w:t>管理制度</w:t>
            </w:r>
          </w:p>
          <w:p>
            <w:pPr>
              <w:spacing w:line="360" w:lineRule="auto"/>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4分</w:t>
            </w:r>
          </w:p>
        </w:tc>
        <w:tc>
          <w:tcPr>
            <w:tcW w:w="3519" w:type="pct"/>
            <w:vAlign w:val="center"/>
          </w:tcPr>
          <w:p>
            <w:pPr>
              <w:spacing w:line="360" w:lineRule="auto"/>
              <w:rPr>
                <w:rFonts w:hint="eastAsia"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对响应人提供的公司各项内部管理制度（包含但不限于质量管理制度、人员培训制度及考核方案、服务管理制度等）进行综合评价：</w:t>
            </w:r>
          </w:p>
          <w:p>
            <w:pPr>
              <w:spacing w:line="360" w:lineRule="auto"/>
              <w:rPr>
                <w:rFonts w:hint="eastAsia"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A.管理制度全面详实、高效，得</w:t>
            </w:r>
            <w:r>
              <w:rPr>
                <w:rFonts w:hint="eastAsia" w:ascii="宋体" w:hAnsi="宋体" w:cs="宋体"/>
                <w:color w:val="000000" w:themeColor="text1"/>
                <w:sz w:val="24"/>
                <w:szCs w:val="24"/>
                <w:highlight w:val="none"/>
                <w:lang w:val="en-US" w:eastAsia="zh-CN"/>
                <w14:textFill>
                  <w14:solidFill>
                    <w14:schemeClr w14:val="tx1"/>
                  </w14:solidFill>
                </w14:textFill>
              </w:rPr>
              <w:t>4</w:t>
            </w:r>
            <w:r>
              <w:rPr>
                <w:rFonts w:hint="eastAsia" w:ascii="宋体" w:hAnsi="宋体" w:cs="宋体"/>
                <w:color w:val="000000" w:themeColor="text1"/>
                <w:sz w:val="24"/>
                <w:szCs w:val="24"/>
                <w:highlight w:val="none"/>
                <w:lang w:val="zh-CN"/>
                <w14:textFill>
                  <w14:solidFill>
                    <w14:schemeClr w14:val="tx1"/>
                  </w14:solidFill>
                </w14:textFill>
              </w:rPr>
              <w:t>分；</w:t>
            </w:r>
          </w:p>
          <w:p>
            <w:pPr>
              <w:spacing w:line="360" w:lineRule="auto"/>
              <w:rPr>
                <w:rFonts w:hint="eastAsia"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B.管理制度比较全面详实，但有瑕疵或存在问题，得</w:t>
            </w: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cs="宋体"/>
                <w:color w:val="000000" w:themeColor="text1"/>
                <w:sz w:val="24"/>
                <w:szCs w:val="24"/>
                <w:highlight w:val="none"/>
                <w:lang w:val="zh-CN"/>
                <w14:textFill>
                  <w14:solidFill>
                    <w14:schemeClr w14:val="tx1"/>
                  </w14:solidFill>
                </w14:textFill>
              </w:rPr>
              <w:t>分；</w:t>
            </w:r>
          </w:p>
          <w:p>
            <w:pPr>
              <w:spacing w:line="360" w:lineRule="auto"/>
              <w:rPr>
                <w:rFonts w:hint="eastAsia" w:ascii="宋体" w:hAnsi="宋体" w:cs="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C.管理制度内容不全、粗陋</w:t>
            </w:r>
            <w:r>
              <w:rPr>
                <w:rFonts w:hint="eastAsia" w:ascii="宋体" w:hAnsi="宋体" w:cs="宋体"/>
                <w:color w:val="000000" w:themeColor="text1"/>
                <w:sz w:val="24"/>
                <w:szCs w:val="24"/>
                <w:highlight w:val="none"/>
                <w:lang w:val="en-US" w:eastAsia="zh-CN"/>
                <w14:textFill>
                  <w14:solidFill>
                    <w14:schemeClr w14:val="tx1"/>
                  </w14:solidFill>
                </w14:textFill>
              </w:rPr>
              <w:t>或</w:t>
            </w:r>
            <w:r>
              <w:rPr>
                <w:rFonts w:hint="eastAsia" w:ascii="宋体" w:hAnsi="宋体" w:cs="宋体"/>
                <w:color w:val="000000" w:themeColor="text1"/>
                <w:sz w:val="24"/>
                <w:szCs w:val="24"/>
                <w:highlight w:val="none"/>
                <w:lang w:val="zh-CN"/>
                <w14:textFill>
                  <w14:solidFill>
                    <w14:schemeClr w14:val="tx1"/>
                  </w14:solidFill>
                </w14:textFill>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trPr>
        <w:tc>
          <w:tcPr>
            <w:tcW w:w="529" w:type="pct"/>
            <w:vMerge w:val="continue"/>
            <w:tcBorders>
              <w:bottom w:val="nil"/>
            </w:tcBorders>
            <w:vAlign w:val="center"/>
          </w:tcPr>
          <w:p>
            <w:pPr>
              <w:spacing w:line="360" w:lineRule="auto"/>
              <w:jc w:val="center"/>
              <w:rPr>
                <w:rFonts w:ascii="宋体" w:hAnsi="宋体" w:cs="仿宋"/>
                <w:sz w:val="24"/>
                <w:highlight w:val="none"/>
              </w:rPr>
            </w:pPr>
          </w:p>
        </w:tc>
        <w:tc>
          <w:tcPr>
            <w:tcW w:w="951" w:type="pct"/>
            <w:vAlign w:val="center"/>
          </w:tcPr>
          <w:p>
            <w:pPr>
              <w:spacing w:line="360" w:lineRule="auto"/>
              <w:jc w:val="center"/>
              <w:rPr>
                <w:rFonts w:hint="eastAsia" w:ascii="宋体" w:hAnsi="宋体" w:cs="宋体"/>
                <w:sz w:val="24"/>
                <w:szCs w:val="24"/>
                <w:highlight w:val="none"/>
                <w:lang w:val="zh-CN" w:eastAsia="zh-CN"/>
              </w:rPr>
            </w:pPr>
            <w:r>
              <w:rPr>
                <w:rFonts w:hint="eastAsia" w:ascii="宋体" w:hAnsi="宋体" w:cs="宋体"/>
                <w:sz w:val="24"/>
                <w:szCs w:val="24"/>
                <w:highlight w:val="none"/>
                <w:lang w:val="zh-CN" w:eastAsia="zh-CN"/>
              </w:rPr>
              <w:t>实施方案</w:t>
            </w:r>
          </w:p>
          <w:p>
            <w:pPr>
              <w:spacing w:line="360" w:lineRule="auto"/>
              <w:jc w:val="center"/>
              <w:rPr>
                <w:rFonts w:hint="eastAsia" w:ascii="宋体" w:hAnsi="宋体" w:cs="宋体"/>
                <w:sz w:val="24"/>
                <w:szCs w:val="24"/>
                <w:highlight w:val="none"/>
                <w:lang w:val="zh-CN" w:eastAsia="zh-CN"/>
              </w:rPr>
            </w:pPr>
            <w:r>
              <w:rPr>
                <w:rFonts w:hint="eastAsia" w:ascii="宋体" w:hAnsi="宋体" w:cs="宋体"/>
                <w:sz w:val="24"/>
                <w:szCs w:val="24"/>
                <w:highlight w:val="none"/>
                <w:lang w:val="en-US" w:eastAsia="zh-CN"/>
              </w:rPr>
              <w:t>7</w:t>
            </w:r>
            <w:r>
              <w:rPr>
                <w:rFonts w:hint="eastAsia" w:ascii="宋体" w:hAnsi="宋体" w:cs="宋体"/>
                <w:sz w:val="24"/>
                <w:szCs w:val="24"/>
                <w:highlight w:val="none"/>
                <w:lang w:val="zh-CN" w:eastAsia="zh-CN"/>
              </w:rPr>
              <w:t>分</w:t>
            </w:r>
          </w:p>
        </w:tc>
        <w:tc>
          <w:tcPr>
            <w:tcW w:w="3519" w:type="pct"/>
            <w:vAlign w:val="center"/>
          </w:tcPr>
          <w:p>
            <w:pPr>
              <w:spacing w:line="360" w:lineRule="auto"/>
              <w:rPr>
                <w:rFonts w:hint="eastAsia" w:ascii="宋体" w:hAnsi="宋体" w:cs="宋体"/>
                <w:color w:val="000000" w:themeColor="text1"/>
                <w:sz w:val="24"/>
                <w:szCs w:val="24"/>
                <w:highlight w:val="none"/>
                <w:lang w:val="zh-CN" w:eastAsia="zh-CN"/>
                <w14:textFill>
                  <w14:solidFill>
                    <w14:schemeClr w14:val="tx1"/>
                  </w14:solidFill>
                </w14:textFill>
              </w:rPr>
            </w:pPr>
            <w:r>
              <w:rPr>
                <w:rFonts w:hint="eastAsia" w:ascii="宋体" w:hAnsi="宋体" w:cs="宋体"/>
                <w:color w:val="000000" w:themeColor="text1"/>
                <w:sz w:val="24"/>
                <w:szCs w:val="24"/>
                <w:highlight w:val="none"/>
                <w:lang w:val="zh-CN" w:eastAsia="zh-CN"/>
                <w14:textFill>
                  <w14:solidFill>
                    <w14:schemeClr w14:val="tx1"/>
                  </w14:solidFill>
                </w14:textFill>
              </w:rPr>
              <w:t>对响应人提供的</w:t>
            </w:r>
            <w:r>
              <w:rPr>
                <w:rFonts w:hint="eastAsia" w:ascii="宋体" w:hAnsi="宋体" w:cs="宋体"/>
                <w:color w:val="000000" w:themeColor="text1"/>
                <w:sz w:val="24"/>
                <w:szCs w:val="24"/>
                <w:highlight w:val="none"/>
                <w:lang w:val="en-US" w:eastAsia="zh-CN"/>
                <w14:textFill>
                  <w14:solidFill>
                    <w14:schemeClr w14:val="tx1"/>
                  </w14:solidFill>
                </w14:textFill>
              </w:rPr>
              <w:t>实施方案(</w:t>
            </w:r>
            <w:r>
              <w:rPr>
                <w:rFonts w:hint="eastAsia" w:ascii="宋体" w:hAnsi="宋体" w:cs="宋体"/>
                <w:color w:val="000000" w:themeColor="text1"/>
                <w:sz w:val="24"/>
                <w:szCs w:val="24"/>
                <w:highlight w:val="none"/>
                <w:lang w:val="zh-CN" w:eastAsia="zh-CN"/>
                <w14:textFill>
                  <w14:solidFill>
                    <w14:schemeClr w14:val="tx1"/>
                  </w14:solidFill>
                </w14:textFill>
              </w:rPr>
              <w:t>检校实施方案，质量及售后保证、检校周期进度计划的合理性，响应人在技术支持、快速响应时间等方面</w:t>
            </w:r>
            <w:r>
              <w:rPr>
                <w:rFonts w:hint="eastAsia" w:ascii="宋体" w:hAnsi="宋体" w:cs="宋体"/>
                <w:color w:val="000000" w:themeColor="text1"/>
                <w:sz w:val="24"/>
                <w:szCs w:val="24"/>
                <w:highlight w:val="none"/>
                <w:lang w:val="en-US" w:eastAsia="zh-CN"/>
                <w14:textFill>
                  <w14:solidFill>
                    <w14:schemeClr w14:val="tx1"/>
                  </w14:solidFill>
                </w14:textFill>
              </w:rPr>
              <w:t>)</w:t>
            </w:r>
            <w:r>
              <w:rPr>
                <w:rFonts w:hint="eastAsia" w:ascii="宋体" w:hAnsi="宋体" w:cs="宋体"/>
                <w:color w:val="000000" w:themeColor="text1"/>
                <w:sz w:val="24"/>
                <w:szCs w:val="24"/>
                <w:highlight w:val="none"/>
                <w:lang w:val="zh-CN" w:eastAsia="zh-CN"/>
                <w14:textFill>
                  <w14:solidFill>
                    <w14:schemeClr w14:val="tx1"/>
                  </w14:solidFill>
                </w14:textFill>
              </w:rPr>
              <w:t>进行综合评分：</w:t>
            </w:r>
          </w:p>
          <w:p>
            <w:pPr>
              <w:spacing w:line="360" w:lineRule="auto"/>
              <w:rPr>
                <w:rFonts w:hint="eastAsia" w:ascii="宋体" w:hAnsi="宋体" w:cs="宋体"/>
                <w:color w:val="000000" w:themeColor="text1"/>
                <w:sz w:val="24"/>
                <w:szCs w:val="24"/>
                <w:highlight w:val="none"/>
                <w:lang w:val="zh-CN" w:eastAsia="zh-CN"/>
                <w14:textFill>
                  <w14:solidFill>
                    <w14:schemeClr w14:val="tx1"/>
                  </w14:solidFill>
                </w14:textFill>
              </w:rPr>
            </w:pPr>
            <w:r>
              <w:rPr>
                <w:rFonts w:hint="eastAsia" w:ascii="宋体" w:hAnsi="宋体" w:cs="宋体"/>
                <w:color w:val="000000" w:themeColor="text1"/>
                <w:sz w:val="24"/>
                <w:szCs w:val="24"/>
                <w:highlight w:val="none"/>
                <w:lang w:val="zh-CN" w:eastAsia="zh-CN"/>
                <w14:textFill>
                  <w14:solidFill>
                    <w14:schemeClr w14:val="tx1"/>
                  </w14:solidFill>
                </w14:textFill>
              </w:rPr>
              <w:t>A.方案针对性强，措施完善，进度安排合理、可行，表述清晰，得</w:t>
            </w:r>
            <w:r>
              <w:rPr>
                <w:rFonts w:hint="eastAsia" w:ascii="宋体" w:hAnsi="宋体" w:cs="宋体"/>
                <w:color w:val="000000" w:themeColor="text1"/>
                <w:sz w:val="24"/>
                <w:szCs w:val="24"/>
                <w:highlight w:val="none"/>
                <w:lang w:val="en-US" w:eastAsia="zh-CN"/>
                <w14:textFill>
                  <w14:solidFill>
                    <w14:schemeClr w14:val="tx1"/>
                  </w14:solidFill>
                </w14:textFill>
              </w:rPr>
              <w:t>7</w:t>
            </w:r>
            <w:r>
              <w:rPr>
                <w:rFonts w:hint="eastAsia" w:ascii="宋体" w:hAnsi="宋体" w:cs="宋体"/>
                <w:color w:val="000000" w:themeColor="text1"/>
                <w:sz w:val="24"/>
                <w:szCs w:val="24"/>
                <w:highlight w:val="none"/>
                <w:lang w:val="zh-CN" w:eastAsia="zh-CN"/>
                <w14:textFill>
                  <w14:solidFill>
                    <w14:schemeClr w14:val="tx1"/>
                  </w14:solidFill>
                </w14:textFill>
              </w:rPr>
              <w:t>分；</w:t>
            </w:r>
          </w:p>
          <w:p>
            <w:pPr>
              <w:spacing w:line="360" w:lineRule="auto"/>
              <w:rPr>
                <w:rFonts w:hint="eastAsia" w:ascii="宋体" w:hAnsi="宋体" w:cs="宋体"/>
                <w:color w:val="000000" w:themeColor="text1"/>
                <w:sz w:val="24"/>
                <w:szCs w:val="24"/>
                <w:highlight w:val="none"/>
                <w:lang w:val="zh-CN" w:eastAsia="zh-CN"/>
                <w14:textFill>
                  <w14:solidFill>
                    <w14:schemeClr w14:val="tx1"/>
                  </w14:solidFill>
                </w14:textFill>
              </w:rPr>
            </w:pPr>
            <w:r>
              <w:rPr>
                <w:rFonts w:hint="eastAsia" w:ascii="宋体" w:hAnsi="宋体" w:cs="宋体"/>
                <w:color w:val="000000" w:themeColor="text1"/>
                <w:sz w:val="24"/>
                <w:szCs w:val="24"/>
                <w:highlight w:val="none"/>
                <w:lang w:val="zh-CN" w:eastAsia="zh-CN"/>
                <w14:textFill>
                  <w14:solidFill>
                    <w14:schemeClr w14:val="tx1"/>
                  </w14:solidFill>
                </w14:textFill>
              </w:rPr>
              <w:t>B.方案针对性较强，措施较为完善，进度安排比较合理、可行，表述比较清晰，但有瑕疵，得</w:t>
            </w:r>
            <w:r>
              <w:rPr>
                <w:rFonts w:hint="eastAsia" w:ascii="宋体" w:hAnsi="宋体" w:cs="宋体"/>
                <w:color w:val="000000" w:themeColor="text1"/>
                <w:sz w:val="24"/>
                <w:szCs w:val="24"/>
                <w:highlight w:val="none"/>
                <w:lang w:val="en-US" w:eastAsia="zh-CN"/>
                <w14:textFill>
                  <w14:solidFill>
                    <w14:schemeClr w14:val="tx1"/>
                  </w14:solidFill>
                </w14:textFill>
              </w:rPr>
              <w:t>5</w:t>
            </w:r>
            <w:r>
              <w:rPr>
                <w:rFonts w:hint="eastAsia" w:ascii="宋体" w:hAnsi="宋体" w:cs="宋体"/>
                <w:color w:val="000000" w:themeColor="text1"/>
                <w:sz w:val="24"/>
                <w:szCs w:val="24"/>
                <w:highlight w:val="none"/>
                <w:lang w:val="zh-CN" w:eastAsia="zh-CN"/>
                <w14:textFill>
                  <w14:solidFill>
                    <w14:schemeClr w14:val="tx1"/>
                  </w14:solidFill>
                </w14:textFill>
              </w:rPr>
              <w:t>分；</w:t>
            </w:r>
          </w:p>
          <w:p>
            <w:pPr>
              <w:spacing w:line="360" w:lineRule="auto"/>
              <w:rPr>
                <w:rFonts w:hint="eastAsia" w:ascii="宋体" w:hAnsi="宋体" w:cs="宋体"/>
                <w:color w:val="000000" w:themeColor="text1"/>
                <w:sz w:val="24"/>
                <w:szCs w:val="24"/>
                <w:highlight w:val="none"/>
                <w:lang w:val="zh-CN" w:eastAsia="zh-CN"/>
                <w14:textFill>
                  <w14:solidFill>
                    <w14:schemeClr w14:val="tx1"/>
                  </w14:solidFill>
                </w14:textFill>
              </w:rPr>
            </w:pPr>
            <w:r>
              <w:rPr>
                <w:rFonts w:hint="eastAsia" w:ascii="宋体" w:hAnsi="宋体" w:cs="宋体"/>
                <w:color w:val="000000" w:themeColor="text1"/>
                <w:sz w:val="24"/>
                <w:szCs w:val="24"/>
                <w:highlight w:val="none"/>
                <w:lang w:val="zh-CN" w:eastAsia="zh-CN"/>
                <w14:textFill>
                  <w14:solidFill>
                    <w14:schemeClr w14:val="tx1"/>
                  </w14:solidFill>
                </w14:textFill>
              </w:rPr>
              <w:t>C.方案具有一定的针对性，措施、进度安排比较简单，表述不够清晰，存在少量问题，得</w:t>
            </w: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cs="宋体"/>
                <w:color w:val="000000" w:themeColor="text1"/>
                <w:sz w:val="24"/>
                <w:szCs w:val="24"/>
                <w:highlight w:val="none"/>
                <w:lang w:val="zh-CN" w:eastAsia="zh-CN"/>
                <w14:textFill>
                  <w14:solidFill>
                    <w14:schemeClr w14:val="tx1"/>
                  </w14:solidFill>
                </w14:textFill>
              </w:rPr>
              <w:t>分；</w:t>
            </w:r>
          </w:p>
          <w:p>
            <w:pPr>
              <w:spacing w:line="360" w:lineRule="auto"/>
              <w:rPr>
                <w:rFonts w:hint="eastAsia" w:ascii="宋体" w:hAnsi="宋体" w:cs="宋体"/>
                <w:color w:val="000000" w:themeColor="text1"/>
                <w:sz w:val="24"/>
                <w:szCs w:val="24"/>
                <w:highlight w:val="none"/>
                <w:lang w:val="zh-CN" w:eastAsia="zh-CN"/>
                <w14:textFill>
                  <w14:solidFill>
                    <w14:schemeClr w14:val="tx1"/>
                  </w14:solidFill>
                </w14:textFill>
              </w:rPr>
            </w:pPr>
            <w:r>
              <w:rPr>
                <w:rFonts w:hint="eastAsia" w:ascii="宋体" w:hAnsi="宋体" w:cs="宋体"/>
                <w:color w:val="000000" w:themeColor="text1"/>
                <w:sz w:val="24"/>
                <w:szCs w:val="24"/>
                <w:highlight w:val="none"/>
                <w:lang w:val="zh-CN" w:eastAsia="zh-CN"/>
                <w14:textFill>
                  <w14:solidFill>
                    <w14:schemeClr w14:val="tx1"/>
                  </w14:solidFill>
                </w14:textFill>
              </w:rPr>
              <w:t>D.方案缺乏针对性，措施不完善，进度安排不合理，表述含糊，或方案缺失，得0分。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9" w:type="pct"/>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仿宋"/>
                <w:sz w:val="24"/>
                <w:highlight w:val="none"/>
              </w:rPr>
            </w:pPr>
          </w:p>
        </w:tc>
        <w:tc>
          <w:tcPr>
            <w:tcW w:w="951" w:type="pct"/>
            <w:tcBorders>
              <w:left w:val="single" w:color="auto" w:sz="4" w:space="0"/>
            </w:tcBorders>
            <w:vAlign w:val="center"/>
          </w:tcPr>
          <w:p>
            <w:pPr>
              <w:spacing w:line="360" w:lineRule="auto"/>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疫情防控方案</w:t>
            </w:r>
          </w:p>
          <w:p>
            <w:pPr>
              <w:spacing w:line="360" w:lineRule="auto"/>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4分</w:t>
            </w:r>
          </w:p>
        </w:tc>
        <w:tc>
          <w:tcPr>
            <w:tcW w:w="3519" w:type="pct"/>
            <w:vAlign w:val="center"/>
          </w:tcPr>
          <w:p>
            <w:pPr>
              <w:spacing w:line="360" w:lineRule="auto"/>
              <w:rPr>
                <w:rFonts w:hint="eastAsia" w:ascii="宋体" w:hAnsi="宋体" w:cs="宋体"/>
                <w:color w:val="000000" w:themeColor="text1"/>
                <w:sz w:val="24"/>
                <w:szCs w:val="24"/>
                <w:highlight w:val="none"/>
                <w:lang w:val="zh-CN" w:eastAsia="zh-CN"/>
                <w14:textFill>
                  <w14:solidFill>
                    <w14:schemeClr w14:val="tx1"/>
                  </w14:solidFill>
                </w14:textFill>
              </w:rPr>
            </w:pPr>
            <w:r>
              <w:rPr>
                <w:rFonts w:hint="default" w:ascii="宋体" w:hAnsi="宋体" w:cs="宋体"/>
                <w:color w:val="000000" w:themeColor="text1"/>
                <w:sz w:val="24"/>
                <w:szCs w:val="24"/>
                <w:highlight w:val="none"/>
                <w:lang w:val="zh-CN" w:eastAsia="zh-CN"/>
                <w14:textFill>
                  <w14:solidFill>
                    <w14:schemeClr w14:val="tx1"/>
                  </w14:solidFill>
                </w14:textFill>
              </w:rPr>
              <w:t>根据</w:t>
            </w:r>
            <w:r>
              <w:rPr>
                <w:rFonts w:hint="eastAsia" w:ascii="宋体" w:hAnsi="宋体" w:cs="宋体"/>
                <w:color w:val="000000" w:themeColor="text1"/>
                <w:sz w:val="24"/>
                <w:szCs w:val="24"/>
                <w:highlight w:val="none"/>
                <w:lang w:val="zh-CN" w:eastAsia="zh-CN"/>
                <w14:textFill>
                  <w14:solidFill>
                    <w14:schemeClr w14:val="tx1"/>
                  </w14:solidFill>
                </w14:textFill>
              </w:rPr>
              <w:t>响应人</w:t>
            </w:r>
            <w:r>
              <w:rPr>
                <w:rFonts w:hint="default" w:ascii="宋体" w:hAnsi="宋体" w:cs="宋体"/>
                <w:color w:val="000000" w:themeColor="text1"/>
                <w:sz w:val="24"/>
                <w:szCs w:val="24"/>
                <w:highlight w:val="none"/>
                <w:lang w:val="zh-CN" w:eastAsia="zh-CN"/>
                <w14:textFill>
                  <w14:solidFill>
                    <w14:schemeClr w14:val="tx1"/>
                  </w14:solidFill>
                </w14:textFill>
              </w:rPr>
              <w:t>提供的疫情防控方案，分三个评价等级打分：</w:t>
            </w:r>
          </w:p>
          <w:p>
            <w:pPr>
              <w:spacing w:line="360" w:lineRule="auto"/>
              <w:rPr>
                <w:rFonts w:hint="default" w:ascii="宋体" w:hAnsi="宋体" w:cs="宋体"/>
                <w:color w:val="000000" w:themeColor="text1"/>
                <w:sz w:val="24"/>
                <w:szCs w:val="24"/>
                <w:highlight w:val="none"/>
                <w:lang w:val="zh-CN" w:eastAsia="zh-CN"/>
                <w14:textFill>
                  <w14:solidFill>
                    <w14:schemeClr w14:val="tx1"/>
                  </w14:solidFill>
                </w14:textFill>
              </w:rPr>
            </w:pPr>
            <w:r>
              <w:rPr>
                <w:rFonts w:hint="default" w:ascii="宋体" w:hAnsi="宋体" w:cs="宋体"/>
                <w:color w:val="000000" w:themeColor="text1"/>
                <w:sz w:val="24"/>
                <w:szCs w:val="24"/>
                <w:highlight w:val="none"/>
                <w:lang w:val="zh-CN" w:eastAsia="zh-CN"/>
                <w14:textFill>
                  <w14:solidFill>
                    <w14:schemeClr w14:val="tx1"/>
                  </w14:solidFill>
                </w14:textFill>
              </w:rPr>
              <w:t>A.方案全面、详实、完善，细节描述清晰得</w:t>
            </w:r>
            <w:r>
              <w:rPr>
                <w:rFonts w:hint="eastAsia" w:ascii="宋体" w:hAnsi="宋体" w:cs="宋体"/>
                <w:color w:val="000000" w:themeColor="text1"/>
                <w:sz w:val="24"/>
                <w:szCs w:val="24"/>
                <w:highlight w:val="none"/>
                <w:lang w:val="en-US" w:eastAsia="zh-CN"/>
                <w14:textFill>
                  <w14:solidFill>
                    <w14:schemeClr w14:val="tx1"/>
                  </w14:solidFill>
                </w14:textFill>
              </w:rPr>
              <w:t>4</w:t>
            </w:r>
            <w:r>
              <w:rPr>
                <w:rFonts w:hint="default" w:ascii="宋体" w:hAnsi="宋体" w:cs="宋体"/>
                <w:color w:val="000000" w:themeColor="text1"/>
                <w:sz w:val="24"/>
                <w:szCs w:val="24"/>
                <w:highlight w:val="none"/>
                <w:lang w:val="zh-CN" w:eastAsia="zh-CN"/>
                <w14:textFill>
                  <w14:solidFill>
                    <w14:schemeClr w14:val="tx1"/>
                  </w14:solidFill>
                </w14:textFill>
              </w:rPr>
              <w:t>分；</w:t>
            </w:r>
          </w:p>
          <w:p>
            <w:pPr>
              <w:spacing w:line="360" w:lineRule="auto"/>
              <w:rPr>
                <w:rFonts w:hint="default" w:ascii="宋体" w:hAnsi="宋体" w:cs="宋体"/>
                <w:color w:val="000000" w:themeColor="text1"/>
                <w:sz w:val="24"/>
                <w:szCs w:val="24"/>
                <w:highlight w:val="none"/>
                <w:lang w:val="zh-CN" w:eastAsia="zh-CN"/>
                <w14:textFill>
                  <w14:solidFill>
                    <w14:schemeClr w14:val="tx1"/>
                  </w14:solidFill>
                </w14:textFill>
              </w:rPr>
            </w:pPr>
            <w:r>
              <w:rPr>
                <w:rFonts w:hint="default" w:ascii="宋体" w:hAnsi="宋体" w:cs="宋体"/>
                <w:color w:val="000000" w:themeColor="text1"/>
                <w:sz w:val="24"/>
                <w:szCs w:val="24"/>
                <w:highlight w:val="none"/>
                <w:lang w:val="zh-CN" w:eastAsia="zh-CN"/>
                <w14:textFill>
                  <w14:solidFill>
                    <w14:schemeClr w14:val="tx1"/>
                  </w14:solidFill>
                </w14:textFill>
              </w:rPr>
              <w:t>B.方案比较完善，细节描述比较清晰得2分；</w:t>
            </w:r>
          </w:p>
          <w:p>
            <w:pPr>
              <w:spacing w:line="360" w:lineRule="auto"/>
              <w:rPr>
                <w:rFonts w:hint="eastAsia" w:ascii="宋体" w:hAnsi="宋体" w:cs="宋体"/>
                <w:color w:val="000000" w:themeColor="text1"/>
                <w:sz w:val="24"/>
                <w:szCs w:val="24"/>
                <w:highlight w:val="none"/>
                <w:lang w:val="zh-CN" w:eastAsia="zh-CN"/>
                <w14:textFill>
                  <w14:solidFill>
                    <w14:schemeClr w14:val="tx1"/>
                  </w14:solidFill>
                </w14:textFill>
              </w:rPr>
            </w:pPr>
            <w:r>
              <w:rPr>
                <w:rFonts w:hint="default" w:ascii="宋体" w:hAnsi="宋体" w:cs="宋体"/>
                <w:color w:val="000000" w:themeColor="text1"/>
                <w:sz w:val="24"/>
                <w:szCs w:val="24"/>
                <w:highlight w:val="none"/>
                <w:lang w:val="zh-CN" w:eastAsia="zh-CN"/>
                <w14:textFill>
                  <w14:solidFill>
                    <w14:schemeClr w14:val="tx1"/>
                  </w14:solidFill>
                </w14:textFill>
              </w:rPr>
              <w:t>C.方案简略或缺失，得0分。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9" w:type="pct"/>
            <w:tcBorders>
              <w:top w:val="single" w:color="auto" w:sz="4" w:space="0"/>
              <w:bottom w:val="single" w:color="auto" w:sz="4" w:space="0"/>
            </w:tcBorders>
            <w:vAlign w:val="center"/>
          </w:tcPr>
          <w:p>
            <w:pPr>
              <w:spacing w:line="360" w:lineRule="auto"/>
              <w:jc w:val="center"/>
              <w:rPr>
                <w:rFonts w:ascii="宋体" w:hAnsi="宋体" w:cs="仿宋"/>
                <w:sz w:val="24"/>
                <w:highlight w:val="none"/>
              </w:rPr>
            </w:pPr>
            <w:r>
              <w:rPr>
                <w:rFonts w:hint="eastAsia" w:ascii="宋体" w:hAnsi="宋体" w:cs="仿宋"/>
                <w:sz w:val="24"/>
                <w:highlight w:val="none"/>
              </w:rPr>
              <w:t>商务</w:t>
            </w:r>
          </w:p>
          <w:p>
            <w:pPr>
              <w:spacing w:line="360" w:lineRule="auto"/>
              <w:jc w:val="center"/>
              <w:rPr>
                <w:rFonts w:ascii="宋体" w:hAnsi="宋体" w:cs="仿宋"/>
                <w:sz w:val="24"/>
                <w:highlight w:val="none"/>
              </w:rPr>
            </w:pPr>
            <w:r>
              <w:rPr>
                <w:rFonts w:hint="eastAsia" w:ascii="宋体" w:hAnsi="宋体" w:cs="仿宋"/>
                <w:sz w:val="24"/>
                <w:highlight w:val="none"/>
              </w:rPr>
              <w:t>部分</w:t>
            </w:r>
          </w:p>
          <w:p>
            <w:pPr>
              <w:spacing w:line="360" w:lineRule="auto"/>
              <w:jc w:val="center"/>
              <w:rPr>
                <w:rFonts w:ascii="宋体" w:hAnsi="宋体" w:cs="仿宋"/>
                <w:sz w:val="24"/>
                <w:highlight w:val="none"/>
              </w:rPr>
            </w:pPr>
            <w:r>
              <w:rPr>
                <w:rFonts w:hint="eastAsia" w:ascii="宋体" w:hAnsi="宋体" w:cs="仿宋"/>
                <w:color w:val="auto"/>
                <w:sz w:val="24"/>
                <w:highlight w:val="none"/>
                <w:lang w:val="en-US" w:eastAsia="zh-CN"/>
              </w:rPr>
              <w:t>6</w:t>
            </w:r>
            <w:r>
              <w:rPr>
                <w:rFonts w:hint="eastAsia" w:ascii="宋体" w:hAnsi="宋体" w:cs="仿宋"/>
                <w:color w:val="auto"/>
                <w:sz w:val="24"/>
                <w:highlight w:val="none"/>
              </w:rPr>
              <w:t>分</w:t>
            </w:r>
          </w:p>
        </w:tc>
        <w:tc>
          <w:tcPr>
            <w:tcW w:w="951" w:type="pct"/>
            <w:vAlign w:val="center"/>
          </w:tcPr>
          <w:p>
            <w:pPr>
              <w:spacing w:line="360" w:lineRule="auto"/>
              <w:jc w:val="center"/>
              <w:rPr>
                <w:rFonts w:ascii="宋体" w:hAnsi="宋体" w:cs="宋体"/>
                <w:sz w:val="24"/>
                <w:highlight w:val="none"/>
              </w:rPr>
            </w:pPr>
            <w:r>
              <w:rPr>
                <w:rFonts w:hint="eastAsia" w:ascii="宋体" w:hAnsi="宋体" w:cs="宋体"/>
                <w:sz w:val="24"/>
                <w:highlight w:val="none"/>
              </w:rPr>
              <w:t>同类项目业绩</w:t>
            </w:r>
          </w:p>
          <w:p>
            <w:pPr>
              <w:spacing w:line="360" w:lineRule="auto"/>
              <w:jc w:val="center"/>
              <w:rPr>
                <w:rFonts w:ascii="宋体" w:hAnsi="宋体" w:cs="宋体"/>
                <w:sz w:val="24"/>
                <w:highlight w:val="none"/>
              </w:rPr>
            </w:pPr>
            <w:r>
              <w:rPr>
                <w:rFonts w:hint="eastAsia" w:ascii="宋体" w:hAnsi="宋体" w:cs="宋体"/>
                <w:sz w:val="24"/>
                <w:highlight w:val="none"/>
                <w:lang w:val="en-US" w:eastAsia="zh-CN"/>
              </w:rPr>
              <w:t>6</w:t>
            </w:r>
            <w:r>
              <w:rPr>
                <w:rFonts w:hint="eastAsia" w:ascii="宋体" w:hAnsi="宋体" w:cs="宋体"/>
                <w:sz w:val="24"/>
                <w:highlight w:val="none"/>
              </w:rPr>
              <w:t>分</w:t>
            </w:r>
          </w:p>
        </w:tc>
        <w:tc>
          <w:tcPr>
            <w:tcW w:w="3519" w:type="pct"/>
          </w:tcPr>
          <w:p>
            <w:pPr>
              <w:spacing w:line="360" w:lineRule="auto"/>
              <w:rPr>
                <w:rFonts w:hint="default" w:ascii="宋体" w:hAnsi="宋体" w:cs="宋体"/>
                <w:color w:val="000000" w:themeColor="text1"/>
                <w:sz w:val="24"/>
                <w:szCs w:val="24"/>
                <w:highlight w:val="none"/>
                <w:lang w:val="zh-CN" w:eastAsia="zh-CN"/>
                <w14:textFill>
                  <w14:solidFill>
                    <w14:schemeClr w14:val="tx1"/>
                  </w14:solidFill>
                </w14:textFill>
              </w:rPr>
            </w:pPr>
            <w:r>
              <w:rPr>
                <w:rFonts w:hint="eastAsia" w:ascii="宋体" w:hAnsi="宋体" w:cs="宋体"/>
                <w:color w:val="000000" w:themeColor="text1"/>
                <w:sz w:val="24"/>
                <w:szCs w:val="24"/>
                <w:highlight w:val="none"/>
                <w:lang w:val="zh-CN" w:eastAsia="zh-CN"/>
                <w14:textFill>
                  <w14:solidFill>
                    <w14:schemeClr w14:val="tx1"/>
                  </w14:solidFill>
                </w14:textFill>
              </w:rPr>
              <w:t>响应人自20</w:t>
            </w:r>
            <w:r>
              <w:rPr>
                <w:rFonts w:hint="eastAsia" w:ascii="宋体" w:hAnsi="宋体" w:cs="宋体"/>
                <w:color w:val="000000" w:themeColor="text1"/>
                <w:sz w:val="24"/>
                <w:szCs w:val="24"/>
                <w:highlight w:val="none"/>
                <w:lang w:val="en-US" w:eastAsia="zh-CN"/>
                <w14:textFill>
                  <w14:solidFill>
                    <w14:schemeClr w14:val="tx1"/>
                  </w14:solidFill>
                </w14:textFill>
              </w:rPr>
              <w:t>20</w:t>
            </w:r>
            <w:r>
              <w:rPr>
                <w:rFonts w:hint="eastAsia" w:ascii="宋体" w:hAnsi="宋体" w:cs="宋体"/>
                <w:color w:val="000000" w:themeColor="text1"/>
                <w:sz w:val="24"/>
                <w:szCs w:val="24"/>
                <w:highlight w:val="none"/>
                <w:lang w:val="zh-CN" w:eastAsia="zh-CN"/>
                <w14:textFill>
                  <w14:solidFill>
                    <w14:schemeClr w14:val="tx1"/>
                  </w14:solidFill>
                </w14:textFill>
              </w:rPr>
              <w:t>年</w:t>
            </w:r>
            <w:r>
              <w:rPr>
                <w:rFonts w:hint="eastAsia" w:ascii="宋体" w:hAnsi="宋体" w:cs="宋体"/>
                <w:color w:val="000000" w:themeColor="text1"/>
                <w:sz w:val="24"/>
                <w:szCs w:val="24"/>
                <w:highlight w:val="none"/>
                <w:lang w:val="en-US" w:eastAsia="zh-CN"/>
                <w14:textFill>
                  <w14:solidFill>
                    <w14:schemeClr w14:val="tx1"/>
                  </w14:solidFill>
                </w14:textFill>
              </w:rPr>
              <w:t>1</w:t>
            </w:r>
            <w:r>
              <w:rPr>
                <w:rFonts w:hint="eastAsia" w:ascii="宋体" w:hAnsi="宋体" w:cs="宋体"/>
                <w:color w:val="000000" w:themeColor="text1"/>
                <w:sz w:val="24"/>
                <w:szCs w:val="24"/>
                <w:highlight w:val="none"/>
                <w:lang w:val="zh-CN" w:eastAsia="zh-CN"/>
                <w14:textFill>
                  <w14:solidFill>
                    <w14:schemeClr w14:val="tx1"/>
                  </w14:solidFill>
                </w14:textFill>
              </w:rPr>
              <w:t>月1日至今已完成的同类项目，每项得</w:t>
            </w:r>
            <w:r>
              <w:rPr>
                <w:rFonts w:hint="eastAsia" w:ascii="宋体" w:hAnsi="宋体" w:cs="宋体"/>
                <w:color w:val="000000" w:themeColor="text1"/>
                <w:sz w:val="24"/>
                <w:szCs w:val="24"/>
                <w:highlight w:val="none"/>
                <w:lang w:val="en-US" w:eastAsia="zh-CN"/>
                <w14:textFill>
                  <w14:solidFill>
                    <w14:schemeClr w14:val="tx1"/>
                  </w14:solidFill>
                </w14:textFill>
              </w:rPr>
              <w:t>1</w:t>
            </w:r>
            <w:r>
              <w:rPr>
                <w:rFonts w:hint="eastAsia" w:ascii="宋体" w:hAnsi="宋体" w:cs="宋体"/>
                <w:color w:val="000000" w:themeColor="text1"/>
                <w:sz w:val="24"/>
                <w:szCs w:val="24"/>
                <w:highlight w:val="none"/>
                <w:lang w:val="zh-CN" w:eastAsia="zh-CN"/>
                <w14:textFill>
                  <w14:solidFill>
                    <w14:schemeClr w14:val="tx1"/>
                  </w14:solidFill>
                </w14:textFill>
              </w:rPr>
              <w:t>分，满分</w:t>
            </w:r>
            <w:r>
              <w:rPr>
                <w:rFonts w:hint="eastAsia" w:ascii="宋体" w:hAnsi="宋体" w:cs="宋体"/>
                <w:color w:val="000000" w:themeColor="text1"/>
                <w:sz w:val="24"/>
                <w:szCs w:val="24"/>
                <w:highlight w:val="none"/>
                <w:lang w:val="en-US" w:eastAsia="zh-CN"/>
                <w14:textFill>
                  <w14:solidFill>
                    <w14:schemeClr w14:val="tx1"/>
                  </w14:solidFill>
                </w14:textFill>
              </w:rPr>
              <w:t>6</w:t>
            </w:r>
            <w:r>
              <w:rPr>
                <w:rFonts w:hint="eastAsia" w:ascii="宋体" w:hAnsi="宋体" w:cs="宋体"/>
                <w:color w:val="000000" w:themeColor="text1"/>
                <w:sz w:val="24"/>
                <w:szCs w:val="24"/>
                <w:highlight w:val="none"/>
                <w:lang w:val="zh-CN" w:eastAsia="zh-CN"/>
                <w14:textFill>
                  <w14:solidFill>
                    <w14:schemeClr w14:val="tx1"/>
                  </w14:solidFill>
                </w14:textFill>
              </w:rPr>
              <w:t>分。</w:t>
            </w:r>
          </w:p>
          <w:p>
            <w:pPr>
              <w:spacing w:line="360" w:lineRule="auto"/>
              <w:rPr>
                <w:rFonts w:hint="eastAsia" w:ascii="宋体" w:hAnsi="宋体" w:cs="宋体"/>
                <w:color w:val="000000" w:themeColor="text1"/>
                <w:sz w:val="24"/>
                <w:szCs w:val="24"/>
                <w:highlight w:val="none"/>
                <w:lang w:val="zh-CN" w:eastAsia="zh-CN"/>
                <w14:textFill>
                  <w14:solidFill>
                    <w14:schemeClr w14:val="tx1"/>
                  </w14:solidFill>
                </w14:textFill>
              </w:rPr>
            </w:pPr>
            <w:r>
              <w:rPr>
                <w:rFonts w:hint="eastAsia" w:ascii="宋体" w:hAnsi="宋体" w:cs="宋体"/>
                <w:color w:val="000000" w:themeColor="text1"/>
                <w:sz w:val="24"/>
                <w:szCs w:val="24"/>
                <w:highlight w:val="none"/>
                <w:lang w:val="zh-CN" w:eastAsia="zh-CN"/>
                <w14:textFill>
                  <w14:solidFill>
                    <w14:schemeClr w14:val="tx1"/>
                  </w14:solidFill>
                </w14:textFill>
              </w:rPr>
              <w:t>注：响应人须在响应文件提供每项服务的合同复印件（须加盖响应人公章）、检定与校准证书复印件各两份以上，</w:t>
            </w:r>
          </w:p>
          <w:p>
            <w:pPr>
              <w:spacing w:line="360" w:lineRule="auto"/>
              <w:rPr>
                <w:rFonts w:hint="default" w:ascii="宋体" w:hAnsi="宋体" w:cs="宋体"/>
                <w:color w:val="000000" w:themeColor="text1"/>
                <w:sz w:val="24"/>
                <w:szCs w:val="24"/>
                <w:highlight w:val="none"/>
                <w:lang w:val="zh-CN" w:eastAsia="zh-CN"/>
                <w14:textFill>
                  <w14:solidFill>
                    <w14:schemeClr w14:val="tx1"/>
                  </w14:solidFill>
                </w14:textFill>
              </w:rPr>
            </w:pPr>
            <w:r>
              <w:rPr>
                <w:rFonts w:hint="eastAsia" w:ascii="宋体" w:hAnsi="宋体" w:cs="宋体"/>
                <w:color w:val="000000" w:themeColor="text1"/>
                <w:sz w:val="24"/>
                <w:szCs w:val="24"/>
                <w:highlight w:val="none"/>
                <w:lang w:val="zh-CN" w:eastAsia="zh-CN"/>
                <w14:textFill>
                  <w14:solidFill>
                    <w14:schemeClr w14:val="tx1"/>
                  </w14:solidFill>
                </w14:textFill>
              </w:rPr>
              <w:t>同时提供合同原件备查，时间以合同签订时间为准，否则不得分。</w:t>
            </w:r>
          </w:p>
        </w:tc>
      </w:tr>
    </w:tbl>
    <w:p>
      <w:pPr>
        <w:spacing w:line="360" w:lineRule="auto"/>
        <w:ind w:right="2" w:firstLine="480"/>
        <w:rPr>
          <w:rFonts w:hint="eastAsia" w:ascii="宋体" w:hAnsi="宋体"/>
          <w:sz w:val="24"/>
          <w:highlight w:val="none"/>
        </w:rPr>
      </w:pPr>
      <w:r>
        <w:rPr>
          <w:rFonts w:hint="eastAsia" w:ascii="宋体" w:hAnsi="宋体"/>
          <w:sz w:val="24"/>
          <w:highlight w:val="none"/>
        </w:rPr>
        <w:t>注：</w:t>
      </w:r>
    </w:p>
    <w:p>
      <w:pPr>
        <w:spacing w:line="360" w:lineRule="auto"/>
        <w:ind w:right="2" w:firstLine="480"/>
        <w:rPr>
          <w:rFonts w:ascii="宋体" w:hAnsi="宋体"/>
          <w:sz w:val="24"/>
          <w:highlight w:val="none"/>
        </w:rPr>
      </w:pPr>
      <w:r>
        <w:rPr>
          <w:rFonts w:hint="eastAsia" w:ascii="宋体" w:hAnsi="宋体"/>
          <w:sz w:val="24"/>
          <w:highlight w:val="none"/>
        </w:rPr>
        <w:t>1、以上评标标准中要求响应人提交相关证明材料原件（或复印件）的，未装订在</w:t>
      </w:r>
      <w:r>
        <w:rPr>
          <w:rFonts w:hint="eastAsia" w:ascii="宋体" w:hAnsi="宋体"/>
          <w:sz w:val="24"/>
          <w:highlight w:val="none"/>
          <w:lang w:val="en-US" w:eastAsia="zh-CN"/>
        </w:rPr>
        <w:t>响应</w:t>
      </w:r>
      <w:r>
        <w:rPr>
          <w:rFonts w:hint="eastAsia" w:ascii="宋体" w:hAnsi="宋体"/>
          <w:sz w:val="24"/>
          <w:highlight w:val="none"/>
        </w:rPr>
        <w:t>文件中的不得分。</w:t>
      </w:r>
    </w:p>
    <w:p>
      <w:pPr>
        <w:spacing w:line="360" w:lineRule="auto"/>
        <w:ind w:right="2" w:firstLine="480"/>
        <w:rPr>
          <w:rFonts w:ascii="宋体" w:hAnsi="宋体"/>
          <w:sz w:val="24"/>
          <w:highlight w:val="none"/>
        </w:rPr>
      </w:pPr>
      <w:r>
        <w:rPr>
          <w:rFonts w:hint="eastAsia" w:ascii="宋体" w:hAnsi="宋体"/>
          <w:sz w:val="24"/>
          <w:highlight w:val="none"/>
        </w:rPr>
        <w:t>2、本细则只针对有效响应文件予以评分，评分计算均保留小数点后两位有效数字。</w:t>
      </w:r>
    </w:p>
    <w:p>
      <w:pPr>
        <w:spacing w:line="240" w:lineRule="auto"/>
        <w:ind w:right="0" w:firstLine="0"/>
        <w:rPr>
          <w:rFonts w:ascii="宋体" w:hAnsi="宋体" w:cs="宋体"/>
          <w:b/>
          <w:bCs/>
          <w:sz w:val="24"/>
          <w:highlight w:val="none"/>
        </w:rPr>
      </w:pPr>
      <w:r>
        <w:rPr>
          <w:rFonts w:hint="eastAsia" w:ascii="宋体" w:hAnsi="宋体" w:cs="宋体"/>
          <w:b/>
          <w:bCs/>
          <w:sz w:val="24"/>
          <w:highlight w:val="none"/>
          <w:lang w:val="en-US" w:eastAsia="zh-CN"/>
        </w:rPr>
        <w:t>三</w:t>
      </w:r>
      <w:r>
        <w:rPr>
          <w:rFonts w:hint="eastAsia" w:ascii="宋体" w:hAnsi="宋体" w:cs="宋体"/>
          <w:b/>
          <w:bCs/>
          <w:sz w:val="24"/>
          <w:highlight w:val="none"/>
        </w:rPr>
        <w:t>、</w:t>
      </w:r>
      <w:bookmarkStart w:id="183" w:name="OLE_LINK23"/>
      <w:r>
        <w:rPr>
          <w:rFonts w:hint="eastAsia" w:ascii="宋体" w:hAnsi="宋体" w:cs="宋体"/>
          <w:b/>
          <w:bCs/>
          <w:sz w:val="24"/>
          <w:highlight w:val="none"/>
        </w:rPr>
        <w:t>评审执行的政府采购政策</w:t>
      </w:r>
      <w:bookmarkEnd w:id="183"/>
    </w:p>
    <w:p>
      <w:pPr>
        <w:adjustRightInd w:val="0"/>
        <w:snapToGrid w:val="0"/>
        <w:spacing w:line="500" w:lineRule="exact"/>
        <w:ind w:firstLine="480" w:firstLineChars="200"/>
        <w:jc w:val="left"/>
        <w:rPr>
          <w:rFonts w:ascii="宋体" w:hAnsi="宋体" w:cs="仿宋"/>
          <w:snapToGrid w:val="0"/>
          <w:kern w:val="0"/>
          <w:sz w:val="24"/>
          <w:highlight w:val="none"/>
        </w:rPr>
      </w:pPr>
      <w:r>
        <w:rPr>
          <w:rFonts w:hint="eastAsia" w:ascii="宋体" w:hAnsi="宋体" w:cs="仿宋"/>
          <w:snapToGrid w:val="0"/>
          <w:kern w:val="0"/>
          <w:sz w:val="24"/>
          <w:highlight w:val="none"/>
        </w:rPr>
        <w:t>（一）中小微型企业政府采购政策</w:t>
      </w:r>
    </w:p>
    <w:p>
      <w:pPr>
        <w:adjustRightInd w:val="0"/>
        <w:snapToGrid w:val="0"/>
        <w:spacing w:line="500" w:lineRule="exact"/>
        <w:ind w:firstLine="480" w:firstLineChars="200"/>
        <w:jc w:val="left"/>
        <w:rPr>
          <w:rFonts w:ascii="宋体" w:hAnsi="宋体" w:cs="仿宋"/>
          <w:snapToGrid w:val="0"/>
          <w:kern w:val="0"/>
          <w:sz w:val="24"/>
          <w:highlight w:val="none"/>
        </w:rPr>
      </w:pPr>
      <w:r>
        <w:rPr>
          <w:rFonts w:hint="eastAsia" w:ascii="宋体" w:hAnsi="宋体" w:cs="仿宋"/>
          <w:snapToGrid w:val="0"/>
          <w:kern w:val="0"/>
          <w:sz w:val="24"/>
          <w:highlight w:val="none"/>
        </w:rPr>
        <w:t>1、为了发挥政府采购的政策功能，促进符合国家经济和社会发展政策目标，产品、服务、信誉较好的中小企业发展，按照《政府采购促进中小企业发展管理办法》规定，对符合规定的小型和微型企业的价格给予10%的扣除，用扣除后的价格参与评审。评审价格仅为评定价格，不作为最终的成交价格。</w:t>
      </w:r>
    </w:p>
    <w:p>
      <w:pPr>
        <w:adjustRightInd w:val="0"/>
        <w:snapToGrid w:val="0"/>
        <w:spacing w:line="500" w:lineRule="exact"/>
        <w:ind w:firstLine="480" w:firstLineChars="200"/>
        <w:jc w:val="left"/>
        <w:rPr>
          <w:rFonts w:ascii="宋体" w:hAnsi="宋体" w:cs="仿宋"/>
          <w:snapToGrid w:val="0"/>
          <w:kern w:val="0"/>
          <w:sz w:val="24"/>
          <w:highlight w:val="none"/>
        </w:rPr>
      </w:pPr>
      <w:r>
        <w:rPr>
          <w:rFonts w:hint="eastAsia" w:ascii="宋体" w:hAnsi="宋体" w:cs="仿宋"/>
          <w:snapToGrid w:val="0"/>
          <w:kern w:val="0"/>
          <w:sz w:val="24"/>
          <w:highlight w:val="none"/>
        </w:rPr>
        <w:t>2、</w:t>
      </w:r>
      <w:r>
        <w:rPr>
          <w:sz w:val="25"/>
          <w:szCs w:val="25"/>
          <w:highlight w:val="none"/>
        </w:rPr>
        <w:t>接受大中型企业与小微企业组成联合体或者允许大中型企业向一家或者多家小微企业分包的采购项目，对于联合协议或者分包意向协议约定小微企业的合同份额占到合同总金额30%以上的</w:t>
      </w:r>
      <w:r>
        <w:rPr>
          <w:rFonts w:hint="eastAsia" w:ascii="宋体" w:hAnsi="宋体" w:cs="仿宋"/>
          <w:snapToGrid w:val="0"/>
          <w:kern w:val="0"/>
          <w:sz w:val="24"/>
          <w:highlight w:val="none"/>
        </w:rPr>
        <w:t>，则在评审过程中评审价格可给予联合体4%的价格扣除。如果联合体各方均为小型、微型企业的，联合体视同为小型、微型企业，但联合体各方均应按竞争性磋商文件要求提供中小企业声明函。</w:t>
      </w:r>
    </w:p>
    <w:p>
      <w:pPr>
        <w:adjustRightInd w:val="0"/>
        <w:snapToGrid w:val="0"/>
        <w:spacing w:line="500" w:lineRule="exact"/>
        <w:ind w:firstLine="480" w:firstLineChars="200"/>
        <w:jc w:val="left"/>
        <w:rPr>
          <w:rFonts w:ascii="宋体" w:hAnsi="宋体" w:cs="仿宋"/>
          <w:sz w:val="24"/>
          <w:highlight w:val="none"/>
        </w:rPr>
      </w:pPr>
      <w:r>
        <w:rPr>
          <w:rFonts w:hint="eastAsia" w:ascii="宋体" w:hAnsi="宋体" w:cs="仿宋"/>
          <w:snapToGrid w:val="0"/>
          <w:kern w:val="0"/>
          <w:sz w:val="24"/>
          <w:highlight w:val="none"/>
        </w:rPr>
        <w:t>3、评审价格的计算：评审价格=最终报价×（1-扣除幅度）。</w:t>
      </w:r>
    </w:p>
    <w:p>
      <w:pPr>
        <w:adjustRightInd w:val="0"/>
        <w:snapToGrid w:val="0"/>
        <w:spacing w:line="500" w:lineRule="exact"/>
        <w:ind w:firstLine="480" w:firstLineChars="200"/>
        <w:jc w:val="left"/>
        <w:rPr>
          <w:rFonts w:ascii="宋体" w:hAnsi="宋体" w:cs="仿宋"/>
          <w:sz w:val="24"/>
          <w:highlight w:val="none"/>
        </w:rPr>
      </w:pPr>
      <w:r>
        <w:rPr>
          <w:rFonts w:hint="eastAsia" w:ascii="宋体" w:hAnsi="宋体" w:cs="仿宋"/>
          <w:sz w:val="24"/>
          <w:highlight w:val="none"/>
        </w:rPr>
        <w:t>（二）监狱企业政府采购政策</w:t>
      </w:r>
    </w:p>
    <w:p>
      <w:pPr>
        <w:adjustRightInd w:val="0"/>
        <w:snapToGrid w:val="0"/>
        <w:spacing w:line="500" w:lineRule="exact"/>
        <w:ind w:firstLine="480" w:firstLineChars="200"/>
        <w:jc w:val="left"/>
        <w:rPr>
          <w:rFonts w:ascii="宋体" w:hAnsi="宋体" w:cs="仿宋"/>
          <w:sz w:val="24"/>
          <w:highlight w:val="none"/>
        </w:rPr>
      </w:pPr>
      <w:r>
        <w:rPr>
          <w:rFonts w:hint="eastAsia" w:ascii="宋体" w:hAnsi="宋体" w:cs="仿宋"/>
          <w:sz w:val="24"/>
          <w:highlight w:val="none"/>
        </w:rPr>
        <w:t>对监狱企业的价格给予[10%×（监狱企业产品合计报价/总报价）]的扣除，用扣除后的价格参与评审；参加政府采购活动的监狱企业应当在响应文件中提供监狱企业证明，否则不予认定。</w:t>
      </w:r>
    </w:p>
    <w:p>
      <w:pPr>
        <w:adjustRightInd w:val="0"/>
        <w:snapToGrid w:val="0"/>
        <w:spacing w:line="500" w:lineRule="exact"/>
        <w:ind w:firstLine="480" w:firstLineChars="200"/>
        <w:jc w:val="left"/>
        <w:rPr>
          <w:rFonts w:ascii="宋体" w:hAnsi="宋体" w:cs="仿宋"/>
          <w:sz w:val="24"/>
          <w:highlight w:val="none"/>
        </w:rPr>
      </w:pPr>
      <w:r>
        <w:rPr>
          <w:rFonts w:hint="eastAsia" w:ascii="宋体" w:hAnsi="宋体" w:cs="仿宋"/>
          <w:sz w:val="24"/>
          <w:highlight w:val="none"/>
        </w:rPr>
        <w:t>（三）残疾人福利性单位政府采购政策</w:t>
      </w:r>
    </w:p>
    <w:p>
      <w:pPr>
        <w:adjustRightInd w:val="0"/>
        <w:snapToGrid w:val="0"/>
        <w:spacing w:line="500" w:lineRule="exact"/>
        <w:ind w:firstLine="480" w:firstLineChars="200"/>
        <w:jc w:val="left"/>
        <w:rPr>
          <w:rFonts w:ascii="宋体" w:hAnsi="宋体" w:cs="仿宋"/>
          <w:sz w:val="24"/>
          <w:highlight w:val="none"/>
        </w:rPr>
      </w:pPr>
      <w:r>
        <w:rPr>
          <w:rFonts w:hint="eastAsia" w:ascii="宋体" w:hAnsi="宋体" w:cs="仿宋"/>
          <w:sz w:val="24"/>
          <w:highlight w:val="none"/>
        </w:rPr>
        <w:t>对残疾人福利性单位的价格给予[10%×（残疾人福利性单位产品合计报价/总报价）]的扣除，用扣除后的价格参与评审。</w:t>
      </w:r>
    </w:p>
    <w:p>
      <w:pPr>
        <w:adjustRightInd w:val="0"/>
        <w:snapToGrid w:val="0"/>
        <w:spacing w:line="500" w:lineRule="exact"/>
        <w:ind w:firstLine="480" w:firstLineChars="200"/>
        <w:jc w:val="left"/>
        <w:rPr>
          <w:rFonts w:ascii="宋体" w:hAnsi="宋体"/>
          <w:sz w:val="24"/>
          <w:highlight w:val="none"/>
        </w:rPr>
      </w:pPr>
      <w:r>
        <w:rPr>
          <w:rFonts w:hint="eastAsia" w:ascii="宋体" w:hAnsi="宋体" w:cs="仿宋"/>
          <w:sz w:val="24"/>
          <w:highlight w:val="none"/>
        </w:rPr>
        <w:t>符合条件的残疾人福利性单位在参加政府采购活动时，应当提供财库〔2017〕141号规定的《残疾人福利性单位声明函》，并对声明的真实性负责。未提供的，评审时不享受残疾人福利性单位政府采购政策。</w:t>
      </w:r>
    </w:p>
    <w:p>
      <w:pPr>
        <w:widowControl/>
        <w:jc w:val="left"/>
        <w:rPr>
          <w:rFonts w:ascii="宋体" w:hAnsi="宋体"/>
          <w:b/>
          <w:bCs/>
          <w:sz w:val="32"/>
          <w:szCs w:val="44"/>
          <w:highlight w:val="none"/>
        </w:rPr>
      </w:pPr>
      <w:r>
        <w:rPr>
          <w:rFonts w:ascii="宋体" w:hAnsi="宋体"/>
          <w:sz w:val="32"/>
          <w:highlight w:val="none"/>
        </w:rPr>
        <w:br w:type="page"/>
      </w:r>
    </w:p>
    <w:p>
      <w:pPr>
        <w:pStyle w:val="3"/>
        <w:spacing w:before="120" w:after="120" w:line="240" w:lineRule="auto"/>
        <w:jc w:val="center"/>
        <w:rPr>
          <w:rFonts w:ascii="宋体" w:hAnsi="宋体"/>
          <w:kern w:val="2"/>
          <w:sz w:val="32"/>
          <w:highlight w:val="none"/>
        </w:rPr>
      </w:pPr>
      <w:bookmarkStart w:id="184" w:name="_Toc23210"/>
      <w:bookmarkStart w:id="185" w:name="_Toc10482"/>
      <w:bookmarkStart w:id="186" w:name="_Toc15566"/>
      <w:bookmarkStart w:id="187" w:name="_Toc60585220"/>
      <w:bookmarkStart w:id="188" w:name="_Toc28216"/>
      <w:r>
        <w:rPr>
          <w:rFonts w:hint="eastAsia" w:ascii="宋体" w:hAnsi="宋体"/>
          <w:kern w:val="2"/>
          <w:sz w:val="32"/>
          <w:highlight w:val="none"/>
        </w:rPr>
        <w:t>第四章采购内容及项目要求</w:t>
      </w:r>
      <w:bookmarkEnd w:id="184"/>
      <w:bookmarkEnd w:id="185"/>
      <w:bookmarkEnd w:id="186"/>
      <w:bookmarkEnd w:id="187"/>
      <w:bookmarkEnd w:id="188"/>
    </w:p>
    <w:p>
      <w:pPr>
        <w:spacing w:line="480" w:lineRule="exact"/>
        <w:rPr>
          <w:rFonts w:ascii="宋体" w:hAnsi="宋体" w:cs="宋体"/>
          <w:sz w:val="24"/>
          <w:highlight w:val="none"/>
        </w:rPr>
      </w:pPr>
      <w:r>
        <w:rPr>
          <w:rFonts w:hint="eastAsia" w:ascii="宋体" w:hAnsi="宋体" w:cs="宋体"/>
          <w:b/>
          <w:bCs/>
          <w:sz w:val="24"/>
          <w:highlight w:val="none"/>
          <w:lang w:val="en-US" w:eastAsia="zh-CN"/>
        </w:rPr>
        <w:t>一</w:t>
      </w:r>
      <w:r>
        <w:rPr>
          <w:rFonts w:hint="eastAsia" w:ascii="宋体" w:hAnsi="宋体" w:cs="宋体"/>
          <w:b/>
          <w:bCs/>
          <w:sz w:val="24"/>
          <w:highlight w:val="none"/>
        </w:rPr>
        <w:t>、项目技术要求</w:t>
      </w:r>
    </w:p>
    <w:p>
      <w:pPr>
        <w:spacing w:line="480" w:lineRule="exact"/>
        <w:ind w:firstLine="420" w:firstLineChars="0"/>
        <w:rPr>
          <w:rFonts w:hint="eastAsia" w:ascii="Times New Roman" w:hAnsi="Times New Roman" w:eastAsia="宋体" w:cs="Times New Roman"/>
          <w:spacing w:val="6"/>
          <w:kern w:val="2"/>
          <w:sz w:val="24"/>
          <w:szCs w:val="24"/>
          <w:highlight w:val="none"/>
          <w:lang w:val="en-US" w:eastAsia="zh-CN" w:bidi="ar-SA"/>
        </w:rPr>
      </w:pPr>
      <w:r>
        <w:rPr>
          <w:rFonts w:hint="eastAsia" w:ascii="Times New Roman" w:hAnsi="Times New Roman" w:eastAsia="宋体" w:cs="Times New Roman"/>
          <w:spacing w:val="6"/>
          <w:kern w:val="2"/>
          <w:sz w:val="24"/>
          <w:szCs w:val="24"/>
          <w:highlight w:val="none"/>
          <w:lang w:val="en-US" w:eastAsia="zh-CN" w:bidi="ar-SA"/>
        </w:rPr>
        <w:t>1、检校设备要求：检校设备溯源合格，溯源证书在有效期内，设备参数符合检定规程、校准规范或标准要求。</w:t>
      </w:r>
    </w:p>
    <w:p>
      <w:pPr>
        <w:spacing w:line="480" w:lineRule="exact"/>
        <w:ind w:firstLine="420" w:firstLineChars="0"/>
        <w:rPr>
          <w:rFonts w:hint="eastAsia" w:ascii="Times New Roman" w:hAnsi="Times New Roman" w:eastAsia="宋体" w:cs="Times New Roman"/>
          <w:spacing w:val="6"/>
          <w:kern w:val="2"/>
          <w:sz w:val="24"/>
          <w:szCs w:val="24"/>
          <w:highlight w:val="none"/>
          <w:lang w:val="en-US" w:eastAsia="zh-CN" w:bidi="ar-SA"/>
        </w:rPr>
      </w:pPr>
      <w:r>
        <w:rPr>
          <w:rFonts w:hint="eastAsia" w:ascii="Times New Roman" w:hAnsi="Times New Roman" w:eastAsia="宋体" w:cs="Times New Roman"/>
          <w:spacing w:val="6"/>
          <w:kern w:val="2"/>
          <w:sz w:val="24"/>
          <w:szCs w:val="24"/>
          <w:highlight w:val="none"/>
          <w:lang w:val="en-US" w:eastAsia="zh-CN" w:bidi="ar-SA"/>
        </w:rPr>
        <w:t>2、所有检校数据均可溯源至国家基准或标准，出具的检校证书及报告均可获得国家市场监管部门授权或者认可。</w:t>
      </w:r>
    </w:p>
    <w:p>
      <w:pPr>
        <w:spacing w:line="480" w:lineRule="exact"/>
        <w:ind w:firstLine="420" w:firstLineChars="0"/>
        <w:rPr>
          <w:rFonts w:hint="eastAsia" w:ascii="Times New Roman" w:hAnsi="Times New Roman" w:eastAsia="宋体" w:cs="Times New Roman"/>
          <w:spacing w:val="6"/>
          <w:kern w:val="2"/>
          <w:sz w:val="24"/>
          <w:szCs w:val="24"/>
          <w:highlight w:val="none"/>
          <w:lang w:val="en-US" w:eastAsia="zh-CN" w:bidi="ar-SA"/>
        </w:rPr>
      </w:pPr>
      <w:r>
        <w:rPr>
          <w:rFonts w:hint="eastAsia" w:ascii="Times New Roman" w:hAnsi="Times New Roman" w:eastAsia="宋体" w:cs="Times New Roman"/>
          <w:spacing w:val="6"/>
          <w:kern w:val="2"/>
          <w:sz w:val="24"/>
          <w:szCs w:val="24"/>
          <w:highlight w:val="none"/>
          <w:lang w:val="en-US" w:eastAsia="zh-CN" w:bidi="ar-SA"/>
        </w:rPr>
        <w:t>3、响应人须在医院在用设备出现异常的紧急状况下，按医院要求2小时内到达现场，完成设备调修后的计量校准与质控检测需求。</w:t>
      </w:r>
    </w:p>
    <w:p>
      <w:pPr>
        <w:spacing w:line="480" w:lineRule="exact"/>
        <w:ind w:firstLine="420" w:firstLineChars="0"/>
        <w:rPr>
          <w:rFonts w:hint="eastAsia" w:ascii="Times New Roman" w:hAnsi="Times New Roman" w:eastAsia="宋体" w:cs="Times New Roman"/>
          <w:spacing w:val="6"/>
          <w:kern w:val="2"/>
          <w:sz w:val="24"/>
          <w:szCs w:val="24"/>
          <w:highlight w:val="none"/>
          <w:lang w:val="en-US" w:eastAsia="zh-CN" w:bidi="ar-SA"/>
        </w:rPr>
      </w:pPr>
      <w:r>
        <w:rPr>
          <w:rFonts w:hint="eastAsia" w:ascii="Times New Roman" w:hAnsi="Times New Roman" w:eastAsia="宋体" w:cs="Times New Roman"/>
          <w:spacing w:val="6"/>
          <w:kern w:val="2"/>
          <w:sz w:val="24"/>
          <w:szCs w:val="24"/>
          <w:highlight w:val="none"/>
          <w:lang w:val="en-US" w:eastAsia="zh-CN" w:bidi="ar-SA"/>
        </w:rPr>
        <w:t>4、响应人须保证电子证书于检校工作完成后5个工作日内送达，对医院临时性紧急检校要求，2个小时内做出回复，24小时内人员到位，48小时内出具证书报告。</w:t>
      </w:r>
    </w:p>
    <w:p>
      <w:pPr>
        <w:spacing w:line="480" w:lineRule="exact"/>
        <w:ind w:firstLine="420" w:firstLineChars="0"/>
        <w:rPr>
          <w:rFonts w:hint="eastAsia" w:ascii="Times New Roman" w:hAnsi="Times New Roman" w:eastAsia="宋体" w:cs="Times New Roman"/>
          <w:spacing w:val="6"/>
          <w:kern w:val="2"/>
          <w:sz w:val="24"/>
          <w:szCs w:val="24"/>
          <w:highlight w:val="none"/>
          <w:lang w:val="en-US" w:eastAsia="zh-CN" w:bidi="ar-SA"/>
        </w:rPr>
      </w:pPr>
      <w:r>
        <w:rPr>
          <w:rFonts w:hint="eastAsia" w:ascii="Times New Roman" w:hAnsi="Times New Roman" w:eastAsia="宋体" w:cs="Times New Roman"/>
          <w:spacing w:val="6"/>
          <w:kern w:val="2"/>
          <w:sz w:val="24"/>
          <w:szCs w:val="24"/>
          <w:highlight w:val="none"/>
          <w:lang w:val="en-US" w:eastAsia="zh-CN" w:bidi="ar-SA"/>
        </w:rPr>
        <w:t>★5、包2响应人须具有山东省市场监督管理局（原山东省质量技术监督局）颁发的“中华人民共和国法定计量检定机构计量授权证书”和中国合格评定国家认可委员会（CNAS）颁发的实验室认可证书。</w:t>
      </w:r>
    </w:p>
    <w:p>
      <w:pPr>
        <w:spacing w:line="240" w:lineRule="auto"/>
        <w:rPr>
          <w:rFonts w:hint="eastAsia" w:ascii="宋体" w:hAnsi="宋体" w:cs="宋体"/>
          <w:b/>
          <w:bCs/>
          <w:sz w:val="24"/>
          <w:highlight w:val="none"/>
          <w:lang w:val="en-US" w:eastAsia="zh-CN"/>
        </w:rPr>
      </w:pPr>
      <w:r>
        <w:rPr>
          <w:rFonts w:hint="eastAsia" w:ascii="宋体" w:hAnsi="宋体" w:cs="宋体"/>
          <w:b/>
          <w:bCs/>
          <w:sz w:val="24"/>
          <w:highlight w:val="none"/>
          <w:lang w:val="en-US" w:eastAsia="zh-CN"/>
        </w:rPr>
        <w:br w:type="page"/>
      </w:r>
    </w:p>
    <w:p>
      <w:pPr>
        <w:spacing w:line="480" w:lineRule="exact"/>
        <w:rPr>
          <w:rFonts w:ascii="宋体" w:hAnsi="宋体" w:cs="宋体"/>
          <w:b/>
          <w:bCs/>
          <w:sz w:val="24"/>
          <w:highlight w:val="none"/>
        </w:rPr>
      </w:pPr>
      <w:r>
        <w:rPr>
          <w:rFonts w:hint="eastAsia" w:ascii="宋体" w:hAnsi="宋体" w:cs="宋体"/>
          <w:b/>
          <w:bCs/>
          <w:sz w:val="24"/>
          <w:highlight w:val="none"/>
          <w:lang w:val="en-US" w:eastAsia="zh-CN"/>
        </w:rPr>
        <w:t>二</w:t>
      </w:r>
      <w:r>
        <w:rPr>
          <w:rFonts w:hint="eastAsia" w:ascii="宋体" w:hAnsi="宋体" w:cs="宋体"/>
          <w:b/>
          <w:bCs/>
          <w:sz w:val="24"/>
          <w:highlight w:val="none"/>
        </w:rPr>
        <w:t>、项目表</w:t>
      </w:r>
    </w:p>
    <w:p>
      <w:pPr>
        <w:spacing w:line="480" w:lineRule="exact"/>
        <w:rPr>
          <w:rFonts w:hint="eastAsia" w:ascii="宋体" w:hAnsi="宋体" w:cs="宋体"/>
          <w:b/>
          <w:bCs/>
          <w:sz w:val="24"/>
          <w:highlight w:val="none"/>
        </w:rPr>
      </w:pPr>
      <w:r>
        <w:rPr>
          <w:rFonts w:hint="eastAsia" w:ascii="宋体" w:hAnsi="宋体" w:cs="宋体"/>
          <w:b/>
          <w:bCs/>
          <w:sz w:val="24"/>
          <w:highlight w:val="none"/>
          <w:lang w:val="zh-CN"/>
        </w:rPr>
        <w:t>本项目设预算单价。响应人自主报价。每个分项单价均不得超过磋商文件给出的</w:t>
      </w:r>
      <w:r>
        <w:rPr>
          <w:rFonts w:hint="eastAsia" w:ascii="宋体" w:hAnsi="宋体" w:cs="宋体"/>
          <w:b/>
          <w:bCs/>
          <w:sz w:val="24"/>
          <w:highlight w:val="none"/>
        </w:rPr>
        <w:t>限制单价。</w:t>
      </w:r>
    </w:p>
    <w:tbl>
      <w:tblPr>
        <w:tblStyle w:val="7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65"/>
        <w:gridCol w:w="2655"/>
        <w:gridCol w:w="4305"/>
        <w:gridCol w:w="848"/>
        <w:gridCol w:w="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0" w:type="auto"/>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测量仪器名称</w:t>
            </w:r>
          </w:p>
        </w:tc>
        <w:tc>
          <w:tcPr>
            <w:tcW w:w="0" w:type="auto"/>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检测标准/校准规范名称及编号</w:t>
            </w:r>
          </w:p>
        </w:tc>
        <w:tc>
          <w:tcPr>
            <w:tcW w:w="0" w:type="auto"/>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参考数量</w:t>
            </w:r>
          </w:p>
        </w:tc>
        <w:tc>
          <w:tcPr>
            <w:tcW w:w="0" w:type="auto"/>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限制单价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呼吸机</w:t>
            </w:r>
          </w:p>
        </w:tc>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JJF 1234 呼吸机校准规范</w:t>
            </w:r>
          </w:p>
        </w:tc>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麻醉呼吸机</w:t>
            </w:r>
          </w:p>
        </w:tc>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依据地方麻醉机校准规范</w:t>
            </w:r>
          </w:p>
        </w:tc>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高频电刀</w:t>
            </w:r>
          </w:p>
        </w:tc>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JJF 1217 高频电刀校准规范</w:t>
            </w:r>
          </w:p>
        </w:tc>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血液透析机</w:t>
            </w:r>
          </w:p>
        </w:tc>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JJF 1353 血液透析装置校准规范</w:t>
            </w:r>
          </w:p>
        </w:tc>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弹性元件式一般压力表、压力真空表和真空表</w:t>
            </w:r>
          </w:p>
        </w:tc>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52 弹性元件式一般压力表、压力真空表和真空表检定规程</w:t>
            </w:r>
          </w:p>
        </w:tc>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w:t>
            </w:r>
          </w:p>
        </w:tc>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放射性活度计</w:t>
            </w:r>
          </w:p>
        </w:tc>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377 放射性活度计检定规程</w:t>
            </w:r>
          </w:p>
        </w:tc>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α、β表面污染仪</w:t>
            </w:r>
          </w:p>
        </w:tc>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478-2016《α、β表面污染仪检定规程》</w:t>
            </w:r>
          </w:p>
        </w:tc>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x、γ辐射检测仪</w:t>
            </w:r>
          </w:p>
        </w:tc>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393-2018《便携式X、γ辐射周围剂量当量(率)仪和监测仪检定规程》</w:t>
            </w:r>
          </w:p>
        </w:tc>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角膜曲率计</w:t>
            </w:r>
          </w:p>
        </w:tc>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1011 角膜曲率计检定规程</w:t>
            </w:r>
          </w:p>
        </w:tc>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综合验光仪（含视力表）</w:t>
            </w:r>
          </w:p>
        </w:tc>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1097 综合验光仪(含视力表)检定规程</w:t>
            </w:r>
          </w:p>
        </w:tc>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听力计</w:t>
            </w:r>
          </w:p>
        </w:tc>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388-2001 纯音听力计检定规程</w:t>
            </w:r>
          </w:p>
        </w:tc>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强检免费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0" w:type="auto"/>
            <w:gridSpan w:val="5"/>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szCs w:val="24"/>
              </w:rPr>
              <w:t>★</w:t>
            </w:r>
            <w:r>
              <w:rPr>
                <w:rFonts w:hint="eastAsia" w:ascii="宋体" w:hAnsi="宋体" w:cs="宋体"/>
                <w:i w:val="0"/>
                <w:iCs w:val="0"/>
                <w:color w:val="000000"/>
                <w:kern w:val="0"/>
                <w:sz w:val="24"/>
                <w:szCs w:val="24"/>
                <w:u w:val="none"/>
                <w:lang w:val="en-US" w:eastAsia="zh-CN" w:bidi="ar"/>
              </w:rPr>
              <w:t>响应人须在响应文件中</w:t>
            </w:r>
            <w:r>
              <w:rPr>
                <w:rFonts w:hint="eastAsia" w:ascii="宋体" w:hAnsi="宋体" w:eastAsia="宋体" w:cs="宋体"/>
                <w:i w:val="0"/>
                <w:iCs w:val="0"/>
                <w:color w:val="000000"/>
                <w:kern w:val="0"/>
                <w:sz w:val="24"/>
                <w:szCs w:val="24"/>
                <w:u w:val="none"/>
                <w:lang w:val="en-US" w:eastAsia="zh-CN" w:bidi="ar"/>
              </w:rPr>
              <w:t>承诺代送检设备数量不超过总数量的</w:t>
            </w:r>
            <w:r>
              <w:rPr>
                <w:rFonts w:hint="eastAsia" w:ascii="宋体" w:hAnsi="宋体" w:cs="宋体"/>
                <w:i w:val="0"/>
                <w:iCs w:val="0"/>
                <w:color w:val="000000"/>
                <w:kern w:val="0"/>
                <w:sz w:val="24"/>
                <w:szCs w:val="24"/>
                <w:u w:val="none"/>
                <w:lang w:val="en-US" w:eastAsia="zh-CN" w:bidi="ar"/>
              </w:rPr>
              <w:t>4</w:t>
            </w:r>
            <w:r>
              <w:rPr>
                <w:rFonts w:hint="eastAsia" w:ascii="宋体" w:hAnsi="宋体" w:eastAsia="宋体" w:cs="宋体"/>
                <w:i w:val="0"/>
                <w:iCs w:val="0"/>
                <w:color w:val="000000"/>
                <w:kern w:val="0"/>
                <w:sz w:val="24"/>
                <w:szCs w:val="24"/>
                <w:u w:val="none"/>
                <w:lang w:val="en-US" w:eastAsia="zh-CN" w:bidi="ar"/>
              </w:rPr>
              <w:t>%，属于强制检定的设备优先出具检定证书。</w:t>
            </w:r>
          </w:p>
        </w:tc>
      </w:tr>
    </w:tbl>
    <w:p>
      <w:pPr>
        <w:rPr>
          <w:rFonts w:hint="eastAsia"/>
          <w:highlight w:val="none"/>
          <w:lang w:val="en-US" w:eastAsia="zh-CN"/>
        </w:rPr>
      </w:pPr>
    </w:p>
    <w:tbl>
      <w:tblPr>
        <w:tblStyle w:val="7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86"/>
        <w:gridCol w:w="2597"/>
        <w:gridCol w:w="4174"/>
        <w:gridCol w:w="934"/>
        <w:gridCol w:w="7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000" w:type="pct"/>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398"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测量仪器名称</w:t>
            </w:r>
          </w:p>
        </w:tc>
        <w:tc>
          <w:tcPr>
            <w:tcW w:w="2247"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检测标准/校准规范名称及编号</w:t>
            </w:r>
          </w:p>
        </w:tc>
        <w:tc>
          <w:tcPr>
            <w:tcW w:w="502"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参考数量</w:t>
            </w:r>
          </w:p>
        </w:tc>
        <w:tc>
          <w:tcPr>
            <w:tcW w:w="428"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限制单价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婴儿培养箱</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JJF 1260 婴儿培养箱校准规范</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辐射保暖台</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依据地方婴儿辐射保暖台校准规范</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黄疸治疗箱</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JJF 1260 婴儿培养箱校准规范</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除颤监护仪</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JJF 1149 心脏除颤器校准规范</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注射泵（单路）</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JJF 1259 医用注射泵和输液泵校准规范</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255</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注射泵（双路）</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JJF 1259 医用注射泵和输液泵校准规范</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输液泵</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JJF 1259 医用注射泵和输液泵校准规范</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浮标式氧气吸入器</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913 浮标式氧气吸入器检定规程</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800</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数字指示秤（150kg）</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539 数字指示秤</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数字指示秤（≤60kg）</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539 数字指示秤</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模拟指示秤（150kg）</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13 模拟指示秤</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电子天平</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ascii="Cambria" w:hAnsi="Cambria" w:eastAsia="Cambria" w:cs="Cambria"/>
                <w:i w:val="0"/>
                <w:iCs w:val="0"/>
                <w:color w:val="000000"/>
                <w:sz w:val="24"/>
                <w:szCs w:val="24"/>
                <w:u w:val="none"/>
              </w:rPr>
            </w:pPr>
            <w:r>
              <w:rPr>
                <w:rFonts w:hint="default" w:ascii="Cambria" w:hAnsi="Cambria" w:eastAsia="Cambria" w:cs="Cambria"/>
                <w:i w:val="0"/>
                <w:iCs w:val="0"/>
                <w:color w:val="000000"/>
                <w:kern w:val="0"/>
                <w:sz w:val="24"/>
                <w:szCs w:val="24"/>
                <w:u w:val="none"/>
                <w:lang w:val="en-US" w:eastAsia="zh-CN" w:bidi="ar"/>
              </w:rPr>
              <w:t>JJG 1036 电子天平检定规程</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定量可调移液器（8通道）</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646 移液器</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定量可调移液器</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646 移液器</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医用离心机</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依据地方医用离心机校准规范</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酶标分析仪</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861 酶标分析仪检定规程</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血细胞分析仪</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714 血细胞分析仪检定规程</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全自动生化分析仪</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JJF 1720-2018 全自动生化分析仪校准规范</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尿液分析仪</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JJF 1129 尿液分析仪校准规范</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数字温湿度计</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JJF 1076 数字式温湿度计校准规范</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红外额温计</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JJF 1107测量人体温度的红外温度计校准规范</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热像仪</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Cambria" w:hAnsi="Cambria" w:eastAsia="Cambria" w:cs="Cambria"/>
                <w:i w:val="0"/>
                <w:iCs w:val="0"/>
                <w:color w:val="000000"/>
                <w:sz w:val="24"/>
                <w:szCs w:val="24"/>
                <w:u w:val="none"/>
              </w:rPr>
            </w:pPr>
            <w:r>
              <w:rPr>
                <w:rFonts w:hint="default" w:ascii="Cambria" w:hAnsi="Cambria" w:eastAsia="Cambria" w:cs="Cambria"/>
                <w:i w:val="0"/>
                <w:iCs w:val="0"/>
                <w:color w:val="000000"/>
                <w:kern w:val="0"/>
                <w:sz w:val="24"/>
                <w:szCs w:val="24"/>
                <w:u w:val="none"/>
                <w:lang w:val="en-US" w:eastAsia="zh-CN" w:bidi="ar"/>
              </w:rPr>
              <w:t>JJF 1101 环境试验设备温度、湿度校准规范</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医用超声诊断仪</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639 医用超声诊断仪超声源检定规程</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40台+80探头</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552+240/探头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24</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超声经颅多普勒超声源诊断仪</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依据地方超声经颅多普勒诊断仪超</w:t>
            </w:r>
            <w:r>
              <w:rPr>
                <w:rFonts w:hint="eastAsia" w:ascii="宋体" w:hAnsi="宋体" w:eastAsia="宋体" w:cs="宋体"/>
                <w:i w:val="0"/>
                <w:iCs w:val="0"/>
                <w:color w:val="000000"/>
                <w:kern w:val="0"/>
                <w:sz w:val="24"/>
                <w:szCs w:val="24"/>
                <w:u w:val="none"/>
                <w:lang w:val="en-US" w:eastAsia="zh-CN" w:bidi="ar"/>
              </w:rPr>
              <w:t>声源校准规范</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4</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r>
              <w:rPr>
                <w:rFonts w:hint="eastAsia" w:ascii="宋体" w:hAnsi="宋体" w:cs="宋体"/>
                <w:i w:val="0"/>
                <w:iCs w:val="0"/>
                <w:color w:val="000000"/>
                <w:kern w:val="0"/>
                <w:sz w:val="24"/>
                <w:szCs w:val="24"/>
                <w:u w:val="none"/>
                <w:lang w:val="en-US" w:eastAsia="zh-CN" w:bidi="ar"/>
              </w:rPr>
              <w:t>5</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X、γ射线骨密度仪</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1050 X、γ射线骨密度仪检定规程</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r>
              <w:rPr>
                <w:rFonts w:hint="eastAsia" w:ascii="宋体" w:hAnsi="宋体" w:cs="宋体"/>
                <w:i w:val="0"/>
                <w:iCs w:val="0"/>
                <w:color w:val="000000"/>
                <w:kern w:val="0"/>
                <w:sz w:val="24"/>
                <w:szCs w:val="24"/>
                <w:u w:val="none"/>
                <w:lang w:val="en-US" w:eastAsia="zh-CN" w:bidi="ar"/>
              </w:rPr>
              <w:t>6</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医用冷藏箱</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YY/T 0086-2020 医用冷藏箱</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r>
              <w:rPr>
                <w:rFonts w:hint="eastAsia" w:ascii="宋体" w:hAnsi="宋体" w:cs="宋体"/>
                <w:i w:val="0"/>
                <w:iCs w:val="0"/>
                <w:color w:val="000000"/>
                <w:kern w:val="0"/>
                <w:sz w:val="24"/>
                <w:szCs w:val="24"/>
                <w:u w:val="none"/>
                <w:lang w:val="en-US" w:eastAsia="zh-CN" w:bidi="ar"/>
              </w:rPr>
              <w:t>7</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工业热电阻</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229工业铂铜热电阻检定规程</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r>
              <w:rPr>
                <w:rFonts w:hint="eastAsia" w:ascii="宋体" w:hAnsi="宋体" w:cs="宋体"/>
                <w:i w:val="0"/>
                <w:iCs w:val="0"/>
                <w:color w:val="000000"/>
                <w:kern w:val="0"/>
                <w:sz w:val="24"/>
                <w:szCs w:val="24"/>
                <w:u w:val="none"/>
                <w:lang w:val="en-US" w:eastAsia="zh-CN" w:bidi="ar"/>
              </w:rPr>
              <w:t>8</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流量积算仪</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1003 流量积算仪检定规程</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r>
              <w:rPr>
                <w:rFonts w:hint="eastAsia" w:ascii="宋体" w:hAnsi="宋体" w:cs="宋体"/>
                <w:i w:val="0"/>
                <w:iCs w:val="0"/>
                <w:color w:val="000000"/>
                <w:kern w:val="0"/>
                <w:sz w:val="24"/>
                <w:szCs w:val="24"/>
                <w:u w:val="none"/>
                <w:lang w:val="en-US" w:eastAsia="zh-CN" w:bidi="ar"/>
              </w:rPr>
              <w:t>9</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电磁流量计</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1033 电磁流量计</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30</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超声流量计（液体）</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1030 超声流量计</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r>
              <w:rPr>
                <w:rFonts w:hint="eastAsia" w:ascii="宋体" w:hAnsi="宋体" w:cs="宋体"/>
                <w:i w:val="0"/>
                <w:iCs w:val="0"/>
                <w:color w:val="000000"/>
                <w:kern w:val="0"/>
                <w:sz w:val="24"/>
                <w:szCs w:val="24"/>
                <w:u w:val="none"/>
                <w:lang w:val="en-US" w:eastAsia="zh-CN" w:bidi="ar"/>
              </w:rPr>
              <w:t>1</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积分仪（带温度传感器）</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JJF 1171 温度巡回检测仪校准规范</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r>
              <w:rPr>
                <w:rFonts w:hint="eastAsia" w:ascii="宋体" w:hAnsi="宋体" w:cs="宋体"/>
                <w:i w:val="0"/>
                <w:iCs w:val="0"/>
                <w:color w:val="000000"/>
                <w:kern w:val="0"/>
                <w:sz w:val="24"/>
                <w:szCs w:val="24"/>
                <w:u w:val="none"/>
                <w:lang w:val="en-US" w:eastAsia="zh-CN" w:bidi="ar"/>
              </w:rPr>
              <w:t>2</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医用数字摄影（CR、DR）系统 X射线辐射源</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1078 医用数字摄影(CR、DR)系统 X射线辐射源检定规程</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r>
              <w:rPr>
                <w:rFonts w:hint="eastAsia" w:ascii="宋体" w:hAnsi="宋体" w:cs="宋体"/>
                <w:i w:val="0"/>
                <w:iCs w:val="0"/>
                <w:color w:val="000000"/>
                <w:kern w:val="0"/>
                <w:sz w:val="24"/>
                <w:szCs w:val="24"/>
                <w:u w:val="none"/>
                <w:lang w:val="en-US" w:eastAsia="zh-CN" w:bidi="ar"/>
              </w:rPr>
              <w:t>3</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医用诊断数字减影血管造影（DSA）系统X射线辐射源</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1067 医用诊断数字减影血管造影（DSA）系统X射线辐射源检定规程</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强检免费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r>
              <w:rPr>
                <w:rFonts w:hint="eastAsia" w:ascii="宋体" w:hAnsi="宋体" w:cs="宋体"/>
                <w:i w:val="0"/>
                <w:iCs w:val="0"/>
                <w:color w:val="000000"/>
                <w:kern w:val="0"/>
                <w:sz w:val="24"/>
                <w:szCs w:val="24"/>
                <w:u w:val="none"/>
                <w:lang w:val="en-US" w:eastAsia="zh-CN" w:bidi="ar"/>
              </w:rPr>
              <w:t>4</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医用诊断X射线辐射源</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JJG 961 </w:t>
            </w:r>
            <w:r>
              <w:rPr>
                <w:rStyle w:val="185"/>
                <w:lang w:val="en-US" w:eastAsia="zh-CN" w:bidi="ar"/>
              </w:rPr>
              <w:t>医用诊断螺旋计算机断层摄影装置（ CT） X 射线辐射源检定规程</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强检免费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r>
              <w:rPr>
                <w:rFonts w:hint="eastAsia" w:ascii="宋体" w:hAnsi="宋体" w:cs="宋体"/>
                <w:i w:val="0"/>
                <w:iCs w:val="0"/>
                <w:color w:val="000000"/>
                <w:kern w:val="0"/>
                <w:sz w:val="24"/>
                <w:szCs w:val="24"/>
                <w:u w:val="none"/>
                <w:lang w:val="en-US" w:eastAsia="zh-CN" w:bidi="ar"/>
              </w:rPr>
              <w:t>5</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医用乳腺X射线辐射源</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1145 医用乳腺X射线辐射源检定规程</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强检免费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r>
              <w:rPr>
                <w:rFonts w:hint="eastAsia" w:ascii="宋体" w:hAnsi="宋体" w:cs="宋体"/>
                <w:i w:val="0"/>
                <w:iCs w:val="0"/>
                <w:color w:val="000000"/>
                <w:kern w:val="0"/>
                <w:sz w:val="24"/>
                <w:szCs w:val="24"/>
                <w:u w:val="none"/>
                <w:lang w:val="en-US" w:eastAsia="zh-CN" w:bidi="ar"/>
              </w:rPr>
              <w:t>6</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医用诊断全景牙科X射线辐射源</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1101 医用诊断全景牙科X射线辐射源检定规程</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强检免费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r>
              <w:rPr>
                <w:rFonts w:hint="eastAsia" w:ascii="宋体" w:hAnsi="宋体" w:cs="宋体"/>
                <w:i w:val="0"/>
                <w:iCs w:val="0"/>
                <w:color w:val="000000"/>
                <w:kern w:val="0"/>
                <w:sz w:val="24"/>
                <w:szCs w:val="24"/>
                <w:u w:val="none"/>
                <w:lang w:val="en-US" w:eastAsia="zh-CN" w:bidi="ar"/>
              </w:rPr>
              <w:t>7</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验光仪</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892 验光仪检定规程</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强检免费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r>
              <w:rPr>
                <w:rFonts w:hint="eastAsia" w:ascii="宋体" w:hAnsi="宋体" w:cs="宋体"/>
                <w:i w:val="0"/>
                <w:iCs w:val="0"/>
                <w:color w:val="000000"/>
                <w:kern w:val="0"/>
                <w:sz w:val="24"/>
                <w:szCs w:val="24"/>
                <w:u w:val="none"/>
                <w:lang w:val="en-US" w:eastAsia="zh-CN" w:bidi="ar"/>
              </w:rPr>
              <w:t>8</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焦度计</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580 焦度计检定规程</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强检免费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r>
              <w:rPr>
                <w:rFonts w:hint="eastAsia" w:ascii="宋体" w:hAnsi="宋体" w:cs="宋体"/>
                <w:i w:val="0"/>
                <w:iCs w:val="0"/>
                <w:color w:val="000000"/>
                <w:kern w:val="0"/>
                <w:sz w:val="24"/>
                <w:szCs w:val="24"/>
                <w:u w:val="none"/>
                <w:lang w:val="en-US" w:eastAsia="zh-CN" w:bidi="ar"/>
              </w:rPr>
              <w:t>9</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验光镜片箱</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579 验光镜片箱检定规程</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强检免费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40</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多参数监护仪</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1163 多参数监护仪</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383</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强检免费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r>
              <w:rPr>
                <w:rFonts w:hint="eastAsia" w:ascii="宋体" w:hAnsi="宋体" w:cs="宋体"/>
                <w:i w:val="0"/>
                <w:iCs w:val="0"/>
                <w:color w:val="000000"/>
                <w:kern w:val="0"/>
                <w:sz w:val="24"/>
                <w:szCs w:val="24"/>
                <w:u w:val="none"/>
                <w:lang w:val="en-US" w:eastAsia="zh-CN" w:bidi="ar"/>
              </w:rPr>
              <w:t>1</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非接触式眼压计</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1143 非接触式眼压计检定规程</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强检免费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r>
              <w:rPr>
                <w:rFonts w:hint="eastAsia" w:ascii="宋体" w:hAnsi="宋体" w:cs="宋体"/>
                <w:i w:val="0"/>
                <w:iCs w:val="0"/>
                <w:color w:val="000000"/>
                <w:kern w:val="0"/>
                <w:sz w:val="24"/>
                <w:szCs w:val="24"/>
                <w:u w:val="none"/>
                <w:lang w:val="en-US" w:eastAsia="zh-CN" w:bidi="ar"/>
              </w:rPr>
              <w:t>2</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心电图机</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543 心电图机检定规程</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强检免费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r>
              <w:rPr>
                <w:rFonts w:hint="eastAsia" w:ascii="宋体" w:hAnsi="宋体" w:cs="宋体"/>
                <w:i w:val="0"/>
                <w:iCs w:val="0"/>
                <w:color w:val="000000"/>
                <w:kern w:val="0"/>
                <w:sz w:val="24"/>
                <w:szCs w:val="24"/>
                <w:u w:val="none"/>
                <w:lang w:val="en-US" w:eastAsia="zh-CN" w:bidi="ar"/>
              </w:rPr>
              <w:t>3</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脑电图机</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1043 脑电图机检定规程</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强检免费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r>
              <w:rPr>
                <w:rFonts w:hint="eastAsia" w:ascii="宋体" w:hAnsi="宋体" w:cs="宋体"/>
                <w:i w:val="0"/>
                <w:iCs w:val="0"/>
                <w:color w:val="000000"/>
                <w:kern w:val="0"/>
                <w:sz w:val="24"/>
                <w:szCs w:val="24"/>
                <w:u w:val="none"/>
                <w:lang w:val="en-US" w:eastAsia="zh-CN" w:bidi="ar"/>
              </w:rPr>
              <w:t>4</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血压计(血压表)</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270 血压计和血压表检定规程</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强检免费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r>
              <w:rPr>
                <w:rFonts w:hint="eastAsia" w:ascii="宋体" w:hAnsi="宋体" w:cs="宋体"/>
                <w:i w:val="0"/>
                <w:iCs w:val="0"/>
                <w:color w:val="000000"/>
                <w:kern w:val="0"/>
                <w:sz w:val="24"/>
                <w:szCs w:val="24"/>
                <w:u w:val="none"/>
                <w:lang w:val="en-US" w:eastAsia="zh-CN" w:bidi="ar"/>
              </w:rPr>
              <w:t>5</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电子血压计</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692 无创自动测量血压计检定规程</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213</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强检免费</w:t>
            </w:r>
          </w:p>
        </w:tc>
      </w:tr>
    </w:tbl>
    <w:p>
      <w:pPr>
        <w:widowControl/>
        <w:spacing w:line="360" w:lineRule="auto"/>
        <w:ind w:firstLine="480" w:firstLineChars="200"/>
        <w:jc w:val="left"/>
        <w:textAlignment w:val="center"/>
        <w:rPr>
          <w:rFonts w:hint="eastAsia" w:ascii="宋体" w:hAnsi="宋体" w:eastAsia="宋体" w:cs="宋体"/>
          <w:color w:val="000000"/>
          <w:kern w:val="0"/>
          <w:sz w:val="24"/>
          <w:highlight w:val="none"/>
          <w:u w:val="none"/>
          <w:lang w:eastAsia="zh-CN" w:bidi="ar"/>
        </w:rPr>
      </w:pPr>
      <w:r>
        <w:rPr>
          <w:rFonts w:hint="eastAsia" w:ascii="宋体" w:hAnsi="宋体" w:cs="宋体"/>
          <w:color w:val="000000"/>
          <w:kern w:val="0"/>
          <w:sz w:val="24"/>
          <w:highlight w:val="none"/>
          <w:u w:val="none"/>
          <w:lang w:val="en-US" w:eastAsia="zh-CN" w:bidi="ar"/>
        </w:rPr>
        <w:t>备注：</w:t>
      </w:r>
      <w:r>
        <w:rPr>
          <w:rFonts w:ascii="Cambria" w:hAnsi="Cambria" w:eastAsia="Cambria" w:cs="Cambria"/>
          <w:i w:val="0"/>
          <w:iCs w:val="0"/>
          <w:caps w:val="0"/>
          <w:color w:val="000000"/>
          <w:spacing w:val="0"/>
          <w:sz w:val="24"/>
          <w:szCs w:val="24"/>
        </w:rPr>
        <w:t>没列入的项目需校准的按照国家收费标准，以中标价同等折扣收费</w:t>
      </w:r>
      <w:r>
        <w:rPr>
          <w:rFonts w:hint="eastAsia" w:ascii="宋体" w:hAnsi="宋体" w:cs="宋体"/>
          <w:color w:val="000000"/>
          <w:kern w:val="0"/>
          <w:sz w:val="24"/>
          <w:highlight w:val="none"/>
          <w:u w:val="none"/>
          <w:lang w:val="en-US" w:eastAsia="zh-CN" w:bidi="ar"/>
        </w:rPr>
        <w:t>；</w:t>
      </w:r>
      <w:r>
        <w:rPr>
          <w:rFonts w:hint="eastAsia" w:ascii="Cambria" w:hAnsi="Cambria" w:cs="Cambria"/>
          <w:i w:val="0"/>
          <w:iCs w:val="0"/>
          <w:caps w:val="0"/>
          <w:color w:val="000000"/>
          <w:spacing w:val="0"/>
          <w:sz w:val="24"/>
          <w:szCs w:val="24"/>
          <w:lang w:eastAsia="zh-CN"/>
        </w:rPr>
        <w:t>响应人</w:t>
      </w:r>
      <w:r>
        <w:rPr>
          <w:rFonts w:ascii="Cambria" w:hAnsi="Cambria" w:eastAsia="Cambria" w:cs="Cambria"/>
          <w:i w:val="0"/>
          <w:iCs w:val="0"/>
          <w:caps w:val="0"/>
          <w:color w:val="000000"/>
          <w:spacing w:val="0"/>
          <w:sz w:val="24"/>
          <w:szCs w:val="24"/>
        </w:rPr>
        <w:t>依据招标检校目录参考</w:t>
      </w:r>
      <w:r>
        <w:rPr>
          <w:rFonts w:hint="eastAsia" w:ascii="Cambria" w:hAnsi="Cambria" w:cs="Cambria"/>
          <w:i w:val="0"/>
          <w:iCs w:val="0"/>
          <w:caps w:val="0"/>
          <w:color w:val="000000"/>
          <w:spacing w:val="0"/>
          <w:sz w:val="24"/>
          <w:szCs w:val="24"/>
          <w:lang w:val="en-US" w:eastAsia="zh-CN"/>
        </w:rPr>
        <w:t>数量</w:t>
      </w:r>
      <w:r>
        <w:rPr>
          <w:rFonts w:ascii="Cambria" w:hAnsi="Cambria" w:eastAsia="Cambria" w:cs="Cambria"/>
          <w:i w:val="0"/>
          <w:iCs w:val="0"/>
          <w:caps w:val="0"/>
          <w:color w:val="000000"/>
          <w:spacing w:val="0"/>
          <w:sz w:val="24"/>
          <w:szCs w:val="24"/>
        </w:rPr>
        <w:t>进行投标报价，实际检测费用以实际检测数量及最后中标价格为准</w:t>
      </w:r>
      <w:r>
        <w:rPr>
          <w:rFonts w:hint="eastAsia" w:ascii="Cambria" w:hAnsi="Cambria" w:cs="Cambria"/>
          <w:i w:val="0"/>
          <w:iCs w:val="0"/>
          <w:caps w:val="0"/>
          <w:color w:val="000000"/>
          <w:spacing w:val="0"/>
          <w:sz w:val="24"/>
          <w:szCs w:val="24"/>
          <w:lang w:eastAsia="zh-CN"/>
        </w:rPr>
        <w:t>。</w:t>
      </w:r>
    </w:p>
    <w:p/>
    <w:p>
      <w:pPr>
        <w:spacing w:before="120" w:after="120" w:line="415" w:lineRule="auto"/>
        <w:jc w:val="center"/>
        <w:rPr>
          <w:rFonts w:hint="eastAsia" w:ascii="宋体" w:hAnsi="宋体" w:eastAsia="宋体"/>
          <w:kern w:val="2"/>
          <w:szCs w:val="44"/>
          <w:highlight w:val="none"/>
        </w:rPr>
      </w:pPr>
      <w:bookmarkStart w:id="189" w:name="_Toc20447"/>
      <w:bookmarkStart w:id="190" w:name="_Toc29191"/>
      <w:bookmarkStart w:id="191" w:name="_Toc1097"/>
      <w:r>
        <w:rPr>
          <w:rFonts w:hint="eastAsia" w:ascii="宋体" w:hAnsi="宋体" w:eastAsia="宋体"/>
          <w:kern w:val="2"/>
          <w:szCs w:val="44"/>
          <w:highlight w:val="none"/>
        </w:rPr>
        <w:br w:type="page"/>
      </w:r>
    </w:p>
    <w:p>
      <w:pPr>
        <w:pStyle w:val="4"/>
        <w:spacing w:before="120" w:after="120" w:line="415" w:lineRule="auto"/>
        <w:jc w:val="center"/>
        <w:rPr>
          <w:rFonts w:ascii="宋体" w:hAnsi="宋体" w:eastAsia="宋体"/>
          <w:kern w:val="2"/>
          <w:szCs w:val="44"/>
          <w:highlight w:val="none"/>
        </w:rPr>
      </w:pPr>
      <w:bookmarkStart w:id="192" w:name="_Toc20714"/>
      <w:r>
        <w:rPr>
          <w:rFonts w:hint="eastAsia" w:ascii="宋体" w:hAnsi="宋体" w:eastAsia="宋体"/>
          <w:kern w:val="2"/>
          <w:szCs w:val="44"/>
          <w:highlight w:val="none"/>
        </w:rPr>
        <w:t>第五章合同格式</w:t>
      </w:r>
      <w:bookmarkEnd w:id="189"/>
      <w:bookmarkEnd w:id="190"/>
      <w:bookmarkEnd w:id="191"/>
      <w:bookmarkEnd w:id="192"/>
    </w:p>
    <w:p>
      <w:pPr>
        <w:pStyle w:val="53"/>
        <w:pBdr>
          <w:bottom w:val="none" w:color="auto" w:sz="0" w:space="0"/>
        </w:pBdr>
        <w:tabs>
          <w:tab w:val="right" w:pos="8460"/>
          <w:tab w:val="clear" w:pos="8306"/>
        </w:tabs>
        <w:wordWrap w:val="0"/>
        <w:rPr>
          <w:rFonts w:ascii="宋体" w:hAnsi="宋体"/>
          <w:b/>
          <w:sz w:val="30"/>
          <w:szCs w:val="30"/>
          <w:highlight w:val="none"/>
        </w:rPr>
      </w:pPr>
      <w:r>
        <w:rPr>
          <w:rFonts w:hint="eastAsia" w:ascii="宋体" w:hAnsi="宋体"/>
          <w:b/>
          <w:sz w:val="30"/>
          <w:szCs w:val="30"/>
          <w:highlight w:val="none"/>
        </w:rPr>
        <w:t>（仅供参考，以院方版本为准）</w:t>
      </w:r>
    </w:p>
    <w:p>
      <w:pPr>
        <w:numPr>
          <w:ilvl w:val="0"/>
          <w:numId w:val="0"/>
        </w:numPr>
        <w:rPr>
          <w:rFonts w:hint="eastAsia" w:eastAsia="宋体"/>
          <w:highlight w:val="none"/>
          <w:lang w:eastAsia="zh-CN"/>
        </w:rPr>
      </w:pPr>
    </w:p>
    <w:p>
      <w:pPr>
        <w:pStyle w:val="53"/>
        <w:pBdr>
          <w:bottom w:val="none" w:color="auto" w:sz="0" w:space="0"/>
        </w:pBdr>
        <w:tabs>
          <w:tab w:val="right" w:pos="8460"/>
          <w:tab w:val="clear" w:pos="8306"/>
        </w:tabs>
        <w:wordWrap w:val="0"/>
        <w:jc w:val="right"/>
        <w:rPr>
          <w:rFonts w:ascii="宋体" w:hAnsi="宋体"/>
          <w:b/>
          <w:sz w:val="30"/>
          <w:szCs w:val="30"/>
          <w:highlight w:val="none"/>
        </w:rPr>
      </w:pPr>
    </w:p>
    <w:p>
      <w:pPr>
        <w:jc w:val="center"/>
        <w:rPr>
          <w:rFonts w:ascii="宋体" w:hAnsi="宋体"/>
          <w:sz w:val="44"/>
          <w:highlight w:val="none"/>
        </w:rPr>
      </w:pPr>
    </w:p>
    <w:p>
      <w:pPr>
        <w:pStyle w:val="53"/>
        <w:pBdr>
          <w:bottom w:val="none" w:color="auto" w:sz="0" w:space="0"/>
        </w:pBdr>
        <w:tabs>
          <w:tab w:val="right" w:pos="8460"/>
          <w:tab w:val="clear" w:pos="8306"/>
        </w:tabs>
        <w:ind w:right="600" w:firstLine="6035" w:firstLineChars="2004"/>
        <w:jc w:val="both"/>
        <w:rPr>
          <w:rFonts w:ascii="宋体" w:hAnsi="宋体"/>
          <w:b/>
          <w:sz w:val="30"/>
          <w:szCs w:val="30"/>
          <w:highlight w:val="none"/>
        </w:rPr>
      </w:pPr>
      <w:r>
        <w:rPr>
          <w:rFonts w:hint="eastAsia" w:ascii="宋体" w:hAnsi="宋体"/>
          <w:b/>
          <w:sz w:val="30"/>
          <w:szCs w:val="30"/>
          <w:highlight w:val="none"/>
        </w:rPr>
        <w:t>合同编号：</w:t>
      </w:r>
    </w:p>
    <w:p>
      <w:pPr>
        <w:jc w:val="center"/>
        <w:rPr>
          <w:rFonts w:ascii="宋体" w:hAnsi="宋体"/>
          <w:sz w:val="44"/>
          <w:highlight w:val="none"/>
        </w:rPr>
      </w:pPr>
    </w:p>
    <w:p>
      <w:pPr>
        <w:jc w:val="center"/>
        <w:rPr>
          <w:rFonts w:ascii="宋体" w:hAnsi="宋体"/>
          <w:b/>
          <w:sz w:val="72"/>
          <w:highlight w:val="none"/>
        </w:rPr>
      </w:pPr>
      <w:r>
        <w:rPr>
          <w:rFonts w:hint="eastAsia" w:ascii="宋体" w:hAnsi="宋体"/>
          <w:b/>
          <w:sz w:val="72"/>
          <w:highlight w:val="none"/>
        </w:rPr>
        <w:t>政府采购合同</w:t>
      </w:r>
    </w:p>
    <w:p>
      <w:pPr>
        <w:jc w:val="center"/>
        <w:rPr>
          <w:rFonts w:ascii="宋体" w:hAnsi="宋体"/>
          <w:sz w:val="72"/>
          <w:highlight w:val="none"/>
        </w:rPr>
      </w:pPr>
    </w:p>
    <w:p>
      <w:pPr>
        <w:widowControl/>
        <w:snapToGrid w:val="0"/>
        <w:spacing w:line="360" w:lineRule="auto"/>
        <w:rPr>
          <w:rFonts w:ascii="宋体" w:hAnsi="宋体" w:cs="宋体"/>
          <w:b/>
          <w:kern w:val="0"/>
          <w:sz w:val="24"/>
          <w:highlight w:val="none"/>
        </w:rPr>
      </w:pPr>
    </w:p>
    <w:p>
      <w:pPr>
        <w:widowControl/>
        <w:snapToGrid w:val="0"/>
        <w:spacing w:line="360" w:lineRule="auto"/>
        <w:rPr>
          <w:rFonts w:ascii="宋体" w:hAnsi="宋体" w:cs="宋体"/>
          <w:b/>
          <w:kern w:val="0"/>
          <w:sz w:val="32"/>
          <w:szCs w:val="32"/>
          <w:highlight w:val="none"/>
        </w:rPr>
      </w:pPr>
    </w:p>
    <w:p>
      <w:pPr>
        <w:widowControl/>
        <w:snapToGrid w:val="0"/>
        <w:spacing w:line="360" w:lineRule="auto"/>
        <w:ind w:left="2972" w:leftChars="658" w:hanging="1590" w:hangingChars="495"/>
        <w:jc w:val="left"/>
        <w:rPr>
          <w:rFonts w:ascii="宋体" w:hAnsi="宋体" w:cs="宋体"/>
          <w:b/>
          <w:kern w:val="0"/>
          <w:sz w:val="32"/>
          <w:szCs w:val="32"/>
          <w:highlight w:val="none"/>
          <w:u w:val="single"/>
        </w:rPr>
      </w:pPr>
      <w:r>
        <w:rPr>
          <w:rFonts w:hint="eastAsia" w:ascii="宋体" w:hAnsi="宋体" w:cs="宋体"/>
          <w:b/>
          <w:kern w:val="0"/>
          <w:sz w:val="32"/>
          <w:szCs w:val="32"/>
          <w:highlight w:val="none"/>
        </w:rPr>
        <w:t>项目名称</w:t>
      </w:r>
      <w:r>
        <w:rPr>
          <w:rFonts w:ascii="宋体" w:hAnsi="宋体" w:cs="宋体"/>
          <w:b/>
          <w:kern w:val="0"/>
          <w:sz w:val="32"/>
          <w:szCs w:val="32"/>
          <w:highlight w:val="none"/>
        </w:rPr>
        <w:t>:</w:t>
      </w:r>
    </w:p>
    <w:p>
      <w:pPr>
        <w:widowControl/>
        <w:snapToGrid w:val="0"/>
        <w:spacing w:line="360" w:lineRule="auto"/>
        <w:ind w:left="2972" w:leftChars="658" w:hanging="1590" w:hangingChars="495"/>
        <w:jc w:val="left"/>
        <w:rPr>
          <w:rFonts w:ascii="宋体" w:hAnsi="宋体" w:cs="宋体"/>
          <w:b/>
          <w:kern w:val="0"/>
          <w:sz w:val="32"/>
          <w:szCs w:val="32"/>
          <w:highlight w:val="none"/>
        </w:rPr>
      </w:pPr>
      <w:r>
        <w:rPr>
          <w:rFonts w:hint="eastAsia" w:ascii="宋体" w:hAnsi="宋体" w:cs="宋体"/>
          <w:b/>
          <w:kern w:val="0"/>
          <w:sz w:val="32"/>
          <w:szCs w:val="32"/>
          <w:highlight w:val="none"/>
        </w:rPr>
        <w:t>项目编号</w:t>
      </w:r>
      <w:r>
        <w:rPr>
          <w:rFonts w:ascii="宋体" w:hAnsi="宋体" w:cs="宋体"/>
          <w:b/>
          <w:kern w:val="0"/>
          <w:sz w:val="32"/>
          <w:szCs w:val="32"/>
          <w:highlight w:val="none"/>
        </w:rPr>
        <w:t>:</w:t>
      </w:r>
    </w:p>
    <w:p>
      <w:pPr>
        <w:widowControl/>
        <w:snapToGrid w:val="0"/>
        <w:spacing w:line="360" w:lineRule="auto"/>
        <w:rPr>
          <w:rFonts w:ascii="宋体" w:hAnsi="宋体" w:cs="宋体"/>
          <w:b/>
          <w:kern w:val="0"/>
          <w:sz w:val="32"/>
          <w:szCs w:val="32"/>
          <w:highlight w:val="none"/>
        </w:rPr>
      </w:pPr>
    </w:p>
    <w:p>
      <w:pPr>
        <w:widowControl/>
        <w:snapToGrid w:val="0"/>
        <w:spacing w:line="360" w:lineRule="auto"/>
        <w:rPr>
          <w:rFonts w:ascii="宋体" w:hAnsi="宋体" w:cs="宋体"/>
          <w:b/>
          <w:kern w:val="0"/>
          <w:sz w:val="32"/>
          <w:szCs w:val="32"/>
          <w:highlight w:val="none"/>
        </w:rPr>
      </w:pPr>
    </w:p>
    <w:p>
      <w:pPr>
        <w:widowControl/>
        <w:snapToGrid w:val="0"/>
        <w:spacing w:line="360" w:lineRule="auto"/>
        <w:rPr>
          <w:rFonts w:ascii="宋体" w:hAnsi="宋体" w:cs="宋体"/>
          <w:b/>
          <w:kern w:val="0"/>
          <w:sz w:val="32"/>
          <w:szCs w:val="32"/>
          <w:highlight w:val="none"/>
        </w:rPr>
      </w:pPr>
    </w:p>
    <w:p>
      <w:pPr>
        <w:widowControl/>
        <w:snapToGrid w:val="0"/>
        <w:spacing w:line="360" w:lineRule="auto"/>
        <w:ind w:firstLine="1285" w:firstLineChars="400"/>
        <w:jc w:val="left"/>
        <w:rPr>
          <w:rFonts w:ascii="宋体" w:hAnsi="宋体" w:cs="宋体"/>
          <w:b/>
          <w:kern w:val="0"/>
          <w:sz w:val="32"/>
          <w:szCs w:val="32"/>
          <w:highlight w:val="none"/>
          <w:u w:val="single"/>
        </w:rPr>
      </w:pPr>
      <w:r>
        <w:rPr>
          <w:rFonts w:hint="eastAsia" w:ascii="宋体" w:hAnsi="宋体" w:cs="宋体"/>
          <w:b/>
          <w:kern w:val="0"/>
          <w:sz w:val="32"/>
          <w:szCs w:val="32"/>
          <w:highlight w:val="none"/>
        </w:rPr>
        <w:t>甲方</w:t>
      </w:r>
      <w:r>
        <w:rPr>
          <w:rFonts w:ascii="宋体" w:hAnsi="宋体" w:cs="宋体"/>
          <w:b/>
          <w:kern w:val="0"/>
          <w:sz w:val="32"/>
          <w:szCs w:val="32"/>
          <w:highlight w:val="none"/>
        </w:rPr>
        <w:t>:</w:t>
      </w:r>
    </w:p>
    <w:p>
      <w:pPr>
        <w:widowControl/>
        <w:snapToGrid w:val="0"/>
        <w:spacing w:line="360" w:lineRule="auto"/>
        <w:ind w:left="420" w:leftChars="200" w:firstLine="855" w:firstLineChars="266"/>
        <w:jc w:val="left"/>
        <w:rPr>
          <w:rFonts w:ascii="宋体" w:hAnsi="宋体" w:cs="宋体"/>
          <w:b/>
          <w:kern w:val="0"/>
          <w:sz w:val="32"/>
          <w:szCs w:val="32"/>
          <w:highlight w:val="none"/>
          <w:u w:val="single"/>
        </w:rPr>
      </w:pPr>
      <w:r>
        <w:rPr>
          <w:rFonts w:hint="eastAsia" w:ascii="宋体" w:hAnsi="宋体" w:cs="宋体"/>
          <w:b/>
          <w:kern w:val="0"/>
          <w:sz w:val="32"/>
          <w:szCs w:val="32"/>
          <w:highlight w:val="none"/>
        </w:rPr>
        <w:t>乙方</w:t>
      </w:r>
      <w:r>
        <w:rPr>
          <w:rFonts w:ascii="宋体" w:hAnsi="宋体" w:cs="宋体"/>
          <w:b/>
          <w:kern w:val="0"/>
          <w:sz w:val="32"/>
          <w:szCs w:val="32"/>
          <w:highlight w:val="none"/>
        </w:rPr>
        <w:t>:</w:t>
      </w:r>
    </w:p>
    <w:p>
      <w:pPr>
        <w:spacing w:line="360" w:lineRule="auto"/>
        <w:ind w:firstLine="480" w:firstLineChars="200"/>
        <w:jc w:val="center"/>
        <w:rPr>
          <w:rFonts w:ascii="宋体" w:hAnsi="宋体"/>
          <w:sz w:val="24"/>
          <w:highlight w:val="none"/>
          <w:u w:val="single"/>
        </w:rPr>
      </w:pPr>
    </w:p>
    <w:p>
      <w:pPr>
        <w:widowControl/>
        <w:snapToGrid w:val="0"/>
        <w:spacing w:line="360" w:lineRule="auto"/>
        <w:jc w:val="center"/>
        <w:rPr>
          <w:rFonts w:ascii="宋体" w:hAnsi="宋体"/>
          <w:snapToGrid w:val="0"/>
          <w:kern w:val="0"/>
          <w:sz w:val="24"/>
          <w:highlight w:val="none"/>
          <w:u w:val="single"/>
        </w:rPr>
      </w:pPr>
    </w:p>
    <w:p>
      <w:pPr>
        <w:widowControl/>
        <w:snapToGrid w:val="0"/>
        <w:spacing w:line="360" w:lineRule="auto"/>
        <w:jc w:val="center"/>
        <w:rPr>
          <w:rFonts w:ascii="宋体" w:hAnsi="宋体" w:cs="宋体"/>
          <w:kern w:val="0"/>
          <w:sz w:val="24"/>
          <w:highlight w:val="none"/>
        </w:rPr>
      </w:pPr>
      <w:r>
        <w:rPr>
          <w:rFonts w:hint="eastAsia" w:ascii="宋体" w:hAnsi="宋体"/>
          <w:snapToGrid w:val="0"/>
          <w:kern w:val="0"/>
          <w:sz w:val="24"/>
          <w:highlight w:val="none"/>
          <w:u w:val="single"/>
        </w:rPr>
        <w:t>本合同非为中小企业预留合同</w:t>
      </w:r>
    </w:p>
    <w:p>
      <w:pPr>
        <w:widowControl/>
        <w:spacing w:line="360" w:lineRule="auto"/>
        <w:ind w:firstLine="480" w:firstLineChars="200"/>
        <w:jc w:val="left"/>
        <w:rPr>
          <w:rFonts w:ascii="宋体" w:hAnsi="宋体"/>
          <w:snapToGrid w:val="0"/>
          <w:kern w:val="0"/>
          <w:sz w:val="24"/>
          <w:highlight w:val="none"/>
        </w:rPr>
      </w:pPr>
      <w:r>
        <w:rPr>
          <w:rFonts w:ascii="宋体" w:hAnsi="宋体"/>
          <w:sz w:val="24"/>
          <w:highlight w:val="none"/>
          <w:u w:val="single"/>
        </w:rPr>
        <w:br w:type="page"/>
      </w:r>
      <w:r>
        <w:rPr>
          <w:rFonts w:hint="eastAsia" w:ascii="宋体" w:hAnsi="宋体"/>
          <w:snapToGrid w:val="0"/>
          <w:kern w:val="0"/>
          <w:sz w:val="24"/>
          <w:highlight w:val="none"/>
          <w:u w:val="single"/>
        </w:rPr>
        <w:t>（采购人名称）</w:t>
      </w:r>
      <w:r>
        <w:rPr>
          <w:rFonts w:hint="eastAsia" w:ascii="宋体" w:hAnsi="宋体"/>
          <w:snapToGrid w:val="0"/>
          <w:kern w:val="0"/>
          <w:sz w:val="24"/>
          <w:highlight w:val="none"/>
        </w:rPr>
        <w:t>所需</w:t>
      </w:r>
      <w:r>
        <w:rPr>
          <w:rFonts w:ascii="宋体" w:hAnsi="宋体"/>
          <w:snapToGrid w:val="0"/>
          <w:kern w:val="0"/>
          <w:sz w:val="24"/>
          <w:highlight w:val="none"/>
          <w:u w:val="single"/>
        </w:rPr>
        <w:t>(</w:t>
      </w:r>
      <w:r>
        <w:rPr>
          <w:rFonts w:hint="eastAsia" w:ascii="宋体" w:hAnsi="宋体"/>
          <w:snapToGrid w:val="0"/>
          <w:kern w:val="0"/>
          <w:sz w:val="24"/>
          <w:highlight w:val="none"/>
          <w:u w:val="single"/>
        </w:rPr>
        <w:t>服务名称</w:t>
      </w:r>
      <w:r>
        <w:rPr>
          <w:rFonts w:ascii="宋体" w:hAnsi="宋体"/>
          <w:snapToGrid w:val="0"/>
          <w:kern w:val="0"/>
          <w:sz w:val="24"/>
          <w:highlight w:val="none"/>
          <w:u w:val="single"/>
        </w:rPr>
        <w:t>)</w:t>
      </w:r>
      <w:r>
        <w:rPr>
          <w:rFonts w:hint="eastAsia" w:ascii="宋体" w:hAnsi="宋体"/>
          <w:snapToGrid w:val="0"/>
          <w:kern w:val="0"/>
          <w:sz w:val="24"/>
          <w:highlight w:val="none"/>
        </w:rPr>
        <w:t>经海逸恒安项目管理有限公司以</w:t>
      </w:r>
      <w:r>
        <w:rPr>
          <w:rFonts w:hint="eastAsia" w:ascii="宋体" w:hAnsi="宋体"/>
          <w:snapToGrid w:val="0"/>
          <w:kern w:val="0"/>
          <w:sz w:val="24"/>
          <w:highlight w:val="none"/>
          <w:u w:val="single"/>
        </w:rPr>
        <w:t>（采购编号）</w:t>
      </w:r>
      <w:r>
        <w:rPr>
          <w:rFonts w:hint="eastAsia" w:ascii="宋体" w:hAnsi="宋体"/>
          <w:snapToGrid w:val="0"/>
          <w:kern w:val="0"/>
          <w:sz w:val="24"/>
          <w:highlight w:val="none"/>
        </w:rPr>
        <w:t>采购文件在国内以竞争性磋商方式进行采购。经磋商小组评审，确定</w:t>
      </w:r>
      <w:r>
        <w:rPr>
          <w:rFonts w:hint="eastAsia" w:ascii="宋体" w:hAnsi="宋体"/>
          <w:snapToGrid w:val="0"/>
          <w:kern w:val="0"/>
          <w:sz w:val="24"/>
          <w:highlight w:val="none"/>
          <w:u w:val="single"/>
        </w:rPr>
        <w:t>（响应人名称）</w:t>
      </w:r>
      <w:r>
        <w:rPr>
          <w:rFonts w:hint="eastAsia" w:ascii="宋体" w:hAnsi="宋体"/>
          <w:snapToGrid w:val="0"/>
          <w:kern w:val="0"/>
          <w:sz w:val="24"/>
          <w:highlight w:val="none"/>
        </w:rPr>
        <w:t>为成交响应人。双方根据《中华人民共和国政府采购法》、《中华人民共和国民法典》等相关法律法规以及本项目采购文件的规定，经平等协商达成合同如下：</w:t>
      </w:r>
    </w:p>
    <w:p>
      <w:pPr>
        <w:snapToGrid w:val="0"/>
        <w:spacing w:line="360" w:lineRule="auto"/>
        <w:ind w:firstLine="480"/>
        <w:rPr>
          <w:rFonts w:ascii="宋体" w:hAnsi="宋体"/>
          <w:b/>
          <w:bCs/>
          <w:snapToGrid w:val="0"/>
          <w:kern w:val="0"/>
          <w:sz w:val="24"/>
          <w:highlight w:val="none"/>
        </w:rPr>
      </w:pPr>
      <w:r>
        <w:rPr>
          <w:rFonts w:hint="eastAsia" w:ascii="宋体" w:hAnsi="宋体"/>
          <w:b/>
          <w:bCs/>
          <w:snapToGrid w:val="0"/>
          <w:kern w:val="0"/>
          <w:sz w:val="24"/>
          <w:highlight w:val="none"/>
        </w:rPr>
        <w:t>一、合同文件</w:t>
      </w:r>
    </w:p>
    <w:p>
      <w:pPr>
        <w:snapToGrid w:val="0"/>
        <w:spacing w:line="360" w:lineRule="auto"/>
        <w:ind w:firstLine="480"/>
        <w:rPr>
          <w:rFonts w:ascii="宋体" w:hAnsi="宋体"/>
          <w:snapToGrid w:val="0"/>
          <w:kern w:val="0"/>
          <w:sz w:val="24"/>
          <w:highlight w:val="none"/>
        </w:rPr>
      </w:pPr>
      <w:r>
        <w:rPr>
          <w:rFonts w:hint="eastAsia" w:ascii="宋体" w:hAnsi="宋体"/>
          <w:snapToGrid w:val="0"/>
          <w:kern w:val="0"/>
          <w:sz w:val="24"/>
          <w:highlight w:val="none"/>
        </w:rPr>
        <w:t>本合同所附下列文件是构成本合同不可分割的部分：</w:t>
      </w:r>
    </w:p>
    <w:p>
      <w:pPr>
        <w:snapToGrid w:val="0"/>
        <w:spacing w:line="360" w:lineRule="auto"/>
        <w:ind w:firstLine="480"/>
        <w:rPr>
          <w:rFonts w:ascii="宋体" w:hAnsi="宋体"/>
          <w:snapToGrid w:val="0"/>
          <w:kern w:val="0"/>
          <w:sz w:val="24"/>
          <w:highlight w:val="none"/>
        </w:rPr>
      </w:pPr>
      <w:r>
        <w:rPr>
          <w:rFonts w:hint="eastAsia" w:ascii="宋体" w:hAnsi="宋体"/>
          <w:snapToGrid w:val="0"/>
          <w:kern w:val="0"/>
          <w:sz w:val="24"/>
          <w:highlight w:val="none"/>
        </w:rPr>
        <w:t>（一）本项目采购文件</w:t>
      </w:r>
    </w:p>
    <w:p>
      <w:pPr>
        <w:snapToGrid w:val="0"/>
        <w:spacing w:line="360" w:lineRule="auto"/>
        <w:ind w:firstLine="480"/>
        <w:rPr>
          <w:rFonts w:ascii="宋体" w:hAnsi="宋体"/>
          <w:snapToGrid w:val="0"/>
          <w:kern w:val="0"/>
          <w:sz w:val="24"/>
          <w:highlight w:val="none"/>
        </w:rPr>
      </w:pPr>
      <w:r>
        <w:rPr>
          <w:rFonts w:hint="eastAsia" w:ascii="宋体" w:hAnsi="宋体"/>
          <w:snapToGrid w:val="0"/>
          <w:kern w:val="0"/>
          <w:sz w:val="24"/>
          <w:highlight w:val="none"/>
        </w:rPr>
        <w:t>（二）成交响应人响应文件</w:t>
      </w:r>
    </w:p>
    <w:p>
      <w:pPr>
        <w:snapToGrid w:val="0"/>
        <w:spacing w:line="360" w:lineRule="auto"/>
        <w:ind w:firstLine="480"/>
        <w:rPr>
          <w:rFonts w:ascii="宋体" w:hAnsi="宋体"/>
          <w:snapToGrid w:val="0"/>
          <w:kern w:val="0"/>
          <w:sz w:val="24"/>
          <w:highlight w:val="none"/>
        </w:rPr>
      </w:pPr>
      <w:r>
        <w:rPr>
          <w:rFonts w:hint="eastAsia" w:ascii="宋体" w:hAnsi="宋体"/>
          <w:snapToGrid w:val="0"/>
          <w:kern w:val="0"/>
          <w:sz w:val="24"/>
          <w:highlight w:val="none"/>
        </w:rPr>
        <w:t>（三）合同格式及合同条款</w:t>
      </w:r>
    </w:p>
    <w:p>
      <w:pPr>
        <w:snapToGrid w:val="0"/>
        <w:spacing w:line="360" w:lineRule="auto"/>
        <w:ind w:firstLine="480"/>
        <w:rPr>
          <w:rFonts w:ascii="宋体" w:hAnsi="宋体"/>
          <w:snapToGrid w:val="0"/>
          <w:kern w:val="0"/>
          <w:sz w:val="24"/>
          <w:highlight w:val="none"/>
        </w:rPr>
      </w:pPr>
      <w:r>
        <w:rPr>
          <w:rFonts w:hint="eastAsia" w:ascii="宋体" w:hAnsi="宋体"/>
          <w:snapToGrid w:val="0"/>
          <w:kern w:val="0"/>
          <w:sz w:val="24"/>
          <w:highlight w:val="none"/>
        </w:rPr>
        <w:t>（四）成交响应人在评标过程中做出的有关澄清、说明或者补正文件</w:t>
      </w:r>
    </w:p>
    <w:p>
      <w:pPr>
        <w:snapToGrid w:val="0"/>
        <w:spacing w:line="360" w:lineRule="auto"/>
        <w:ind w:firstLine="480"/>
        <w:rPr>
          <w:rFonts w:ascii="宋体" w:hAnsi="宋体"/>
          <w:snapToGrid w:val="0"/>
          <w:kern w:val="0"/>
          <w:sz w:val="24"/>
          <w:highlight w:val="none"/>
        </w:rPr>
      </w:pPr>
      <w:r>
        <w:rPr>
          <w:rFonts w:hint="eastAsia" w:ascii="宋体" w:hAnsi="宋体"/>
          <w:snapToGrid w:val="0"/>
          <w:kern w:val="0"/>
          <w:sz w:val="24"/>
          <w:highlight w:val="none"/>
        </w:rPr>
        <w:t>（五）成交通知书</w:t>
      </w:r>
    </w:p>
    <w:p>
      <w:pPr>
        <w:snapToGrid w:val="0"/>
        <w:spacing w:line="360" w:lineRule="auto"/>
        <w:ind w:firstLine="480"/>
        <w:rPr>
          <w:rFonts w:ascii="宋体" w:hAnsi="宋体"/>
          <w:snapToGrid w:val="0"/>
          <w:kern w:val="0"/>
          <w:sz w:val="24"/>
          <w:highlight w:val="none"/>
        </w:rPr>
      </w:pPr>
      <w:r>
        <w:rPr>
          <w:rFonts w:hint="eastAsia" w:ascii="宋体" w:hAnsi="宋体"/>
          <w:snapToGrid w:val="0"/>
          <w:kern w:val="0"/>
          <w:sz w:val="24"/>
          <w:highlight w:val="none"/>
        </w:rPr>
        <w:t>（六）本合同附件</w:t>
      </w:r>
    </w:p>
    <w:p>
      <w:pPr>
        <w:widowControl/>
        <w:spacing w:line="360" w:lineRule="auto"/>
        <w:ind w:firstLine="480" w:firstLineChars="200"/>
        <w:jc w:val="left"/>
        <w:rPr>
          <w:rFonts w:ascii="宋体" w:cs="仿宋_GB2312"/>
          <w:kern w:val="0"/>
          <w:sz w:val="24"/>
          <w:highlight w:val="none"/>
        </w:rPr>
      </w:pPr>
      <w:r>
        <w:rPr>
          <w:rFonts w:hint="eastAsia" w:ascii="宋体" w:hAnsi="宋体" w:cs="仿宋_GB2312"/>
          <w:kern w:val="0"/>
          <w:sz w:val="24"/>
          <w:highlight w:val="none"/>
        </w:rPr>
        <w:t>在合同订立及履行过程中形成的与合同有关的文件均构成合同文件组成部分。</w:t>
      </w:r>
    </w:p>
    <w:p>
      <w:pPr>
        <w:widowControl/>
        <w:spacing w:line="360" w:lineRule="auto"/>
        <w:ind w:firstLine="480" w:firstLineChars="200"/>
        <w:jc w:val="left"/>
        <w:rPr>
          <w:rFonts w:ascii="宋体" w:cs="仿宋_GB2312"/>
          <w:kern w:val="0"/>
          <w:sz w:val="24"/>
          <w:highlight w:val="none"/>
        </w:rPr>
      </w:pPr>
      <w:r>
        <w:rPr>
          <w:rFonts w:hint="eastAsia" w:ascii="宋体" w:hAnsi="宋体" w:cs="仿宋_GB2312"/>
          <w:kern w:val="0"/>
          <w:sz w:val="24"/>
          <w:highlight w:val="none"/>
        </w:rPr>
        <w:t>上述各项合同文件包括合同当事人就该项合同文件所作出的补充和修改，属于同一类内容的文件，应以最新签署的为准。专用合同条款及其附件须经合同当事人签字或盖章。</w:t>
      </w:r>
    </w:p>
    <w:p>
      <w:pPr>
        <w:snapToGrid w:val="0"/>
        <w:spacing w:line="360" w:lineRule="auto"/>
        <w:ind w:firstLine="480"/>
        <w:rPr>
          <w:rFonts w:ascii="宋体" w:hAnsi="宋体"/>
          <w:b/>
          <w:bCs/>
          <w:snapToGrid w:val="0"/>
          <w:kern w:val="0"/>
          <w:sz w:val="24"/>
          <w:highlight w:val="none"/>
        </w:rPr>
      </w:pPr>
      <w:r>
        <w:rPr>
          <w:rFonts w:hint="eastAsia" w:ascii="宋体" w:hAnsi="宋体"/>
          <w:b/>
          <w:bCs/>
          <w:snapToGrid w:val="0"/>
          <w:kern w:val="0"/>
          <w:sz w:val="24"/>
          <w:highlight w:val="none"/>
        </w:rPr>
        <w:t>二、合同的范围和条件</w:t>
      </w:r>
    </w:p>
    <w:p>
      <w:pPr>
        <w:snapToGrid w:val="0"/>
        <w:spacing w:line="360" w:lineRule="auto"/>
        <w:ind w:firstLine="480" w:firstLineChars="200"/>
        <w:rPr>
          <w:rFonts w:ascii="宋体" w:hAnsi="宋体"/>
          <w:snapToGrid w:val="0"/>
          <w:kern w:val="0"/>
          <w:highlight w:val="none"/>
        </w:rPr>
      </w:pPr>
      <w:r>
        <w:rPr>
          <w:rFonts w:hint="eastAsia" w:ascii="宋体" w:hAnsi="宋体"/>
          <w:snapToGrid w:val="0"/>
          <w:kern w:val="0"/>
          <w:sz w:val="24"/>
          <w:highlight w:val="none"/>
        </w:rPr>
        <w:t>本合同的范围和条件应与上述合同文件的规定相一致。</w:t>
      </w:r>
    </w:p>
    <w:p>
      <w:pPr>
        <w:snapToGrid w:val="0"/>
        <w:spacing w:line="360" w:lineRule="auto"/>
        <w:ind w:firstLine="480"/>
        <w:rPr>
          <w:rFonts w:ascii="宋体" w:hAnsi="宋体"/>
          <w:b/>
          <w:bCs/>
          <w:snapToGrid w:val="0"/>
          <w:kern w:val="0"/>
          <w:sz w:val="24"/>
          <w:highlight w:val="none"/>
        </w:rPr>
      </w:pPr>
      <w:r>
        <w:rPr>
          <w:rFonts w:hint="eastAsia" w:ascii="宋体" w:hAnsi="宋体"/>
          <w:b/>
          <w:bCs/>
          <w:snapToGrid w:val="0"/>
          <w:kern w:val="0"/>
          <w:sz w:val="24"/>
          <w:highlight w:val="none"/>
        </w:rPr>
        <w:t>三、服务内容、数量及规格</w:t>
      </w:r>
    </w:p>
    <w:p>
      <w:pPr>
        <w:snapToGrid w:val="0"/>
        <w:spacing w:line="360" w:lineRule="auto"/>
        <w:ind w:firstLine="480" w:firstLineChars="200"/>
        <w:rPr>
          <w:rFonts w:ascii="宋体" w:hAnsi="宋体"/>
          <w:snapToGrid w:val="0"/>
          <w:kern w:val="0"/>
          <w:sz w:val="24"/>
          <w:highlight w:val="none"/>
        </w:rPr>
      </w:pPr>
      <w:r>
        <w:rPr>
          <w:rFonts w:hint="eastAsia" w:ascii="宋体" w:hAnsi="宋体"/>
          <w:sz w:val="24"/>
          <w:highlight w:val="none"/>
        </w:rPr>
        <w:t>本合同所提供的服务项目、数量及规格详见采购文件及响应文件服务方案</w:t>
      </w:r>
      <w:r>
        <w:rPr>
          <w:rFonts w:hint="eastAsia" w:ascii="宋体" w:hAnsi="宋体"/>
          <w:snapToGrid w:val="0"/>
          <w:kern w:val="0"/>
          <w:sz w:val="24"/>
          <w:highlight w:val="none"/>
        </w:rPr>
        <w:t>。</w:t>
      </w:r>
    </w:p>
    <w:p>
      <w:pPr>
        <w:snapToGrid w:val="0"/>
        <w:spacing w:line="360" w:lineRule="auto"/>
        <w:ind w:firstLine="480"/>
        <w:rPr>
          <w:rFonts w:ascii="宋体" w:hAnsi="宋体"/>
          <w:b/>
          <w:bCs/>
          <w:snapToGrid w:val="0"/>
          <w:kern w:val="0"/>
          <w:sz w:val="24"/>
          <w:highlight w:val="none"/>
        </w:rPr>
      </w:pPr>
      <w:r>
        <w:rPr>
          <w:rFonts w:hint="eastAsia" w:ascii="宋体" w:hAnsi="宋体"/>
          <w:b/>
          <w:bCs/>
          <w:snapToGrid w:val="0"/>
          <w:kern w:val="0"/>
          <w:sz w:val="24"/>
          <w:highlight w:val="none"/>
        </w:rPr>
        <w:t>四、签约合同价与合同价格形式</w:t>
      </w:r>
    </w:p>
    <w:p>
      <w:pPr>
        <w:widowControl/>
        <w:spacing w:line="360" w:lineRule="auto"/>
        <w:ind w:firstLine="480" w:firstLineChars="200"/>
        <w:jc w:val="left"/>
        <w:rPr>
          <w:rFonts w:ascii="宋体" w:cs="仿宋_GB2312"/>
          <w:kern w:val="0"/>
          <w:sz w:val="24"/>
          <w:highlight w:val="none"/>
        </w:rPr>
      </w:pPr>
      <w:r>
        <w:rPr>
          <w:rFonts w:ascii="宋体" w:hAnsi="宋体" w:cs="仿宋_GB2312"/>
          <w:kern w:val="0"/>
          <w:sz w:val="24"/>
          <w:highlight w:val="none"/>
        </w:rPr>
        <w:t>1.</w:t>
      </w:r>
      <w:r>
        <w:rPr>
          <w:rFonts w:hint="eastAsia" w:ascii="宋体" w:hAnsi="宋体" w:cs="仿宋_GB2312"/>
          <w:kern w:val="0"/>
          <w:sz w:val="24"/>
          <w:highlight w:val="none"/>
        </w:rPr>
        <w:t>签约合同价为：</w:t>
      </w:r>
    </w:p>
    <w:p>
      <w:pPr>
        <w:widowControl/>
        <w:spacing w:line="360" w:lineRule="auto"/>
        <w:ind w:firstLine="480" w:firstLineChars="200"/>
        <w:jc w:val="left"/>
        <w:rPr>
          <w:rFonts w:ascii="宋体" w:cs="仿宋_GB2312"/>
          <w:kern w:val="0"/>
          <w:sz w:val="24"/>
          <w:highlight w:val="none"/>
        </w:rPr>
      </w:pPr>
      <w:r>
        <w:rPr>
          <w:rFonts w:hint="eastAsia" w:ascii="宋体" w:hAnsi="宋体" w:cs="仿宋_GB2312"/>
          <w:kern w:val="0"/>
          <w:sz w:val="24"/>
          <w:highlight w:val="none"/>
        </w:rPr>
        <w:t>人民币（大写）</w:t>
      </w:r>
      <w:r>
        <w:rPr>
          <w:rFonts w:ascii="宋体" w:hAnsi="宋体" w:cs="仿宋_GB2312"/>
          <w:kern w:val="0"/>
          <w:sz w:val="24"/>
          <w:highlight w:val="none"/>
          <w:u w:val="single"/>
        </w:rPr>
        <w:t xml:space="preserve"> </w:t>
      </w:r>
      <w:r>
        <w:rPr>
          <w:rFonts w:hint="eastAsia" w:ascii="宋体" w:hAnsi="宋体" w:cs="仿宋_GB2312"/>
          <w:kern w:val="0"/>
          <w:sz w:val="24"/>
          <w:highlight w:val="none"/>
          <w:u w:val="single"/>
        </w:rPr>
        <w:t xml:space="preserve">             </w:t>
      </w:r>
      <w:r>
        <w:rPr>
          <w:rFonts w:hint="eastAsia" w:ascii="宋体" w:hAnsi="宋体" w:cs="仿宋_GB2312"/>
          <w:kern w:val="0"/>
          <w:sz w:val="24"/>
          <w:highlight w:val="none"/>
        </w:rPr>
        <w:t>；</w:t>
      </w:r>
    </w:p>
    <w:p>
      <w:pPr>
        <w:snapToGrid w:val="0"/>
        <w:spacing w:line="360" w:lineRule="auto"/>
        <w:ind w:firstLine="480" w:firstLineChars="200"/>
        <w:rPr>
          <w:rFonts w:ascii="宋体" w:hAnsi="宋体"/>
          <w:snapToGrid w:val="0"/>
          <w:kern w:val="0"/>
          <w:highlight w:val="none"/>
        </w:rPr>
      </w:pPr>
      <w:r>
        <w:rPr>
          <w:rFonts w:ascii="宋体" w:hAnsi="宋体" w:cs="仿宋_GB2312"/>
          <w:kern w:val="0"/>
          <w:sz w:val="24"/>
          <w:highlight w:val="none"/>
        </w:rPr>
        <w:t>2.</w:t>
      </w:r>
      <w:r>
        <w:rPr>
          <w:rFonts w:hint="eastAsia" w:ascii="宋体" w:hAnsi="宋体" w:cs="仿宋_GB2312"/>
          <w:kern w:val="0"/>
          <w:sz w:val="24"/>
          <w:highlight w:val="none"/>
        </w:rPr>
        <w:t>合同价格形式：</w:t>
      </w:r>
      <w:r>
        <w:rPr>
          <w:rFonts w:hint="eastAsia" w:ascii="宋体" w:hAnsi="宋体" w:cs="仿宋_GB2312"/>
          <w:kern w:val="0"/>
          <w:sz w:val="24"/>
          <w:highlight w:val="none"/>
          <w:u w:val="single"/>
        </w:rPr>
        <w:t xml:space="preserve">            。</w:t>
      </w:r>
    </w:p>
    <w:p>
      <w:pPr>
        <w:snapToGrid w:val="0"/>
        <w:spacing w:line="360" w:lineRule="auto"/>
        <w:ind w:firstLine="480"/>
        <w:rPr>
          <w:rFonts w:ascii="宋体" w:hAnsi="宋体"/>
          <w:b/>
          <w:bCs/>
          <w:snapToGrid w:val="0"/>
          <w:kern w:val="0"/>
          <w:sz w:val="24"/>
          <w:highlight w:val="none"/>
        </w:rPr>
      </w:pPr>
      <w:r>
        <w:rPr>
          <w:rFonts w:hint="eastAsia" w:ascii="宋体" w:hAnsi="宋体"/>
          <w:b/>
          <w:bCs/>
          <w:snapToGrid w:val="0"/>
          <w:kern w:val="0"/>
          <w:sz w:val="24"/>
          <w:highlight w:val="none"/>
        </w:rPr>
        <w:t>五、资金来源</w:t>
      </w:r>
    </w:p>
    <w:p>
      <w:pPr>
        <w:tabs>
          <w:tab w:val="left" w:pos="840"/>
        </w:tabs>
        <w:snapToGrid w:val="0"/>
        <w:spacing w:line="360" w:lineRule="auto"/>
        <w:ind w:firstLine="480" w:firstLineChars="200"/>
        <w:rPr>
          <w:rFonts w:ascii="宋体" w:hAnsi="宋体"/>
          <w:snapToGrid w:val="0"/>
          <w:kern w:val="0"/>
          <w:sz w:val="24"/>
          <w:highlight w:val="none"/>
        </w:rPr>
      </w:pPr>
      <w:r>
        <w:rPr>
          <w:rFonts w:hint="eastAsia" w:ascii="宋体" w:hAnsi="宋体"/>
          <w:snapToGrid w:val="0"/>
          <w:kern w:val="0"/>
          <w:sz w:val="24"/>
          <w:highlight w:val="none"/>
        </w:rPr>
        <w:t>预算内资金</w:t>
      </w:r>
      <w:r>
        <w:rPr>
          <w:rFonts w:hint="eastAsia" w:ascii="宋体" w:hAnsi="宋体"/>
          <w:snapToGrid w:val="0"/>
          <w:kern w:val="0"/>
          <w:sz w:val="24"/>
          <w:highlight w:val="none"/>
          <w:u w:val="single"/>
        </w:rPr>
        <w:t xml:space="preserve">       </w:t>
      </w:r>
      <w:r>
        <w:rPr>
          <w:rFonts w:hint="eastAsia" w:ascii="宋体" w:hAnsi="宋体"/>
          <w:snapToGrid w:val="0"/>
          <w:kern w:val="0"/>
          <w:sz w:val="24"/>
          <w:highlight w:val="none"/>
        </w:rPr>
        <w:t>元；财政专户资金</w:t>
      </w:r>
      <w:r>
        <w:rPr>
          <w:rFonts w:hint="eastAsia" w:ascii="宋体" w:hAnsi="宋体"/>
          <w:snapToGrid w:val="0"/>
          <w:kern w:val="0"/>
          <w:sz w:val="24"/>
          <w:highlight w:val="none"/>
          <w:u w:val="single"/>
        </w:rPr>
        <w:t xml:space="preserve">         </w:t>
      </w:r>
      <w:r>
        <w:rPr>
          <w:rFonts w:hint="eastAsia" w:ascii="宋体" w:hAnsi="宋体"/>
          <w:snapToGrid w:val="0"/>
          <w:kern w:val="0"/>
          <w:sz w:val="24"/>
          <w:highlight w:val="none"/>
        </w:rPr>
        <w:t>元；自筹资金</w:t>
      </w:r>
      <w:r>
        <w:rPr>
          <w:rFonts w:hint="eastAsia" w:ascii="宋体" w:hAnsi="宋体"/>
          <w:snapToGrid w:val="0"/>
          <w:kern w:val="0"/>
          <w:sz w:val="24"/>
          <w:highlight w:val="none"/>
          <w:u w:val="single"/>
        </w:rPr>
        <w:t xml:space="preserve">         </w:t>
      </w:r>
      <w:r>
        <w:rPr>
          <w:rFonts w:hint="eastAsia" w:ascii="宋体" w:hAnsi="宋体"/>
          <w:snapToGrid w:val="0"/>
          <w:kern w:val="0"/>
          <w:sz w:val="24"/>
          <w:highlight w:val="none"/>
        </w:rPr>
        <w:t>元</w:t>
      </w:r>
    </w:p>
    <w:p>
      <w:pPr>
        <w:snapToGrid w:val="0"/>
        <w:spacing w:line="360" w:lineRule="auto"/>
        <w:ind w:firstLine="480"/>
        <w:rPr>
          <w:rFonts w:ascii="宋体" w:hAnsi="宋体"/>
          <w:b/>
          <w:bCs/>
          <w:snapToGrid w:val="0"/>
          <w:kern w:val="0"/>
          <w:sz w:val="24"/>
          <w:highlight w:val="none"/>
        </w:rPr>
      </w:pPr>
      <w:r>
        <w:rPr>
          <w:rFonts w:hint="eastAsia" w:ascii="宋体" w:hAnsi="宋体"/>
          <w:b/>
          <w:bCs/>
          <w:snapToGrid w:val="0"/>
          <w:kern w:val="0"/>
          <w:sz w:val="24"/>
          <w:highlight w:val="none"/>
        </w:rPr>
        <w:t>六、付款方式</w:t>
      </w:r>
    </w:p>
    <w:p>
      <w:pPr>
        <w:pStyle w:val="31"/>
        <w:snapToGrid w:val="0"/>
        <w:spacing w:after="0" w:line="360" w:lineRule="auto"/>
        <w:ind w:firstLine="480" w:firstLineChars="200"/>
        <w:rPr>
          <w:rFonts w:ascii="宋体" w:hAnsi="宋体"/>
          <w:snapToGrid w:val="0"/>
          <w:sz w:val="24"/>
          <w:highlight w:val="none"/>
        </w:rPr>
      </w:pPr>
      <w:r>
        <w:rPr>
          <w:rFonts w:hint="eastAsia" w:ascii="宋体" w:hAnsi="宋体"/>
          <w:snapToGrid w:val="0"/>
          <w:sz w:val="24"/>
          <w:highlight w:val="none"/>
        </w:rPr>
        <w:t>□分期支付方式：</w:t>
      </w:r>
    </w:p>
    <w:p>
      <w:pPr>
        <w:pStyle w:val="31"/>
        <w:snapToGrid w:val="0"/>
        <w:spacing w:after="0" w:line="360" w:lineRule="auto"/>
        <w:ind w:firstLine="480" w:firstLineChars="200"/>
        <w:rPr>
          <w:rFonts w:ascii="宋体" w:hAnsi="宋体"/>
          <w:snapToGrid w:val="0"/>
          <w:sz w:val="24"/>
          <w:highlight w:val="none"/>
        </w:rPr>
      </w:pPr>
      <w:r>
        <w:rPr>
          <w:rFonts w:hint="eastAsia" w:ascii="宋体" w:hAnsi="宋体"/>
          <w:snapToGrid w:val="0"/>
          <w:sz w:val="24"/>
          <w:highlight w:val="none"/>
        </w:rPr>
        <w:t>□一次性支付方式：</w:t>
      </w:r>
    </w:p>
    <w:p>
      <w:pPr>
        <w:pStyle w:val="31"/>
        <w:snapToGrid w:val="0"/>
        <w:spacing w:after="0" w:line="360" w:lineRule="auto"/>
        <w:ind w:firstLine="480" w:firstLineChars="200"/>
        <w:rPr>
          <w:rFonts w:ascii="宋体" w:hAnsi="宋体"/>
          <w:sz w:val="24"/>
          <w:highlight w:val="none"/>
        </w:rPr>
      </w:pPr>
      <w:r>
        <w:rPr>
          <w:rFonts w:hint="eastAsia" w:ascii="宋体" w:hAnsi="宋体"/>
          <w:snapToGrid w:val="0"/>
          <w:sz w:val="24"/>
          <w:highlight w:val="none"/>
        </w:rPr>
        <w:t>□其他支付方式：</w:t>
      </w:r>
    </w:p>
    <w:p>
      <w:pPr>
        <w:tabs>
          <w:tab w:val="left" w:pos="955"/>
        </w:tabs>
        <w:snapToGrid w:val="0"/>
        <w:spacing w:line="360" w:lineRule="auto"/>
        <w:ind w:firstLine="482" w:firstLineChars="200"/>
        <w:rPr>
          <w:rFonts w:ascii="宋体" w:hAnsi="宋体"/>
          <w:b/>
          <w:sz w:val="24"/>
          <w:highlight w:val="none"/>
        </w:rPr>
      </w:pPr>
      <w:r>
        <w:rPr>
          <w:rFonts w:hint="eastAsia" w:ascii="宋体" w:hAnsi="宋体"/>
          <w:b/>
          <w:sz w:val="24"/>
          <w:highlight w:val="none"/>
        </w:rPr>
        <w:t>七、服务期、地点</w:t>
      </w:r>
    </w:p>
    <w:p>
      <w:pPr>
        <w:tabs>
          <w:tab w:val="left" w:pos="955"/>
        </w:tabs>
        <w:snapToGrid w:val="0"/>
        <w:spacing w:line="360" w:lineRule="auto"/>
        <w:ind w:firstLine="480" w:firstLineChars="200"/>
        <w:rPr>
          <w:rFonts w:ascii="宋体" w:hAnsi="宋体"/>
          <w:bCs/>
          <w:sz w:val="24"/>
          <w:highlight w:val="none"/>
        </w:rPr>
      </w:pPr>
      <w:r>
        <w:rPr>
          <w:rFonts w:hint="eastAsia" w:ascii="宋体" w:hAnsi="宋体"/>
          <w:bCs/>
          <w:sz w:val="24"/>
          <w:highlight w:val="none"/>
        </w:rPr>
        <w:t>1、服务期：合同生效之日起   日内完成服务项目。</w:t>
      </w:r>
    </w:p>
    <w:p>
      <w:pPr>
        <w:tabs>
          <w:tab w:val="left" w:pos="955"/>
        </w:tabs>
        <w:snapToGrid w:val="0"/>
        <w:spacing w:line="360" w:lineRule="auto"/>
        <w:ind w:firstLine="480" w:firstLineChars="200"/>
        <w:rPr>
          <w:rFonts w:ascii="宋体" w:hAnsi="宋体"/>
          <w:sz w:val="24"/>
          <w:highlight w:val="none"/>
          <w:u w:val="single"/>
        </w:rPr>
      </w:pPr>
      <w:r>
        <w:rPr>
          <w:rFonts w:hint="eastAsia" w:ascii="宋体" w:hAnsi="宋体"/>
          <w:bCs/>
          <w:sz w:val="24"/>
          <w:highlight w:val="none"/>
        </w:rPr>
        <w:t>2、服务地点：</w:t>
      </w:r>
      <w:r>
        <w:rPr>
          <w:rFonts w:ascii="宋体" w:hAnsi="宋体"/>
          <w:sz w:val="24"/>
          <w:highlight w:val="none"/>
          <w:u w:val="single"/>
        </w:rPr>
        <w:t xml:space="preserve">  </w:t>
      </w:r>
      <w:r>
        <w:rPr>
          <w:rFonts w:ascii="宋体" w:hAnsi="宋体"/>
          <w:highlight w:val="none"/>
          <w:u w:val="single"/>
        </w:rPr>
        <w:t xml:space="preserve">                            </w:t>
      </w:r>
    </w:p>
    <w:p>
      <w:pPr>
        <w:snapToGrid w:val="0"/>
        <w:spacing w:line="360" w:lineRule="auto"/>
        <w:ind w:firstLine="480"/>
        <w:rPr>
          <w:rFonts w:ascii="宋体" w:hAnsi="宋体"/>
          <w:b/>
          <w:bCs/>
          <w:sz w:val="24"/>
          <w:highlight w:val="none"/>
        </w:rPr>
      </w:pPr>
      <w:r>
        <w:rPr>
          <w:rFonts w:hint="eastAsia" w:ascii="宋体" w:hAnsi="宋体"/>
          <w:b/>
          <w:bCs/>
          <w:sz w:val="24"/>
          <w:highlight w:val="none"/>
        </w:rPr>
        <w:t>八、质量标准和验收</w:t>
      </w:r>
    </w:p>
    <w:p>
      <w:pPr>
        <w:snapToGrid w:val="0"/>
        <w:spacing w:line="360" w:lineRule="auto"/>
        <w:ind w:firstLine="480"/>
        <w:rPr>
          <w:rFonts w:ascii="宋体" w:hAnsi="宋体"/>
          <w:snapToGrid w:val="0"/>
          <w:kern w:val="0"/>
          <w:sz w:val="24"/>
          <w:highlight w:val="none"/>
        </w:rPr>
      </w:pPr>
      <w:r>
        <w:rPr>
          <w:rFonts w:hint="eastAsia" w:ascii="宋体" w:hAnsi="宋体"/>
          <w:sz w:val="24"/>
          <w:highlight w:val="none"/>
        </w:rPr>
        <w:t>1、本项目质量标准及验收由采购人或采购人委托招标代理机构聘请相关专家及采购单位负责组织验收。采购人指定验收人员，全权负责验收签字工作，要将验收情况在验收单中如实说明，并签字确认。采购人要对自己的验收意见负责，如果验收意见与事实不符，应承担相应的法律责任。一方如对验收意见存在异议，可向当地质检（商检）部门申请检验，并出具检验证书，检验费用由主张方支付。验收通过后，双方共同在项目验收单上签字和加盖双方单位公章，作为验收合格的依据。</w:t>
      </w:r>
    </w:p>
    <w:p>
      <w:pPr>
        <w:snapToGrid w:val="0"/>
        <w:spacing w:line="360" w:lineRule="auto"/>
        <w:ind w:firstLine="480"/>
        <w:rPr>
          <w:rFonts w:ascii="宋体" w:hAnsi="宋体" w:cs="Calibri"/>
          <w:snapToGrid w:val="0"/>
          <w:kern w:val="0"/>
          <w:sz w:val="24"/>
          <w:highlight w:val="none"/>
        </w:rPr>
      </w:pPr>
      <w:r>
        <w:rPr>
          <w:rFonts w:hint="eastAsia" w:ascii="宋体" w:hAnsi="宋体" w:cs="Calibri"/>
          <w:snapToGrid w:val="0"/>
          <w:kern w:val="0"/>
          <w:sz w:val="24"/>
          <w:highlight w:val="none"/>
        </w:rPr>
        <w:t>2、履约验收方案（详见附件）</w:t>
      </w:r>
    </w:p>
    <w:p>
      <w:pPr>
        <w:snapToGrid w:val="0"/>
        <w:spacing w:line="360" w:lineRule="auto"/>
        <w:ind w:firstLine="480"/>
        <w:rPr>
          <w:rFonts w:ascii="宋体" w:hAnsi="宋体" w:cs="Calibri"/>
          <w:b/>
          <w:bCs/>
          <w:snapToGrid w:val="0"/>
          <w:kern w:val="0"/>
          <w:sz w:val="24"/>
          <w:highlight w:val="none"/>
        </w:rPr>
      </w:pPr>
      <w:r>
        <w:rPr>
          <w:rFonts w:hint="eastAsia" w:ascii="宋体" w:hAnsi="宋体" w:cs="Calibri"/>
          <w:b/>
          <w:bCs/>
          <w:snapToGrid w:val="0"/>
          <w:kern w:val="0"/>
          <w:sz w:val="24"/>
          <w:highlight w:val="none"/>
        </w:rPr>
        <w:t>九、承诺</w:t>
      </w:r>
    </w:p>
    <w:p>
      <w:pPr>
        <w:widowControl/>
        <w:spacing w:line="360" w:lineRule="auto"/>
        <w:ind w:firstLine="480" w:firstLineChars="200"/>
        <w:jc w:val="left"/>
        <w:rPr>
          <w:rFonts w:ascii="宋体" w:cs="仿宋_GB2312"/>
          <w:kern w:val="0"/>
          <w:sz w:val="24"/>
          <w:highlight w:val="none"/>
        </w:rPr>
      </w:pPr>
      <w:r>
        <w:rPr>
          <w:rFonts w:ascii="宋体" w:hAnsi="宋体" w:cs="仿宋_GB2312"/>
          <w:kern w:val="0"/>
          <w:sz w:val="24"/>
          <w:highlight w:val="none"/>
        </w:rPr>
        <w:t>1.</w:t>
      </w:r>
      <w:r>
        <w:rPr>
          <w:rFonts w:hint="eastAsia" w:ascii="宋体" w:hAnsi="宋体" w:cs="仿宋_GB2312"/>
          <w:kern w:val="0"/>
          <w:sz w:val="24"/>
          <w:highlight w:val="none"/>
        </w:rPr>
        <w:t>采购人承诺按照法律规定履行项目审批手续、筹集项目资金并按照合同约定的期限和方式支付合同价款。</w:t>
      </w:r>
    </w:p>
    <w:p>
      <w:pPr>
        <w:widowControl/>
        <w:spacing w:line="360" w:lineRule="auto"/>
        <w:ind w:firstLine="480" w:firstLineChars="200"/>
        <w:jc w:val="left"/>
        <w:rPr>
          <w:rFonts w:ascii="宋体" w:cs="仿宋_GB2312"/>
          <w:kern w:val="0"/>
          <w:sz w:val="24"/>
          <w:highlight w:val="none"/>
        </w:rPr>
      </w:pPr>
      <w:r>
        <w:rPr>
          <w:rFonts w:ascii="宋体" w:hAnsi="宋体" w:cs="仿宋_GB2312"/>
          <w:kern w:val="0"/>
          <w:sz w:val="24"/>
          <w:highlight w:val="none"/>
        </w:rPr>
        <w:t>2.</w:t>
      </w:r>
      <w:r>
        <w:rPr>
          <w:rFonts w:hint="eastAsia" w:ascii="宋体" w:hAnsi="宋体" w:cs="仿宋_GB2312"/>
          <w:kern w:val="0"/>
          <w:sz w:val="24"/>
          <w:highlight w:val="none"/>
        </w:rPr>
        <w:t>响应人承诺按照法律规定及合同约定提供服务，确保质量和安全，不进行转包及违法分包，并在缺陷责任期及保修期内承担相应的责任。</w:t>
      </w:r>
    </w:p>
    <w:p>
      <w:pPr>
        <w:widowControl/>
        <w:spacing w:line="360" w:lineRule="auto"/>
        <w:ind w:firstLine="480" w:firstLineChars="200"/>
        <w:jc w:val="left"/>
        <w:rPr>
          <w:rFonts w:ascii="宋体" w:hAnsi="宋体" w:cs="仿宋_GB2312"/>
          <w:kern w:val="0"/>
          <w:sz w:val="24"/>
          <w:highlight w:val="none"/>
        </w:rPr>
      </w:pPr>
      <w:r>
        <w:rPr>
          <w:rFonts w:hint="eastAsia" w:ascii="宋体" w:hAnsi="宋体" w:cs="仿宋_GB2312"/>
          <w:kern w:val="0"/>
          <w:sz w:val="24"/>
          <w:highlight w:val="none"/>
        </w:rPr>
        <w:t>3.采购人和响应人通过招投标形式签订合同的，双方理解并承诺不再就同一项目另行签订与合同实质性内容相背离的协议。</w:t>
      </w:r>
    </w:p>
    <w:p>
      <w:pPr>
        <w:snapToGrid w:val="0"/>
        <w:spacing w:line="360" w:lineRule="auto"/>
        <w:ind w:firstLine="480"/>
        <w:rPr>
          <w:rFonts w:ascii="宋体" w:hAnsi="宋体"/>
          <w:b/>
          <w:bCs/>
          <w:snapToGrid w:val="0"/>
          <w:kern w:val="0"/>
          <w:sz w:val="24"/>
          <w:highlight w:val="none"/>
        </w:rPr>
      </w:pPr>
      <w:r>
        <w:rPr>
          <w:rFonts w:hint="eastAsia" w:ascii="宋体" w:hAnsi="宋体"/>
          <w:b/>
          <w:bCs/>
          <w:snapToGrid w:val="0"/>
          <w:kern w:val="0"/>
          <w:sz w:val="24"/>
          <w:highlight w:val="none"/>
        </w:rPr>
        <w:t>十、履约保证金</w:t>
      </w:r>
    </w:p>
    <w:p>
      <w:pPr>
        <w:snapToGrid w:val="0"/>
        <w:spacing w:line="360" w:lineRule="auto"/>
        <w:ind w:firstLine="480"/>
        <w:rPr>
          <w:rFonts w:ascii="宋体" w:hAnsi="宋体"/>
          <w:snapToGrid w:val="0"/>
          <w:kern w:val="0"/>
          <w:sz w:val="24"/>
          <w:highlight w:val="none"/>
        </w:rPr>
      </w:pPr>
      <w:r>
        <w:rPr>
          <w:rFonts w:hint="eastAsia" w:ascii="宋体" w:hAnsi="宋体"/>
          <w:snapToGrid w:val="0"/>
          <w:kern w:val="0"/>
          <w:sz w:val="24"/>
          <w:highlight w:val="none"/>
        </w:rPr>
        <w:t>响应人在收到《成交通知书》后，如采购文件中要求缴纳履约保证金，则应按照采购文件的规定，向采购人提交履约保证金。</w:t>
      </w:r>
    </w:p>
    <w:p>
      <w:pPr>
        <w:snapToGrid w:val="0"/>
        <w:spacing w:line="360" w:lineRule="auto"/>
        <w:ind w:firstLine="480"/>
        <w:rPr>
          <w:rFonts w:ascii="宋体" w:hAnsi="宋体"/>
          <w:b/>
          <w:bCs/>
          <w:snapToGrid w:val="0"/>
          <w:kern w:val="0"/>
          <w:sz w:val="24"/>
          <w:highlight w:val="none"/>
        </w:rPr>
      </w:pPr>
      <w:r>
        <w:rPr>
          <w:rFonts w:hint="eastAsia" w:ascii="宋体" w:hAnsi="宋体"/>
          <w:b/>
          <w:bCs/>
          <w:snapToGrid w:val="0"/>
          <w:kern w:val="0"/>
          <w:sz w:val="24"/>
          <w:highlight w:val="none"/>
        </w:rPr>
        <w:t>十一、违约责任</w:t>
      </w:r>
    </w:p>
    <w:p>
      <w:pPr>
        <w:snapToGrid w:val="0"/>
        <w:spacing w:line="360" w:lineRule="auto"/>
        <w:ind w:firstLine="480" w:firstLineChars="200"/>
        <w:rPr>
          <w:rFonts w:ascii="宋体" w:hAnsi="宋体"/>
          <w:snapToGrid w:val="0"/>
          <w:kern w:val="0"/>
          <w:sz w:val="24"/>
          <w:highlight w:val="none"/>
        </w:rPr>
      </w:pPr>
      <w:r>
        <w:rPr>
          <w:rFonts w:hint="eastAsia" w:ascii="宋体" w:hAnsi="宋体"/>
          <w:snapToGrid w:val="0"/>
          <w:kern w:val="0"/>
          <w:sz w:val="24"/>
          <w:highlight w:val="none"/>
        </w:rPr>
        <w:t>1、合同一方违约，违约方向对方支付违约金，违约金额为</w:t>
      </w:r>
      <w:r>
        <w:rPr>
          <w:rFonts w:hint="eastAsia" w:ascii="宋体" w:hAnsi="宋体"/>
          <w:snapToGrid w:val="0"/>
          <w:kern w:val="0"/>
          <w:sz w:val="24"/>
          <w:highlight w:val="none"/>
          <w:u w:val="single"/>
        </w:rPr>
        <w:t xml:space="preserve">    </w:t>
      </w:r>
      <w:r>
        <w:rPr>
          <w:rFonts w:hint="eastAsia" w:ascii="宋体" w:hAnsi="宋体"/>
          <w:snapToGrid w:val="0"/>
          <w:kern w:val="0"/>
          <w:sz w:val="24"/>
          <w:highlight w:val="none"/>
        </w:rPr>
        <w:t>。</w:t>
      </w:r>
    </w:p>
    <w:p>
      <w:pPr>
        <w:snapToGrid w:val="0"/>
        <w:spacing w:line="360" w:lineRule="auto"/>
        <w:ind w:firstLine="480" w:firstLineChars="200"/>
        <w:rPr>
          <w:rFonts w:ascii="宋体" w:hAnsi="宋体"/>
          <w:snapToGrid w:val="0"/>
          <w:kern w:val="0"/>
          <w:sz w:val="24"/>
          <w:highlight w:val="none"/>
        </w:rPr>
      </w:pPr>
      <w:r>
        <w:rPr>
          <w:rFonts w:hint="eastAsia" w:ascii="宋体" w:hAnsi="宋体"/>
          <w:snapToGrid w:val="0"/>
          <w:kern w:val="0"/>
          <w:sz w:val="24"/>
          <w:highlight w:val="none"/>
        </w:rPr>
        <w:t>2、给对方造成的实际损失高于违约金的，对高出违约金的部分应予以赔偿。</w:t>
      </w:r>
    </w:p>
    <w:p>
      <w:pPr>
        <w:snapToGrid w:val="0"/>
        <w:spacing w:line="360" w:lineRule="auto"/>
        <w:ind w:firstLine="480" w:firstLineChars="200"/>
        <w:rPr>
          <w:rFonts w:ascii="宋体" w:hAnsi="宋体"/>
          <w:snapToGrid w:val="0"/>
          <w:kern w:val="0"/>
          <w:sz w:val="24"/>
          <w:highlight w:val="none"/>
        </w:rPr>
      </w:pPr>
      <w:r>
        <w:rPr>
          <w:rFonts w:hint="eastAsia" w:ascii="宋体" w:hAnsi="宋体"/>
          <w:snapToGrid w:val="0"/>
          <w:kern w:val="0"/>
          <w:sz w:val="24"/>
          <w:highlight w:val="none"/>
        </w:rPr>
        <w:t>3、响应人迟延履行合同、不完全履行合同或提供的服务不符合采购文件的要求，除支付违约金外，仍应实际履行合同或重新提供符合要求的服务。</w:t>
      </w:r>
    </w:p>
    <w:p>
      <w:pPr>
        <w:snapToGrid w:val="0"/>
        <w:spacing w:line="360" w:lineRule="auto"/>
        <w:ind w:firstLine="480" w:firstLineChars="200"/>
        <w:rPr>
          <w:rFonts w:ascii="宋体" w:hAnsi="宋体"/>
          <w:snapToGrid w:val="0"/>
          <w:kern w:val="0"/>
          <w:sz w:val="24"/>
          <w:highlight w:val="none"/>
        </w:rPr>
      </w:pPr>
      <w:r>
        <w:rPr>
          <w:rFonts w:hint="eastAsia" w:ascii="宋体" w:hAnsi="宋体"/>
          <w:snapToGrid w:val="0"/>
          <w:kern w:val="0"/>
          <w:sz w:val="24"/>
          <w:highlight w:val="none"/>
        </w:rPr>
        <w:t>4、其它未尽事宜，以《中华人民共和国民法典》规定为准。</w:t>
      </w:r>
    </w:p>
    <w:p>
      <w:pPr>
        <w:snapToGrid w:val="0"/>
        <w:spacing w:line="360" w:lineRule="auto"/>
        <w:ind w:firstLine="480"/>
        <w:rPr>
          <w:rFonts w:ascii="宋体" w:hAnsi="宋体"/>
          <w:b/>
          <w:bCs/>
          <w:snapToGrid w:val="0"/>
          <w:kern w:val="0"/>
          <w:sz w:val="24"/>
          <w:highlight w:val="none"/>
        </w:rPr>
      </w:pPr>
      <w:r>
        <w:rPr>
          <w:rFonts w:hint="eastAsia" w:ascii="宋体" w:hAnsi="宋体"/>
          <w:b/>
          <w:bCs/>
          <w:snapToGrid w:val="0"/>
          <w:kern w:val="0"/>
          <w:sz w:val="24"/>
          <w:highlight w:val="none"/>
        </w:rPr>
        <w:t>十二、争议解决</w:t>
      </w:r>
    </w:p>
    <w:p>
      <w:pPr>
        <w:snapToGrid w:val="0"/>
        <w:spacing w:line="360" w:lineRule="auto"/>
        <w:ind w:firstLine="480" w:firstLineChars="200"/>
        <w:rPr>
          <w:rFonts w:ascii="宋体" w:hAnsi="宋体"/>
          <w:snapToGrid w:val="0"/>
          <w:kern w:val="0"/>
          <w:sz w:val="24"/>
          <w:highlight w:val="none"/>
        </w:rPr>
      </w:pPr>
      <w:r>
        <w:rPr>
          <w:rFonts w:hint="eastAsia" w:ascii="宋体" w:hAnsi="宋体"/>
          <w:snapToGrid w:val="0"/>
          <w:kern w:val="0"/>
          <w:sz w:val="24"/>
          <w:highlight w:val="none"/>
        </w:rPr>
        <w:t>合同双方应通过友好协商解决因解释﹑执行本合同所发生的和本合同有关的一切争议。如果经协商不能达成协议，双方约定采用下列第   种方式解决：</w:t>
      </w:r>
    </w:p>
    <w:p>
      <w:pPr>
        <w:snapToGrid w:val="0"/>
        <w:spacing w:line="360" w:lineRule="auto"/>
        <w:ind w:firstLine="480" w:firstLineChars="200"/>
        <w:rPr>
          <w:rFonts w:ascii="宋体" w:hAnsi="宋体"/>
          <w:snapToGrid w:val="0"/>
          <w:kern w:val="0"/>
          <w:sz w:val="24"/>
          <w:highlight w:val="none"/>
        </w:rPr>
      </w:pPr>
      <w:r>
        <w:rPr>
          <w:rFonts w:hint="eastAsia" w:ascii="宋体" w:hAnsi="宋体"/>
          <w:snapToGrid w:val="0"/>
          <w:kern w:val="0"/>
          <w:sz w:val="24"/>
          <w:highlight w:val="none"/>
        </w:rPr>
        <w:t>1、向   仲裁委员会提起仲裁；</w:t>
      </w:r>
    </w:p>
    <w:p>
      <w:pPr>
        <w:snapToGrid w:val="0"/>
        <w:spacing w:line="360" w:lineRule="auto"/>
        <w:ind w:firstLine="480" w:firstLineChars="200"/>
        <w:rPr>
          <w:rFonts w:ascii="宋体" w:hAnsi="宋体"/>
          <w:snapToGrid w:val="0"/>
          <w:kern w:val="0"/>
          <w:sz w:val="24"/>
          <w:highlight w:val="none"/>
        </w:rPr>
      </w:pPr>
      <w:r>
        <w:rPr>
          <w:rFonts w:hint="eastAsia" w:ascii="宋体" w:hAnsi="宋体"/>
          <w:snapToGrid w:val="0"/>
          <w:kern w:val="0"/>
          <w:sz w:val="24"/>
          <w:highlight w:val="none"/>
        </w:rPr>
        <w:t>2、向   法院提起诉讼。</w:t>
      </w:r>
    </w:p>
    <w:p>
      <w:pPr>
        <w:snapToGrid w:val="0"/>
        <w:spacing w:line="360" w:lineRule="auto"/>
        <w:ind w:firstLine="480"/>
        <w:rPr>
          <w:rFonts w:ascii="宋体" w:hAnsi="宋体" w:cs="Calibri"/>
          <w:b/>
          <w:bCs/>
          <w:snapToGrid w:val="0"/>
          <w:kern w:val="0"/>
          <w:sz w:val="24"/>
          <w:highlight w:val="none"/>
        </w:rPr>
      </w:pPr>
      <w:r>
        <w:rPr>
          <w:rFonts w:hint="eastAsia" w:ascii="宋体" w:hAnsi="宋体" w:cs="Calibri"/>
          <w:b/>
          <w:bCs/>
          <w:snapToGrid w:val="0"/>
          <w:kern w:val="0"/>
          <w:sz w:val="24"/>
          <w:highlight w:val="none"/>
        </w:rPr>
        <w:t>十三、合同签订</w:t>
      </w:r>
    </w:p>
    <w:p>
      <w:pPr>
        <w:snapToGrid w:val="0"/>
        <w:spacing w:line="360" w:lineRule="auto"/>
        <w:ind w:firstLine="480" w:firstLineChars="200"/>
        <w:rPr>
          <w:rFonts w:ascii="宋体" w:hAnsi="宋体" w:cs="Calibri"/>
          <w:snapToGrid w:val="0"/>
          <w:kern w:val="0"/>
          <w:sz w:val="24"/>
          <w:highlight w:val="none"/>
        </w:rPr>
      </w:pPr>
      <w:r>
        <w:rPr>
          <w:rFonts w:hint="eastAsia" w:ascii="宋体" w:hAnsi="宋体" w:cs="Calibri"/>
          <w:snapToGrid w:val="0"/>
          <w:kern w:val="0"/>
          <w:sz w:val="24"/>
          <w:highlight w:val="none"/>
        </w:rPr>
        <w:t>本合同于</w:t>
      </w:r>
      <w:r>
        <w:rPr>
          <w:rFonts w:hint="eastAsia" w:ascii="宋体" w:hAnsi="宋体" w:cs="Calibri"/>
          <w:snapToGrid w:val="0"/>
          <w:kern w:val="0"/>
          <w:sz w:val="24"/>
          <w:highlight w:val="none"/>
          <w:u w:val="single"/>
        </w:rPr>
        <w:t xml:space="preserve"> </w:t>
      </w:r>
      <w:bookmarkStart w:id="193" w:name="makeContractDate"/>
      <w:r>
        <w:rPr>
          <w:rFonts w:hint="eastAsia" w:ascii="宋体" w:hAnsi="宋体" w:cs="Calibri"/>
          <w:snapToGrid w:val="0"/>
          <w:kern w:val="0"/>
          <w:sz w:val="24"/>
          <w:highlight w:val="none"/>
          <w:u w:val="single"/>
        </w:rPr>
        <w:t xml:space="preserve">   </w:t>
      </w:r>
      <w:r>
        <w:rPr>
          <w:rFonts w:hint="eastAsia" w:ascii="宋体" w:hAnsi="宋体" w:cs="Calibri"/>
          <w:snapToGrid w:val="0"/>
          <w:kern w:val="0"/>
          <w:sz w:val="24"/>
          <w:highlight w:val="none"/>
        </w:rPr>
        <w:t>年</w:t>
      </w:r>
      <w:r>
        <w:rPr>
          <w:rFonts w:hint="eastAsia" w:ascii="宋体" w:hAnsi="宋体" w:cs="Calibri"/>
          <w:snapToGrid w:val="0"/>
          <w:kern w:val="0"/>
          <w:sz w:val="24"/>
          <w:highlight w:val="none"/>
          <w:u w:val="single"/>
        </w:rPr>
        <w:t xml:space="preserve">    </w:t>
      </w:r>
      <w:r>
        <w:rPr>
          <w:rFonts w:hint="eastAsia" w:ascii="宋体" w:hAnsi="宋体" w:cs="Calibri"/>
          <w:snapToGrid w:val="0"/>
          <w:kern w:val="0"/>
          <w:sz w:val="24"/>
          <w:highlight w:val="none"/>
        </w:rPr>
        <w:t>月</w:t>
      </w:r>
      <w:r>
        <w:rPr>
          <w:rFonts w:hint="eastAsia" w:ascii="宋体" w:hAnsi="宋体" w:cs="Calibri"/>
          <w:snapToGrid w:val="0"/>
          <w:kern w:val="0"/>
          <w:sz w:val="24"/>
          <w:highlight w:val="none"/>
          <w:u w:val="single"/>
        </w:rPr>
        <w:t xml:space="preserve">    </w:t>
      </w:r>
      <w:r>
        <w:rPr>
          <w:rFonts w:hint="eastAsia" w:ascii="宋体" w:hAnsi="宋体" w:cs="Calibri"/>
          <w:snapToGrid w:val="0"/>
          <w:kern w:val="0"/>
          <w:sz w:val="24"/>
          <w:highlight w:val="none"/>
        </w:rPr>
        <w:t>日</w:t>
      </w:r>
      <w:bookmarkEnd w:id="193"/>
      <w:r>
        <w:rPr>
          <w:rFonts w:hint="eastAsia" w:ascii="宋体" w:hAnsi="宋体" w:cs="Calibri"/>
          <w:snapToGrid w:val="0"/>
          <w:kern w:val="0"/>
          <w:sz w:val="24"/>
          <w:highlight w:val="none"/>
        </w:rPr>
        <w:t>在</w:t>
      </w:r>
      <w:r>
        <w:rPr>
          <w:rFonts w:hint="eastAsia" w:ascii="宋体" w:hAnsi="宋体" w:cs="Calibri"/>
          <w:snapToGrid w:val="0"/>
          <w:kern w:val="0"/>
          <w:sz w:val="24"/>
          <w:highlight w:val="none"/>
          <w:u w:val="single"/>
        </w:rPr>
        <w:t xml:space="preserve">                  </w:t>
      </w:r>
      <w:r>
        <w:rPr>
          <w:rFonts w:hint="eastAsia" w:ascii="宋体" w:hAnsi="宋体" w:cs="Calibri"/>
          <w:snapToGrid w:val="0"/>
          <w:kern w:val="0"/>
          <w:sz w:val="24"/>
          <w:highlight w:val="none"/>
        </w:rPr>
        <w:t xml:space="preserve"> 签订。</w:t>
      </w:r>
    </w:p>
    <w:p>
      <w:pPr>
        <w:snapToGrid w:val="0"/>
        <w:spacing w:line="360" w:lineRule="auto"/>
        <w:ind w:firstLine="480"/>
        <w:rPr>
          <w:rFonts w:ascii="宋体" w:hAnsi="宋体"/>
          <w:b/>
          <w:bCs/>
          <w:snapToGrid w:val="0"/>
          <w:kern w:val="0"/>
          <w:sz w:val="24"/>
          <w:highlight w:val="none"/>
        </w:rPr>
      </w:pPr>
      <w:r>
        <w:rPr>
          <w:rFonts w:hint="eastAsia" w:ascii="宋体" w:hAnsi="宋体"/>
          <w:b/>
          <w:bCs/>
          <w:snapToGrid w:val="0"/>
          <w:kern w:val="0"/>
          <w:sz w:val="24"/>
          <w:highlight w:val="none"/>
        </w:rPr>
        <w:t>十四、合同生效</w:t>
      </w:r>
    </w:p>
    <w:p>
      <w:pPr>
        <w:snapToGrid w:val="0"/>
        <w:spacing w:line="360" w:lineRule="auto"/>
        <w:ind w:firstLine="480" w:firstLineChars="200"/>
        <w:rPr>
          <w:rFonts w:ascii="宋体" w:hAnsi="宋体"/>
          <w:bCs/>
          <w:snapToGrid w:val="0"/>
          <w:kern w:val="0"/>
          <w:sz w:val="24"/>
          <w:highlight w:val="none"/>
        </w:rPr>
      </w:pPr>
      <w:r>
        <w:rPr>
          <w:rFonts w:hint="eastAsia" w:ascii="宋体" w:hAnsi="宋体"/>
          <w:snapToGrid w:val="0"/>
          <w:kern w:val="0"/>
          <w:sz w:val="24"/>
          <w:highlight w:val="none"/>
        </w:rPr>
        <w:t>本合同经双方签字盖章后生效。</w:t>
      </w:r>
    </w:p>
    <w:p>
      <w:pPr>
        <w:snapToGrid w:val="0"/>
        <w:spacing w:line="360" w:lineRule="auto"/>
        <w:ind w:firstLine="480"/>
        <w:rPr>
          <w:rFonts w:ascii="宋体" w:hAnsi="宋体"/>
          <w:b/>
          <w:bCs/>
          <w:snapToGrid w:val="0"/>
          <w:kern w:val="0"/>
          <w:sz w:val="24"/>
          <w:highlight w:val="none"/>
        </w:rPr>
      </w:pPr>
      <w:r>
        <w:rPr>
          <w:rFonts w:hint="eastAsia" w:ascii="宋体" w:hAnsi="宋体"/>
          <w:b/>
          <w:bCs/>
          <w:snapToGrid w:val="0"/>
          <w:kern w:val="0"/>
          <w:sz w:val="24"/>
          <w:highlight w:val="none"/>
        </w:rPr>
        <w:t>十五、其他</w:t>
      </w:r>
    </w:p>
    <w:p>
      <w:pPr>
        <w:snapToGrid w:val="0"/>
        <w:spacing w:line="360" w:lineRule="auto"/>
        <w:ind w:firstLine="480" w:firstLineChars="200"/>
        <w:rPr>
          <w:rFonts w:ascii="宋体" w:hAnsi="宋体"/>
          <w:snapToGrid w:val="0"/>
          <w:kern w:val="0"/>
          <w:sz w:val="24"/>
          <w:highlight w:val="none"/>
        </w:rPr>
      </w:pPr>
      <w:r>
        <w:rPr>
          <w:rFonts w:hint="eastAsia" w:ascii="宋体" w:hAnsi="宋体"/>
          <w:snapToGrid w:val="0"/>
          <w:kern w:val="0"/>
          <w:sz w:val="24"/>
          <w:highlight w:val="none"/>
        </w:rPr>
        <w:t>依据《关于印发&lt;政府采购促进中小企业发展管理办法&gt;的通知》（财库〔2020〕46号）的规定享受扶持政策获得政府采购合同的，小微企业不得将合同分包给大中型企业，中型企业不得将合同分包给大型企业。</w:t>
      </w:r>
    </w:p>
    <w:p>
      <w:pPr>
        <w:snapToGrid w:val="0"/>
        <w:spacing w:line="360" w:lineRule="auto"/>
        <w:ind w:firstLine="480"/>
        <w:rPr>
          <w:rFonts w:ascii="宋体" w:hAnsi="宋体"/>
          <w:b/>
          <w:bCs/>
          <w:snapToGrid w:val="0"/>
          <w:kern w:val="0"/>
          <w:sz w:val="24"/>
          <w:highlight w:val="none"/>
        </w:rPr>
      </w:pPr>
      <w:r>
        <w:rPr>
          <w:rFonts w:hint="eastAsia" w:ascii="宋体" w:hAnsi="宋体"/>
          <w:b/>
          <w:bCs/>
          <w:snapToGrid w:val="0"/>
          <w:kern w:val="0"/>
          <w:sz w:val="24"/>
          <w:highlight w:val="none"/>
        </w:rPr>
        <w:t>十六、合同份数</w:t>
      </w:r>
    </w:p>
    <w:p>
      <w:pPr>
        <w:snapToGrid w:val="0"/>
        <w:spacing w:line="360" w:lineRule="auto"/>
        <w:ind w:firstLine="480" w:firstLineChars="200"/>
        <w:rPr>
          <w:rFonts w:ascii="宋体" w:hAnsi="宋体"/>
          <w:snapToGrid w:val="0"/>
          <w:kern w:val="0"/>
          <w:highlight w:val="none"/>
        </w:rPr>
      </w:pPr>
      <w:r>
        <w:rPr>
          <w:rFonts w:hint="eastAsia" w:ascii="宋体" w:hAnsi="宋体"/>
          <w:snapToGrid w:val="0"/>
          <w:kern w:val="0"/>
          <w:sz w:val="24"/>
          <w:highlight w:val="none"/>
        </w:rPr>
        <w:t>本合同一式</w:t>
      </w:r>
      <w:r>
        <w:rPr>
          <w:rFonts w:hint="eastAsia" w:ascii="宋体" w:hAnsi="宋体"/>
          <w:snapToGrid w:val="0"/>
          <w:kern w:val="0"/>
          <w:sz w:val="24"/>
          <w:highlight w:val="none"/>
          <w:u w:val="single"/>
        </w:rPr>
        <w:t xml:space="preserve">  </w:t>
      </w:r>
      <w:r>
        <w:rPr>
          <w:rFonts w:hint="eastAsia" w:ascii="宋体" w:hAnsi="宋体"/>
          <w:snapToGrid w:val="0"/>
          <w:kern w:val="0"/>
          <w:sz w:val="24"/>
          <w:highlight w:val="none"/>
        </w:rPr>
        <w:t>份，</w:t>
      </w:r>
      <w:r>
        <w:rPr>
          <w:rFonts w:hint="eastAsia" w:ascii="宋体" w:hAnsi="宋体" w:cs="仿宋_GB2312"/>
          <w:kern w:val="0"/>
          <w:sz w:val="24"/>
          <w:highlight w:val="none"/>
        </w:rPr>
        <w:t>均具有同等法律效力，</w:t>
      </w:r>
      <w:r>
        <w:rPr>
          <w:rFonts w:hint="eastAsia" w:ascii="宋体" w:hAnsi="宋体"/>
          <w:snapToGrid w:val="0"/>
          <w:kern w:val="0"/>
          <w:sz w:val="24"/>
          <w:highlight w:val="none"/>
        </w:rPr>
        <w:t>采购人</w:t>
      </w:r>
      <w:r>
        <w:rPr>
          <w:rFonts w:hint="eastAsia" w:ascii="宋体" w:hAnsi="宋体"/>
          <w:snapToGrid w:val="0"/>
          <w:kern w:val="0"/>
          <w:sz w:val="24"/>
          <w:highlight w:val="none"/>
          <w:u w:val="single"/>
        </w:rPr>
        <w:t xml:space="preserve">  </w:t>
      </w:r>
      <w:r>
        <w:rPr>
          <w:rFonts w:hint="eastAsia" w:ascii="宋体" w:hAnsi="宋体"/>
          <w:snapToGrid w:val="0"/>
          <w:kern w:val="0"/>
          <w:sz w:val="24"/>
          <w:highlight w:val="none"/>
        </w:rPr>
        <w:t>份，响应人</w:t>
      </w:r>
      <w:r>
        <w:rPr>
          <w:rFonts w:hint="eastAsia" w:ascii="宋体" w:hAnsi="宋体"/>
          <w:snapToGrid w:val="0"/>
          <w:kern w:val="0"/>
          <w:sz w:val="24"/>
          <w:highlight w:val="none"/>
          <w:u w:val="single"/>
        </w:rPr>
        <w:t xml:space="preserve">  </w:t>
      </w:r>
      <w:r>
        <w:rPr>
          <w:rFonts w:hint="eastAsia" w:ascii="宋体" w:hAnsi="宋体"/>
          <w:snapToGrid w:val="0"/>
          <w:kern w:val="0"/>
          <w:sz w:val="24"/>
          <w:highlight w:val="none"/>
        </w:rPr>
        <w:t xml:space="preserve">份， </w:t>
      </w:r>
      <w:r>
        <w:rPr>
          <w:rFonts w:hint="eastAsia" w:ascii="宋体" w:hAnsi="宋体" w:cs="仿宋_GB2312"/>
          <w:kern w:val="0"/>
          <w:sz w:val="24"/>
          <w:highlight w:val="none"/>
        </w:rPr>
        <w:t>代理机构一份</w:t>
      </w:r>
      <w:r>
        <w:rPr>
          <w:rFonts w:hint="eastAsia" w:ascii="宋体" w:hAnsi="宋体"/>
          <w:snapToGrid w:val="0"/>
          <w:kern w:val="0"/>
          <w:sz w:val="24"/>
          <w:highlight w:val="none"/>
        </w:rPr>
        <w:t>。</w:t>
      </w:r>
    </w:p>
    <w:tbl>
      <w:tblPr>
        <w:tblStyle w:val="77"/>
        <w:tblW w:w="10018"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75"/>
        <w:gridCol w:w="240"/>
        <w:gridCol w:w="52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4575" w:type="dxa"/>
            <w:vAlign w:val="center"/>
          </w:tcPr>
          <w:p>
            <w:pPr>
              <w:pStyle w:val="31"/>
              <w:spacing w:line="276" w:lineRule="auto"/>
              <w:rPr>
                <w:rFonts w:ascii="宋体" w:hAnsi="宋体" w:cs="宋体"/>
                <w:color w:val="000000"/>
                <w:sz w:val="24"/>
                <w:highlight w:val="none"/>
              </w:rPr>
            </w:pPr>
          </w:p>
          <w:p>
            <w:pPr>
              <w:pStyle w:val="31"/>
              <w:spacing w:line="276" w:lineRule="auto"/>
              <w:rPr>
                <w:rFonts w:ascii="宋体" w:hAnsi="宋体" w:cs="宋体"/>
                <w:color w:val="000000"/>
                <w:sz w:val="24"/>
                <w:highlight w:val="none"/>
              </w:rPr>
            </w:pPr>
            <w:r>
              <w:rPr>
                <w:rFonts w:hint="eastAsia" w:ascii="宋体" w:hAnsi="宋体" w:cs="宋体"/>
                <w:color w:val="000000"/>
                <w:sz w:val="24"/>
                <w:highlight w:val="none"/>
              </w:rPr>
              <w:t>采购人： (公章)</w:t>
            </w:r>
          </w:p>
          <w:p>
            <w:pPr>
              <w:pStyle w:val="31"/>
              <w:spacing w:line="276" w:lineRule="auto"/>
              <w:rPr>
                <w:rFonts w:ascii="宋体" w:hAnsi="宋体" w:cs="宋体"/>
                <w:color w:val="000000"/>
                <w:sz w:val="24"/>
                <w:highlight w:val="none"/>
              </w:rPr>
            </w:pPr>
          </w:p>
        </w:tc>
        <w:tc>
          <w:tcPr>
            <w:tcW w:w="240" w:type="dxa"/>
            <w:vAlign w:val="center"/>
          </w:tcPr>
          <w:p>
            <w:pPr>
              <w:spacing w:after="200" w:line="360" w:lineRule="auto"/>
              <w:ind w:left="-2" w:leftChars="-1"/>
              <w:rPr>
                <w:rFonts w:ascii="宋体" w:hAnsi="宋体" w:cs="宋体"/>
                <w:color w:val="000000"/>
                <w:sz w:val="24"/>
                <w:highlight w:val="none"/>
              </w:rPr>
            </w:pPr>
          </w:p>
        </w:tc>
        <w:tc>
          <w:tcPr>
            <w:tcW w:w="5203" w:type="dxa"/>
            <w:vAlign w:val="center"/>
          </w:tcPr>
          <w:p>
            <w:pPr>
              <w:spacing w:after="200" w:line="360" w:lineRule="auto"/>
              <w:ind w:left="-2" w:leftChars="-1"/>
              <w:rPr>
                <w:rFonts w:ascii="宋体" w:hAnsi="宋体" w:cs="宋体"/>
                <w:color w:val="000000"/>
                <w:sz w:val="24"/>
                <w:highlight w:val="none"/>
              </w:rPr>
            </w:pPr>
            <w:r>
              <w:rPr>
                <w:rFonts w:hint="eastAsia" w:ascii="宋体" w:hAnsi="宋体" w:cs="宋体"/>
                <w:color w:val="000000"/>
                <w:sz w:val="24"/>
                <w:highlight w:val="none"/>
              </w:rPr>
              <w:t>响应人： (公章)</w:t>
            </w:r>
            <w:r>
              <w:rPr>
                <w:rFonts w:hint="eastAsia" w:ascii="宋体" w:hAnsi="宋体"/>
                <w:highlight w:val="non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4575" w:type="dxa"/>
            <w:vAlign w:val="center"/>
          </w:tcPr>
          <w:p>
            <w:pPr>
              <w:pStyle w:val="31"/>
              <w:spacing w:line="276" w:lineRule="auto"/>
              <w:rPr>
                <w:rFonts w:ascii="宋体" w:hAnsi="宋体" w:cs="宋体"/>
                <w:color w:val="000000"/>
                <w:sz w:val="24"/>
                <w:highlight w:val="none"/>
              </w:rPr>
            </w:pPr>
            <w:r>
              <w:rPr>
                <w:rFonts w:hint="eastAsia" w:ascii="宋体" w:hAnsi="宋体" w:cs="宋体"/>
                <w:color w:val="000000"/>
                <w:sz w:val="24"/>
                <w:highlight w:val="none"/>
              </w:rPr>
              <w:t>法定代表人或其委托代理人：</w:t>
            </w:r>
          </w:p>
          <w:p>
            <w:pPr>
              <w:pStyle w:val="31"/>
              <w:spacing w:line="276" w:lineRule="auto"/>
              <w:rPr>
                <w:rFonts w:ascii="宋体" w:hAnsi="宋体" w:cs="宋体"/>
                <w:color w:val="000000"/>
                <w:sz w:val="24"/>
                <w:highlight w:val="none"/>
              </w:rPr>
            </w:pPr>
            <w:r>
              <w:rPr>
                <w:rFonts w:hint="eastAsia" w:ascii="宋体" w:hAnsi="宋体" w:cs="宋体"/>
                <w:color w:val="000000"/>
                <w:sz w:val="24"/>
                <w:highlight w:val="none"/>
              </w:rPr>
              <w:t>（签字）</w:t>
            </w:r>
          </w:p>
        </w:tc>
        <w:tc>
          <w:tcPr>
            <w:tcW w:w="240" w:type="dxa"/>
            <w:vAlign w:val="center"/>
          </w:tcPr>
          <w:p>
            <w:pPr>
              <w:spacing w:after="200" w:line="360" w:lineRule="auto"/>
              <w:ind w:left="-2" w:leftChars="-1"/>
              <w:rPr>
                <w:rFonts w:ascii="宋体" w:hAnsi="宋体" w:cs="宋体"/>
                <w:color w:val="000000"/>
                <w:sz w:val="24"/>
                <w:highlight w:val="none"/>
              </w:rPr>
            </w:pPr>
          </w:p>
        </w:tc>
        <w:tc>
          <w:tcPr>
            <w:tcW w:w="5203" w:type="dxa"/>
            <w:vAlign w:val="center"/>
          </w:tcPr>
          <w:p>
            <w:pPr>
              <w:pStyle w:val="31"/>
              <w:spacing w:line="276" w:lineRule="auto"/>
              <w:rPr>
                <w:rFonts w:ascii="宋体" w:hAnsi="宋体" w:cs="宋体"/>
                <w:color w:val="000000"/>
                <w:sz w:val="24"/>
                <w:highlight w:val="none"/>
              </w:rPr>
            </w:pPr>
            <w:r>
              <w:rPr>
                <w:rFonts w:hint="eastAsia" w:ascii="宋体" w:hAnsi="宋体" w:cs="宋体"/>
                <w:color w:val="000000"/>
                <w:sz w:val="24"/>
                <w:highlight w:val="none"/>
              </w:rPr>
              <w:t>法定代表人或其委托代理人：</w:t>
            </w:r>
          </w:p>
          <w:p>
            <w:pPr>
              <w:spacing w:after="200" w:line="360" w:lineRule="auto"/>
              <w:ind w:left="-2" w:leftChars="-1"/>
              <w:rPr>
                <w:rFonts w:ascii="宋体" w:hAnsi="宋体" w:cs="宋体"/>
                <w:color w:val="000000"/>
                <w:sz w:val="24"/>
                <w:highlight w:val="none"/>
              </w:rPr>
            </w:pPr>
            <w:r>
              <w:rPr>
                <w:rFonts w:hint="eastAsia" w:ascii="宋体" w:hAnsi="宋体" w:cs="宋体"/>
                <w:color w:val="000000"/>
                <w:sz w:val="24"/>
                <w:highlight w:val="none"/>
              </w:rPr>
              <w:t>（签字）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4575" w:type="dxa"/>
            <w:vAlign w:val="center"/>
          </w:tcPr>
          <w:p>
            <w:pPr>
              <w:pStyle w:val="31"/>
              <w:spacing w:line="276" w:lineRule="auto"/>
              <w:rPr>
                <w:rFonts w:ascii="宋体" w:hAnsi="宋体" w:cs="宋体"/>
                <w:color w:val="000000"/>
                <w:sz w:val="24"/>
                <w:highlight w:val="none"/>
              </w:rPr>
            </w:pPr>
            <w:r>
              <w:rPr>
                <w:rFonts w:hint="eastAsia" w:ascii="宋体" w:hAnsi="宋体" w:cs="宋体"/>
                <w:color w:val="000000"/>
                <w:sz w:val="24"/>
                <w:highlight w:val="none"/>
              </w:rPr>
              <w:t xml:space="preserve">住所：  </w:t>
            </w:r>
          </w:p>
        </w:tc>
        <w:tc>
          <w:tcPr>
            <w:tcW w:w="240" w:type="dxa"/>
            <w:vAlign w:val="center"/>
          </w:tcPr>
          <w:p>
            <w:pPr>
              <w:pStyle w:val="31"/>
              <w:spacing w:line="276" w:lineRule="auto"/>
              <w:rPr>
                <w:rFonts w:ascii="宋体" w:hAnsi="宋体" w:cs="宋体"/>
                <w:color w:val="000000"/>
                <w:sz w:val="24"/>
                <w:highlight w:val="none"/>
              </w:rPr>
            </w:pPr>
          </w:p>
        </w:tc>
        <w:tc>
          <w:tcPr>
            <w:tcW w:w="5203" w:type="dxa"/>
            <w:vAlign w:val="center"/>
          </w:tcPr>
          <w:p>
            <w:pPr>
              <w:pStyle w:val="31"/>
              <w:spacing w:line="276" w:lineRule="auto"/>
              <w:rPr>
                <w:rFonts w:ascii="宋体" w:hAnsi="宋体" w:cs="宋体"/>
                <w:color w:val="000000"/>
                <w:sz w:val="24"/>
                <w:highlight w:val="none"/>
              </w:rPr>
            </w:pPr>
            <w:r>
              <w:rPr>
                <w:rFonts w:hint="eastAsia" w:ascii="宋体" w:hAnsi="宋体" w:cs="宋体"/>
                <w:color w:val="000000"/>
                <w:sz w:val="24"/>
                <w:highlight w:val="none"/>
              </w:rPr>
              <w:t xml:space="preserve">住所：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4575" w:type="dxa"/>
            <w:vAlign w:val="center"/>
          </w:tcPr>
          <w:p>
            <w:pPr>
              <w:pStyle w:val="31"/>
              <w:spacing w:line="276" w:lineRule="auto"/>
              <w:rPr>
                <w:rFonts w:ascii="宋体" w:hAnsi="宋体" w:cs="宋体"/>
                <w:color w:val="000000"/>
                <w:sz w:val="24"/>
                <w:highlight w:val="none"/>
              </w:rPr>
            </w:pPr>
            <w:r>
              <w:rPr>
                <w:rFonts w:hint="eastAsia" w:ascii="宋体" w:hAnsi="宋体" w:cs="宋体"/>
                <w:color w:val="000000"/>
                <w:sz w:val="24"/>
                <w:highlight w:val="none"/>
              </w:rPr>
              <w:t>法定代表人：</w:t>
            </w:r>
          </w:p>
        </w:tc>
        <w:tc>
          <w:tcPr>
            <w:tcW w:w="240" w:type="dxa"/>
            <w:vAlign w:val="center"/>
          </w:tcPr>
          <w:p>
            <w:pPr>
              <w:pStyle w:val="31"/>
              <w:spacing w:line="276" w:lineRule="auto"/>
              <w:rPr>
                <w:rFonts w:ascii="宋体" w:hAnsi="宋体" w:cs="宋体"/>
                <w:color w:val="000000"/>
                <w:sz w:val="24"/>
                <w:highlight w:val="none"/>
              </w:rPr>
            </w:pPr>
          </w:p>
        </w:tc>
        <w:tc>
          <w:tcPr>
            <w:tcW w:w="5203" w:type="dxa"/>
            <w:vAlign w:val="center"/>
          </w:tcPr>
          <w:p>
            <w:pPr>
              <w:pStyle w:val="31"/>
              <w:spacing w:line="276" w:lineRule="auto"/>
              <w:rPr>
                <w:rFonts w:ascii="宋体" w:hAnsi="宋体" w:cs="宋体"/>
                <w:color w:val="000000"/>
                <w:sz w:val="24"/>
                <w:highlight w:val="none"/>
              </w:rPr>
            </w:pPr>
            <w:r>
              <w:rPr>
                <w:rFonts w:hint="eastAsia" w:ascii="宋体" w:hAnsi="宋体" w:cs="宋体"/>
                <w:color w:val="000000"/>
                <w:sz w:val="24"/>
                <w:highlight w:val="none"/>
              </w:rPr>
              <w:t>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4575" w:type="dxa"/>
            <w:vAlign w:val="center"/>
          </w:tcPr>
          <w:p>
            <w:pPr>
              <w:pStyle w:val="31"/>
              <w:spacing w:line="276" w:lineRule="auto"/>
              <w:rPr>
                <w:rFonts w:ascii="宋体" w:hAnsi="宋体" w:cs="宋体"/>
                <w:color w:val="000000"/>
                <w:sz w:val="24"/>
                <w:highlight w:val="none"/>
              </w:rPr>
            </w:pPr>
            <w:r>
              <w:rPr>
                <w:rFonts w:hint="eastAsia" w:ascii="宋体" w:hAnsi="宋体" w:cs="宋体"/>
                <w:color w:val="000000"/>
                <w:sz w:val="24"/>
                <w:highlight w:val="none"/>
              </w:rPr>
              <w:t>委托代理人：</w:t>
            </w:r>
          </w:p>
        </w:tc>
        <w:tc>
          <w:tcPr>
            <w:tcW w:w="240" w:type="dxa"/>
            <w:vAlign w:val="center"/>
          </w:tcPr>
          <w:p>
            <w:pPr>
              <w:pStyle w:val="31"/>
              <w:spacing w:line="276" w:lineRule="auto"/>
              <w:rPr>
                <w:rFonts w:ascii="宋体" w:hAnsi="宋体" w:cs="宋体"/>
                <w:color w:val="000000"/>
                <w:sz w:val="24"/>
                <w:highlight w:val="none"/>
              </w:rPr>
            </w:pPr>
          </w:p>
        </w:tc>
        <w:tc>
          <w:tcPr>
            <w:tcW w:w="5203" w:type="dxa"/>
            <w:vAlign w:val="center"/>
          </w:tcPr>
          <w:p>
            <w:pPr>
              <w:pStyle w:val="31"/>
              <w:spacing w:line="276" w:lineRule="auto"/>
              <w:rPr>
                <w:rFonts w:ascii="宋体" w:hAnsi="宋体" w:cs="宋体"/>
                <w:color w:val="000000"/>
                <w:sz w:val="24"/>
                <w:highlight w:val="none"/>
              </w:rPr>
            </w:pPr>
            <w:r>
              <w:rPr>
                <w:rFonts w:hint="eastAsia" w:ascii="宋体" w:hAnsi="宋体" w:cs="宋体"/>
                <w:color w:val="000000"/>
                <w:sz w:val="24"/>
                <w:highlight w:val="none"/>
              </w:rPr>
              <w:t>委托代理人：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4575" w:type="dxa"/>
            <w:vAlign w:val="center"/>
          </w:tcPr>
          <w:p>
            <w:pPr>
              <w:pStyle w:val="31"/>
              <w:spacing w:line="276" w:lineRule="auto"/>
              <w:rPr>
                <w:rFonts w:ascii="宋体" w:hAnsi="宋体" w:cs="宋体"/>
                <w:color w:val="000000"/>
                <w:sz w:val="24"/>
                <w:highlight w:val="none"/>
              </w:rPr>
            </w:pPr>
            <w:r>
              <w:rPr>
                <w:rFonts w:hint="eastAsia" w:ascii="宋体" w:hAnsi="宋体" w:cs="宋体"/>
                <w:color w:val="000000"/>
                <w:sz w:val="24"/>
                <w:highlight w:val="none"/>
              </w:rPr>
              <w:t xml:space="preserve">电 话： </w:t>
            </w:r>
          </w:p>
        </w:tc>
        <w:tc>
          <w:tcPr>
            <w:tcW w:w="240" w:type="dxa"/>
            <w:vAlign w:val="center"/>
          </w:tcPr>
          <w:p>
            <w:pPr>
              <w:pStyle w:val="31"/>
              <w:spacing w:line="276" w:lineRule="auto"/>
              <w:rPr>
                <w:rFonts w:ascii="宋体" w:hAnsi="宋体" w:cs="宋体"/>
                <w:color w:val="000000"/>
                <w:sz w:val="24"/>
                <w:highlight w:val="none"/>
              </w:rPr>
            </w:pPr>
          </w:p>
        </w:tc>
        <w:tc>
          <w:tcPr>
            <w:tcW w:w="5203" w:type="dxa"/>
            <w:vAlign w:val="center"/>
          </w:tcPr>
          <w:p>
            <w:pPr>
              <w:pStyle w:val="31"/>
              <w:spacing w:line="276" w:lineRule="auto"/>
              <w:rPr>
                <w:rFonts w:ascii="宋体" w:hAnsi="宋体" w:cs="宋体"/>
                <w:color w:val="000000"/>
                <w:sz w:val="24"/>
                <w:highlight w:val="none"/>
              </w:rPr>
            </w:pPr>
            <w:r>
              <w:rPr>
                <w:rFonts w:hint="eastAsia" w:ascii="宋体" w:hAnsi="宋体" w:cs="宋体"/>
                <w:color w:val="000000"/>
                <w:sz w:val="24"/>
                <w:highlight w:val="none"/>
              </w:rPr>
              <w:t xml:space="preserve">电 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4575" w:type="dxa"/>
            <w:vAlign w:val="center"/>
          </w:tcPr>
          <w:p>
            <w:pPr>
              <w:pStyle w:val="31"/>
              <w:spacing w:line="276" w:lineRule="auto"/>
              <w:rPr>
                <w:rFonts w:ascii="宋体" w:hAnsi="宋体" w:cs="宋体"/>
                <w:color w:val="000000"/>
                <w:sz w:val="24"/>
                <w:highlight w:val="none"/>
              </w:rPr>
            </w:pPr>
            <w:r>
              <w:rPr>
                <w:rFonts w:hint="eastAsia" w:ascii="宋体" w:hAnsi="宋体" w:cs="宋体"/>
                <w:color w:val="000000"/>
                <w:sz w:val="24"/>
                <w:highlight w:val="none"/>
              </w:rPr>
              <w:t>传真：</w:t>
            </w:r>
          </w:p>
        </w:tc>
        <w:tc>
          <w:tcPr>
            <w:tcW w:w="240" w:type="dxa"/>
            <w:vAlign w:val="center"/>
          </w:tcPr>
          <w:p>
            <w:pPr>
              <w:pStyle w:val="31"/>
              <w:spacing w:line="276" w:lineRule="auto"/>
              <w:rPr>
                <w:rFonts w:ascii="宋体" w:hAnsi="宋体" w:cs="宋体"/>
                <w:color w:val="000000"/>
                <w:sz w:val="24"/>
                <w:highlight w:val="none"/>
              </w:rPr>
            </w:pPr>
          </w:p>
        </w:tc>
        <w:tc>
          <w:tcPr>
            <w:tcW w:w="5203" w:type="dxa"/>
            <w:vAlign w:val="center"/>
          </w:tcPr>
          <w:p>
            <w:pPr>
              <w:pStyle w:val="31"/>
              <w:spacing w:line="276" w:lineRule="auto"/>
              <w:rPr>
                <w:rFonts w:ascii="宋体" w:hAnsi="宋体" w:cs="宋体"/>
                <w:color w:val="000000"/>
                <w:sz w:val="24"/>
                <w:highlight w:val="none"/>
              </w:rPr>
            </w:pPr>
            <w:r>
              <w:rPr>
                <w:rFonts w:hint="eastAsia" w:ascii="宋体" w:hAnsi="宋体" w:cs="宋体"/>
                <w:color w:val="000000"/>
                <w:sz w:val="24"/>
                <w:highlight w:val="none"/>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4575" w:type="dxa"/>
            <w:vAlign w:val="center"/>
          </w:tcPr>
          <w:p>
            <w:pPr>
              <w:pStyle w:val="31"/>
              <w:spacing w:line="276" w:lineRule="auto"/>
              <w:rPr>
                <w:rFonts w:ascii="宋体" w:hAnsi="宋体" w:cs="宋体"/>
                <w:color w:val="000000"/>
                <w:sz w:val="24"/>
                <w:highlight w:val="none"/>
              </w:rPr>
            </w:pPr>
            <w:r>
              <w:rPr>
                <w:rFonts w:hint="eastAsia" w:ascii="宋体" w:hAnsi="宋体" w:cs="宋体"/>
                <w:color w:val="000000"/>
                <w:sz w:val="24"/>
                <w:highlight w:val="none"/>
              </w:rPr>
              <w:t>开户银行：</w:t>
            </w:r>
          </w:p>
        </w:tc>
        <w:tc>
          <w:tcPr>
            <w:tcW w:w="240" w:type="dxa"/>
            <w:vAlign w:val="center"/>
          </w:tcPr>
          <w:p>
            <w:pPr>
              <w:pStyle w:val="31"/>
              <w:spacing w:line="276" w:lineRule="auto"/>
              <w:rPr>
                <w:rFonts w:ascii="宋体" w:hAnsi="宋体" w:cs="宋体"/>
                <w:color w:val="000000"/>
                <w:sz w:val="24"/>
                <w:highlight w:val="none"/>
              </w:rPr>
            </w:pPr>
          </w:p>
        </w:tc>
        <w:tc>
          <w:tcPr>
            <w:tcW w:w="5203" w:type="dxa"/>
            <w:vAlign w:val="center"/>
          </w:tcPr>
          <w:p>
            <w:pPr>
              <w:pStyle w:val="31"/>
              <w:spacing w:line="276" w:lineRule="auto"/>
              <w:rPr>
                <w:rFonts w:ascii="宋体" w:hAnsi="宋体" w:cs="宋体"/>
                <w:color w:val="000000"/>
                <w:sz w:val="24"/>
                <w:highlight w:val="none"/>
              </w:rPr>
            </w:pPr>
            <w:r>
              <w:rPr>
                <w:rFonts w:hint="eastAsia" w:ascii="宋体" w:hAnsi="宋体" w:cs="宋体"/>
                <w:color w:val="000000"/>
                <w:sz w:val="24"/>
                <w:highlight w:val="none"/>
              </w:rPr>
              <w:t xml:space="preserve">开户银行：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4575" w:type="dxa"/>
            <w:vAlign w:val="center"/>
          </w:tcPr>
          <w:p>
            <w:pPr>
              <w:pStyle w:val="31"/>
              <w:spacing w:line="276" w:lineRule="auto"/>
              <w:rPr>
                <w:rFonts w:ascii="宋体" w:hAnsi="宋体" w:cs="宋体"/>
                <w:color w:val="000000"/>
                <w:sz w:val="24"/>
                <w:highlight w:val="none"/>
              </w:rPr>
            </w:pPr>
            <w:r>
              <w:rPr>
                <w:rFonts w:hint="eastAsia" w:ascii="宋体" w:hAnsi="宋体" w:cs="宋体"/>
                <w:color w:val="000000"/>
                <w:sz w:val="24"/>
                <w:highlight w:val="none"/>
              </w:rPr>
              <w:t>账号：</w:t>
            </w:r>
          </w:p>
        </w:tc>
        <w:tc>
          <w:tcPr>
            <w:tcW w:w="240" w:type="dxa"/>
            <w:vAlign w:val="center"/>
          </w:tcPr>
          <w:p>
            <w:pPr>
              <w:pStyle w:val="31"/>
              <w:spacing w:line="276" w:lineRule="auto"/>
              <w:rPr>
                <w:rFonts w:ascii="宋体" w:hAnsi="宋体" w:cs="宋体"/>
                <w:color w:val="000000"/>
                <w:sz w:val="24"/>
                <w:highlight w:val="none"/>
              </w:rPr>
            </w:pPr>
          </w:p>
        </w:tc>
        <w:tc>
          <w:tcPr>
            <w:tcW w:w="5203" w:type="dxa"/>
            <w:vAlign w:val="center"/>
          </w:tcPr>
          <w:p>
            <w:pPr>
              <w:pStyle w:val="31"/>
              <w:spacing w:line="276" w:lineRule="auto"/>
              <w:rPr>
                <w:rFonts w:ascii="宋体" w:hAnsi="宋体" w:cs="宋体"/>
                <w:color w:val="000000"/>
                <w:sz w:val="24"/>
                <w:highlight w:val="none"/>
              </w:rPr>
            </w:pPr>
            <w:r>
              <w:rPr>
                <w:rFonts w:hint="eastAsia" w:ascii="宋体" w:hAnsi="宋体" w:cs="宋体"/>
                <w:color w:val="000000"/>
                <w:sz w:val="24"/>
                <w:highlight w:val="none"/>
              </w:rPr>
              <w:t xml:space="preserve">账号： </w:t>
            </w:r>
          </w:p>
        </w:tc>
      </w:tr>
    </w:tbl>
    <w:p>
      <w:pPr>
        <w:pStyle w:val="3"/>
        <w:spacing w:before="120" w:after="120" w:line="360" w:lineRule="auto"/>
        <w:jc w:val="center"/>
        <w:rPr>
          <w:rFonts w:ascii="宋体" w:hAnsi="宋体"/>
          <w:kern w:val="2"/>
          <w:sz w:val="32"/>
          <w:highlight w:val="none"/>
        </w:rPr>
      </w:pPr>
      <w:r>
        <w:rPr>
          <w:rFonts w:hint="eastAsia" w:ascii="宋体" w:hAnsi="宋体"/>
          <w:b w:val="0"/>
          <w:sz w:val="72"/>
          <w:highlight w:val="none"/>
        </w:rPr>
        <w:br w:type="page"/>
      </w:r>
      <w:bookmarkStart w:id="194" w:name="_Toc18545"/>
      <w:bookmarkStart w:id="195" w:name="_Toc25841"/>
      <w:bookmarkStart w:id="196" w:name="_Toc6117"/>
      <w:bookmarkStart w:id="197" w:name="_Toc32113"/>
      <w:bookmarkStart w:id="198" w:name="_Toc60585222"/>
      <w:r>
        <w:rPr>
          <w:rFonts w:hint="eastAsia" w:ascii="宋体" w:hAnsi="宋体"/>
          <w:kern w:val="2"/>
          <w:sz w:val="32"/>
          <w:highlight w:val="none"/>
        </w:rPr>
        <w:t>第六章响应文件格式</w:t>
      </w:r>
      <w:bookmarkEnd w:id="194"/>
      <w:bookmarkEnd w:id="195"/>
      <w:bookmarkEnd w:id="196"/>
      <w:bookmarkEnd w:id="197"/>
      <w:bookmarkEnd w:id="198"/>
    </w:p>
    <w:p>
      <w:pPr>
        <w:spacing w:line="480" w:lineRule="auto"/>
        <w:jc w:val="center"/>
        <w:rPr>
          <w:rFonts w:ascii="宋体" w:hAnsi="宋体"/>
          <w:sz w:val="30"/>
          <w:szCs w:val="30"/>
          <w:highlight w:val="none"/>
        </w:rPr>
      </w:pPr>
      <w:r>
        <w:rPr>
          <w:rFonts w:hint="eastAsia" w:ascii="宋体" w:hAnsi="宋体"/>
          <w:b/>
          <w:sz w:val="30"/>
          <w:szCs w:val="30"/>
          <w:highlight w:val="none"/>
        </w:rPr>
        <w:t>响应文件封面格式</w:t>
      </w:r>
    </w:p>
    <w:p>
      <w:pPr>
        <w:pBdr>
          <w:top w:val="single" w:color="auto" w:sz="4" w:space="1"/>
          <w:left w:val="single" w:color="auto" w:sz="4" w:space="4"/>
          <w:bottom w:val="single" w:color="auto" w:sz="4" w:space="31"/>
          <w:right w:val="single" w:color="auto" w:sz="4" w:space="4"/>
        </w:pBdr>
        <w:spacing w:line="480" w:lineRule="auto"/>
        <w:jc w:val="right"/>
        <w:rPr>
          <w:rFonts w:ascii="宋体" w:hAnsi="宋体"/>
          <w:b/>
          <w:sz w:val="32"/>
          <w:szCs w:val="30"/>
          <w:highlight w:val="none"/>
        </w:rPr>
      </w:pPr>
    </w:p>
    <w:p>
      <w:pPr>
        <w:pBdr>
          <w:top w:val="single" w:color="auto" w:sz="4" w:space="1"/>
          <w:left w:val="single" w:color="auto" w:sz="4" w:space="4"/>
          <w:bottom w:val="single" w:color="auto" w:sz="4" w:space="31"/>
          <w:right w:val="single" w:color="auto" w:sz="4" w:space="4"/>
        </w:pBdr>
        <w:wordWrap w:val="0"/>
        <w:spacing w:line="480" w:lineRule="auto"/>
        <w:jc w:val="right"/>
        <w:rPr>
          <w:rFonts w:ascii="宋体" w:hAnsi="宋体"/>
          <w:b/>
          <w:sz w:val="32"/>
          <w:szCs w:val="30"/>
          <w:highlight w:val="none"/>
        </w:rPr>
      </w:pPr>
      <w:r>
        <w:rPr>
          <w:rFonts w:hint="eastAsia" w:ascii="宋体" w:hAnsi="宋体"/>
          <w:b/>
          <w:sz w:val="32"/>
          <w:szCs w:val="30"/>
          <w:highlight w:val="none"/>
        </w:rPr>
        <w:t xml:space="preserve">（正/副本）    </w:t>
      </w:r>
    </w:p>
    <w:p>
      <w:pPr>
        <w:pBdr>
          <w:top w:val="single" w:color="auto" w:sz="4" w:space="1"/>
          <w:left w:val="single" w:color="auto" w:sz="4" w:space="4"/>
          <w:bottom w:val="single" w:color="auto" w:sz="4" w:space="31"/>
          <w:right w:val="single" w:color="auto" w:sz="4" w:space="4"/>
        </w:pBdr>
        <w:jc w:val="center"/>
        <w:rPr>
          <w:rFonts w:ascii="宋体" w:hAnsi="宋体"/>
          <w:b/>
          <w:sz w:val="28"/>
          <w:szCs w:val="30"/>
          <w:highlight w:val="none"/>
        </w:rPr>
      </w:pPr>
    </w:p>
    <w:p>
      <w:pPr>
        <w:pBdr>
          <w:top w:val="single" w:color="auto" w:sz="4" w:space="1"/>
          <w:left w:val="single" w:color="auto" w:sz="4" w:space="4"/>
          <w:bottom w:val="single" w:color="auto" w:sz="4" w:space="31"/>
          <w:right w:val="single" w:color="auto" w:sz="4" w:space="4"/>
        </w:pBdr>
        <w:spacing w:line="480" w:lineRule="auto"/>
        <w:ind w:firstLine="1720" w:firstLineChars="612"/>
        <w:rPr>
          <w:rFonts w:ascii="宋体" w:hAnsi="宋体"/>
          <w:b/>
          <w:sz w:val="28"/>
          <w:szCs w:val="30"/>
          <w:highlight w:val="none"/>
          <w:u w:val="single"/>
        </w:rPr>
      </w:pPr>
      <w:r>
        <w:rPr>
          <w:rFonts w:hint="eastAsia" w:ascii="宋体" w:hAnsi="宋体"/>
          <w:b/>
          <w:sz w:val="28"/>
          <w:szCs w:val="30"/>
          <w:highlight w:val="none"/>
        </w:rPr>
        <w:t>项目编号：</w:t>
      </w:r>
      <w:r>
        <w:rPr>
          <w:rFonts w:hint="eastAsia" w:ascii="宋体" w:hAnsi="宋体"/>
          <w:b/>
          <w:sz w:val="28"/>
          <w:szCs w:val="30"/>
          <w:highlight w:val="none"/>
          <w:u w:val="single"/>
        </w:rPr>
        <w:t>_</w:t>
      </w:r>
      <w:r>
        <w:rPr>
          <w:rFonts w:hint="eastAsia" w:ascii="宋体" w:hAnsi="宋体"/>
          <w:b/>
          <w:sz w:val="28"/>
          <w:szCs w:val="30"/>
          <w:highlight w:val="none"/>
        </w:rPr>
        <w:t>__</w:t>
      </w:r>
      <w:r>
        <w:rPr>
          <w:rFonts w:hint="eastAsia" w:ascii="宋体" w:hAnsi="宋体"/>
          <w:b/>
          <w:sz w:val="28"/>
          <w:szCs w:val="30"/>
          <w:highlight w:val="none"/>
          <w:u w:val="single"/>
        </w:rPr>
        <w:t xml:space="preserve">__  _              </w:t>
      </w:r>
      <w:r>
        <w:rPr>
          <w:rFonts w:hint="eastAsia" w:ascii="宋体" w:hAnsi="宋体"/>
          <w:b/>
          <w:sz w:val="28"/>
          <w:szCs w:val="30"/>
          <w:highlight w:val="none"/>
        </w:rPr>
        <w:t>__</w:t>
      </w:r>
    </w:p>
    <w:p>
      <w:pPr>
        <w:pBdr>
          <w:top w:val="single" w:color="auto" w:sz="4" w:space="1"/>
          <w:left w:val="single" w:color="auto" w:sz="4" w:space="4"/>
          <w:bottom w:val="single" w:color="auto" w:sz="4" w:space="31"/>
          <w:right w:val="single" w:color="auto" w:sz="4" w:space="4"/>
        </w:pBdr>
        <w:ind w:firstLine="1720" w:firstLineChars="612"/>
        <w:jc w:val="left"/>
        <w:rPr>
          <w:rFonts w:ascii="宋体" w:hAnsi="宋体"/>
          <w:b/>
          <w:sz w:val="28"/>
          <w:szCs w:val="30"/>
          <w:highlight w:val="none"/>
        </w:rPr>
      </w:pPr>
      <w:r>
        <w:rPr>
          <w:rFonts w:hint="eastAsia" w:ascii="宋体" w:hAnsi="宋体"/>
          <w:b/>
          <w:sz w:val="28"/>
          <w:szCs w:val="30"/>
          <w:highlight w:val="none"/>
        </w:rPr>
        <w:t>项目名称：</w:t>
      </w:r>
      <w:r>
        <w:rPr>
          <w:rFonts w:hint="eastAsia" w:ascii="宋体" w:hAnsi="宋体"/>
          <w:b/>
          <w:sz w:val="28"/>
          <w:szCs w:val="30"/>
          <w:highlight w:val="none"/>
          <w:u w:val="single"/>
        </w:rPr>
        <w:t>_</w:t>
      </w:r>
      <w:r>
        <w:rPr>
          <w:rFonts w:hint="eastAsia" w:ascii="宋体" w:hAnsi="宋体"/>
          <w:b/>
          <w:sz w:val="28"/>
          <w:szCs w:val="30"/>
          <w:highlight w:val="none"/>
        </w:rPr>
        <w:t>__</w:t>
      </w:r>
      <w:r>
        <w:rPr>
          <w:rFonts w:hint="eastAsia" w:ascii="宋体" w:hAnsi="宋体"/>
          <w:b/>
          <w:sz w:val="28"/>
          <w:szCs w:val="30"/>
          <w:highlight w:val="none"/>
          <w:u w:val="single"/>
        </w:rPr>
        <w:t xml:space="preserve">__  _            </w:t>
      </w:r>
      <w:r>
        <w:rPr>
          <w:rFonts w:hint="eastAsia" w:ascii="宋体" w:hAnsi="宋体"/>
          <w:b/>
          <w:sz w:val="28"/>
          <w:szCs w:val="30"/>
          <w:highlight w:val="none"/>
        </w:rPr>
        <w:t>__</w:t>
      </w:r>
    </w:p>
    <w:p>
      <w:pPr>
        <w:pBdr>
          <w:top w:val="single" w:color="auto" w:sz="4" w:space="1"/>
          <w:left w:val="single" w:color="auto" w:sz="4" w:space="4"/>
          <w:bottom w:val="single" w:color="auto" w:sz="4" w:space="31"/>
          <w:right w:val="single" w:color="auto" w:sz="4" w:space="4"/>
        </w:pBdr>
        <w:ind w:firstLine="1713" w:firstLineChars="612"/>
        <w:jc w:val="left"/>
        <w:rPr>
          <w:rFonts w:ascii="宋体" w:hAnsi="宋体"/>
          <w:sz w:val="28"/>
          <w:szCs w:val="30"/>
          <w:highlight w:val="none"/>
          <w:u w:val="single"/>
        </w:rPr>
      </w:pPr>
    </w:p>
    <w:p>
      <w:pPr>
        <w:pBdr>
          <w:top w:val="single" w:color="auto" w:sz="4" w:space="1"/>
          <w:left w:val="single" w:color="auto" w:sz="4" w:space="4"/>
          <w:bottom w:val="single" w:color="auto" w:sz="4" w:space="31"/>
          <w:right w:val="single" w:color="auto" w:sz="4" w:space="4"/>
        </w:pBdr>
        <w:spacing w:line="480" w:lineRule="auto"/>
        <w:ind w:firstLine="1720" w:firstLineChars="612"/>
        <w:jc w:val="left"/>
        <w:rPr>
          <w:rFonts w:hint="eastAsia" w:ascii="宋体" w:hAnsi="宋体" w:eastAsia="宋体"/>
          <w:b/>
          <w:sz w:val="28"/>
          <w:szCs w:val="30"/>
          <w:highlight w:val="none"/>
          <w:lang w:val="en-US" w:eastAsia="zh-CN"/>
        </w:rPr>
      </w:pPr>
      <w:r>
        <w:rPr>
          <w:rFonts w:hint="eastAsia" w:ascii="宋体" w:hAnsi="宋体"/>
          <w:b/>
          <w:sz w:val="28"/>
          <w:szCs w:val="30"/>
          <w:highlight w:val="none"/>
          <w:lang w:val="en-US" w:eastAsia="zh-CN"/>
        </w:rPr>
        <w:t xml:space="preserve">包号：___  _            </w:t>
      </w:r>
    </w:p>
    <w:p>
      <w:pPr>
        <w:pBdr>
          <w:top w:val="single" w:color="auto" w:sz="4" w:space="1"/>
          <w:left w:val="single" w:color="auto" w:sz="4" w:space="4"/>
          <w:bottom w:val="single" w:color="auto" w:sz="4" w:space="31"/>
          <w:right w:val="single" w:color="auto" w:sz="4" w:space="4"/>
        </w:pBdr>
        <w:spacing w:line="440" w:lineRule="exact"/>
        <w:jc w:val="center"/>
        <w:rPr>
          <w:rFonts w:ascii="宋体" w:hAnsi="宋体"/>
          <w:sz w:val="36"/>
          <w:szCs w:val="28"/>
          <w:highlight w:val="none"/>
        </w:rPr>
      </w:pPr>
    </w:p>
    <w:p>
      <w:pPr>
        <w:pBdr>
          <w:top w:val="single" w:color="auto" w:sz="4" w:space="1"/>
          <w:left w:val="single" w:color="auto" w:sz="4" w:space="4"/>
          <w:bottom w:val="single" w:color="auto" w:sz="4" w:space="31"/>
          <w:right w:val="single" w:color="auto" w:sz="4" w:space="4"/>
        </w:pBdr>
        <w:spacing w:line="360" w:lineRule="auto"/>
        <w:jc w:val="center"/>
        <w:rPr>
          <w:rFonts w:ascii="宋体" w:hAnsi="宋体"/>
          <w:b/>
          <w:bCs/>
          <w:sz w:val="72"/>
          <w:szCs w:val="52"/>
          <w:highlight w:val="none"/>
        </w:rPr>
      </w:pPr>
      <w:r>
        <w:rPr>
          <w:rFonts w:hint="eastAsia" w:ascii="宋体" w:hAnsi="宋体"/>
          <w:b/>
          <w:bCs/>
          <w:sz w:val="72"/>
          <w:szCs w:val="52"/>
          <w:highlight w:val="none"/>
        </w:rPr>
        <w:t>响 应</w:t>
      </w:r>
      <w:r>
        <w:rPr>
          <w:rFonts w:ascii="宋体" w:hAnsi="宋体"/>
          <w:b/>
          <w:bCs/>
          <w:sz w:val="72"/>
          <w:szCs w:val="52"/>
          <w:highlight w:val="none"/>
        </w:rPr>
        <w:t xml:space="preserve"> 文 件</w:t>
      </w:r>
    </w:p>
    <w:p>
      <w:pPr>
        <w:pBdr>
          <w:top w:val="single" w:color="auto" w:sz="4" w:space="1"/>
          <w:left w:val="single" w:color="auto" w:sz="4" w:space="4"/>
          <w:bottom w:val="single" w:color="auto" w:sz="4" w:space="31"/>
          <w:right w:val="single" w:color="auto" w:sz="4" w:space="4"/>
        </w:pBdr>
        <w:spacing w:line="440" w:lineRule="exact"/>
        <w:rPr>
          <w:rFonts w:ascii="宋体" w:hAnsi="宋体"/>
          <w:sz w:val="28"/>
          <w:szCs w:val="28"/>
          <w:highlight w:val="none"/>
        </w:rPr>
      </w:pPr>
    </w:p>
    <w:p>
      <w:pPr>
        <w:pBdr>
          <w:top w:val="single" w:color="auto" w:sz="4" w:space="1"/>
          <w:left w:val="single" w:color="auto" w:sz="4" w:space="4"/>
          <w:bottom w:val="single" w:color="auto" w:sz="4" w:space="31"/>
          <w:right w:val="single" w:color="auto" w:sz="4" w:space="4"/>
        </w:pBdr>
        <w:spacing w:line="440" w:lineRule="exact"/>
        <w:rPr>
          <w:rFonts w:ascii="宋体" w:hAnsi="宋体"/>
          <w:sz w:val="28"/>
          <w:szCs w:val="28"/>
          <w:highlight w:val="none"/>
        </w:rPr>
      </w:pPr>
    </w:p>
    <w:p>
      <w:pPr>
        <w:pBdr>
          <w:top w:val="single" w:color="auto" w:sz="4" w:space="1"/>
          <w:left w:val="single" w:color="auto" w:sz="4" w:space="4"/>
          <w:bottom w:val="single" w:color="auto" w:sz="4" w:space="31"/>
          <w:right w:val="single" w:color="auto" w:sz="4" w:space="4"/>
        </w:pBdr>
        <w:spacing w:line="440" w:lineRule="exact"/>
        <w:rPr>
          <w:rFonts w:ascii="宋体" w:hAnsi="宋体"/>
          <w:sz w:val="28"/>
          <w:szCs w:val="28"/>
          <w:highlight w:val="none"/>
        </w:rPr>
      </w:pPr>
    </w:p>
    <w:p>
      <w:pPr>
        <w:pBdr>
          <w:top w:val="single" w:color="auto" w:sz="4" w:space="1"/>
          <w:left w:val="single" w:color="auto" w:sz="4" w:space="4"/>
          <w:bottom w:val="single" w:color="auto" w:sz="4" w:space="31"/>
          <w:right w:val="single" w:color="auto" w:sz="4" w:space="4"/>
        </w:pBdr>
        <w:spacing w:line="440" w:lineRule="exact"/>
        <w:rPr>
          <w:rFonts w:ascii="宋体" w:hAnsi="宋体"/>
          <w:sz w:val="28"/>
          <w:szCs w:val="28"/>
          <w:highlight w:val="none"/>
        </w:rPr>
      </w:pPr>
    </w:p>
    <w:p>
      <w:pPr>
        <w:pBdr>
          <w:top w:val="single" w:color="auto" w:sz="4" w:space="1"/>
          <w:left w:val="single" w:color="auto" w:sz="4" w:space="4"/>
          <w:bottom w:val="single" w:color="auto" w:sz="4" w:space="31"/>
          <w:right w:val="single" w:color="auto" w:sz="4" w:space="4"/>
        </w:pBdr>
        <w:spacing w:line="440" w:lineRule="exact"/>
        <w:rPr>
          <w:rFonts w:ascii="宋体" w:hAnsi="宋体"/>
          <w:sz w:val="28"/>
          <w:szCs w:val="28"/>
          <w:highlight w:val="none"/>
        </w:rPr>
      </w:pPr>
    </w:p>
    <w:p>
      <w:pPr>
        <w:pBdr>
          <w:top w:val="single" w:color="auto" w:sz="4" w:space="1"/>
          <w:left w:val="single" w:color="auto" w:sz="4" w:space="4"/>
          <w:bottom w:val="single" w:color="auto" w:sz="4" w:space="31"/>
          <w:right w:val="single" w:color="auto" w:sz="4" w:space="4"/>
        </w:pBdr>
        <w:spacing w:line="360" w:lineRule="auto"/>
        <w:jc w:val="center"/>
        <w:rPr>
          <w:rFonts w:ascii="宋体" w:hAnsi="宋体"/>
          <w:sz w:val="28"/>
          <w:szCs w:val="28"/>
          <w:highlight w:val="none"/>
        </w:rPr>
      </w:pPr>
      <w:r>
        <w:rPr>
          <w:rFonts w:hint="eastAsia" w:ascii="宋体" w:hAnsi="宋体"/>
          <w:sz w:val="28"/>
          <w:szCs w:val="28"/>
          <w:highlight w:val="none"/>
        </w:rPr>
        <w:t xml:space="preserve">      响应人</w:t>
      </w:r>
      <w:r>
        <w:rPr>
          <w:rFonts w:ascii="宋体" w:hAnsi="宋体"/>
          <w:sz w:val="28"/>
          <w:szCs w:val="28"/>
          <w:highlight w:val="none"/>
        </w:rPr>
        <w:t>：(盖单位章)</w:t>
      </w:r>
    </w:p>
    <w:p>
      <w:pPr>
        <w:pBdr>
          <w:top w:val="single" w:color="auto" w:sz="4" w:space="1"/>
          <w:left w:val="single" w:color="auto" w:sz="4" w:space="4"/>
          <w:bottom w:val="single" w:color="auto" w:sz="4" w:space="31"/>
          <w:right w:val="single" w:color="auto" w:sz="4" w:space="4"/>
        </w:pBdr>
        <w:spacing w:line="360" w:lineRule="auto"/>
        <w:ind w:firstLine="1853" w:firstLineChars="662"/>
        <w:rPr>
          <w:rFonts w:ascii="宋体" w:hAnsi="宋体"/>
          <w:sz w:val="28"/>
          <w:szCs w:val="30"/>
          <w:highlight w:val="none"/>
        </w:rPr>
      </w:pPr>
      <w:r>
        <w:rPr>
          <w:rFonts w:hint="eastAsia" w:ascii="宋体" w:hAnsi="宋体"/>
          <w:sz w:val="28"/>
          <w:szCs w:val="30"/>
          <w:highlight w:val="none"/>
        </w:rPr>
        <w:t>地  址</w:t>
      </w:r>
      <w:r>
        <w:rPr>
          <w:rFonts w:ascii="宋体" w:hAnsi="宋体"/>
          <w:sz w:val="28"/>
          <w:szCs w:val="30"/>
          <w:highlight w:val="none"/>
        </w:rPr>
        <w:t>：</w:t>
      </w:r>
      <w:r>
        <w:rPr>
          <w:rFonts w:hint="eastAsia" w:ascii="宋体" w:hAnsi="宋体"/>
          <w:b/>
          <w:sz w:val="30"/>
          <w:szCs w:val="30"/>
          <w:highlight w:val="none"/>
          <w:u w:val="single"/>
        </w:rPr>
        <w:t>_</w:t>
      </w:r>
      <w:r>
        <w:rPr>
          <w:rFonts w:hint="eastAsia" w:ascii="宋体" w:hAnsi="宋体"/>
          <w:b/>
          <w:sz w:val="30"/>
          <w:szCs w:val="30"/>
          <w:highlight w:val="none"/>
        </w:rPr>
        <w:t>__</w:t>
      </w:r>
      <w:r>
        <w:rPr>
          <w:rFonts w:hint="eastAsia" w:ascii="宋体" w:hAnsi="宋体"/>
          <w:b/>
          <w:sz w:val="30"/>
          <w:szCs w:val="30"/>
          <w:highlight w:val="none"/>
          <w:u w:val="single"/>
        </w:rPr>
        <w:t xml:space="preserve">__  _            </w:t>
      </w:r>
      <w:r>
        <w:rPr>
          <w:rFonts w:hint="eastAsia" w:ascii="宋体" w:hAnsi="宋体"/>
          <w:b/>
          <w:sz w:val="30"/>
          <w:szCs w:val="30"/>
          <w:highlight w:val="none"/>
        </w:rPr>
        <w:t>__</w:t>
      </w:r>
    </w:p>
    <w:p>
      <w:pPr>
        <w:pBdr>
          <w:top w:val="single" w:color="auto" w:sz="4" w:space="1"/>
          <w:left w:val="single" w:color="auto" w:sz="4" w:space="4"/>
          <w:bottom w:val="single" w:color="auto" w:sz="4" w:space="31"/>
          <w:right w:val="single" w:color="auto" w:sz="4" w:space="4"/>
        </w:pBdr>
        <w:spacing w:line="360" w:lineRule="auto"/>
        <w:ind w:firstLine="1853" w:firstLineChars="662"/>
        <w:rPr>
          <w:rFonts w:ascii="宋体" w:hAnsi="宋体"/>
          <w:sz w:val="28"/>
          <w:szCs w:val="30"/>
          <w:highlight w:val="none"/>
        </w:rPr>
      </w:pPr>
      <w:r>
        <w:rPr>
          <w:rFonts w:hint="eastAsia" w:ascii="宋体" w:hAnsi="宋体"/>
          <w:sz w:val="28"/>
          <w:szCs w:val="30"/>
          <w:highlight w:val="none"/>
        </w:rPr>
        <w:t>电  话：</w:t>
      </w:r>
      <w:r>
        <w:rPr>
          <w:rFonts w:hint="eastAsia" w:ascii="宋体" w:hAnsi="宋体"/>
          <w:b/>
          <w:sz w:val="30"/>
          <w:szCs w:val="30"/>
          <w:highlight w:val="none"/>
          <w:u w:val="single"/>
        </w:rPr>
        <w:t>_</w:t>
      </w:r>
      <w:r>
        <w:rPr>
          <w:rFonts w:hint="eastAsia" w:ascii="宋体" w:hAnsi="宋体"/>
          <w:b/>
          <w:sz w:val="30"/>
          <w:szCs w:val="30"/>
          <w:highlight w:val="none"/>
        </w:rPr>
        <w:t>__</w:t>
      </w:r>
      <w:r>
        <w:rPr>
          <w:rFonts w:hint="eastAsia" w:ascii="宋体" w:hAnsi="宋体"/>
          <w:b/>
          <w:sz w:val="30"/>
          <w:szCs w:val="30"/>
          <w:highlight w:val="none"/>
          <w:u w:val="single"/>
        </w:rPr>
        <w:t xml:space="preserve">__  _            _  _  </w:t>
      </w:r>
    </w:p>
    <w:p>
      <w:pPr>
        <w:pBdr>
          <w:top w:val="single" w:color="auto" w:sz="4" w:space="1"/>
          <w:left w:val="single" w:color="auto" w:sz="4" w:space="4"/>
          <w:bottom w:val="single" w:color="auto" w:sz="4" w:space="31"/>
          <w:right w:val="single" w:color="auto" w:sz="4" w:space="4"/>
        </w:pBdr>
        <w:jc w:val="center"/>
        <w:rPr>
          <w:rFonts w:ascii="宋体" w:hAnsi="宋体"/>
          <w:sz w:val="28"/>
          <w:szCs w:val="28"/>
          <w:highlight w:val="none"/>
        </w:rPr>
      </w:pPr>
      <w:r>
        <w:rPr>
          <w:rFonts w:ascii="宋体" w:hAnsi="宋体"/>
          <w:sz w:val="28"/>
          <w:szCs w:val="28"/>
          <w:highlight w:val="none"/>
        </w:rPr>
        <w:t>年</w:t>
      </w:r>
      <w:r>
        <w:rPr>
          <w:rFonts w:hint="eastAsia" w:ascii="宋体" w:hAnsi="宋体"/>
          <w:sz w:val="28"/>
          <w:szCs w:val="28"/>
          <w:highlight w:val="none"/>
          <w:lang w:val="en-US" w:eastAsia="zh-CN"/>
        </w:rPr>
        <w:t xml:space="preserve"> </w:t>
      </w:r>
      <w:r>
        <w:rPr>
          <w:rFonts w:ascii="宋体" w:hAnsi="宋体"/>
          <w:sz w:val="28"/>
          <w:szCs w:val="28"/>
          <w:highlight w:val="none"/>
        </w:rPr>
        <w:t>月</w:t>
      </w:r>
      <w:r>
        <w:rPr>
          <w:rFonts w:hint="eastAsia" w:ascii="宋体" w:hAnsi="宋体"/>
          <w:sz w:val="28"/>
          <w:szCs w:val="28"/>
          <w:highlight w:val="none"/>
          <w:lang w:val="en-US" w:eastAsia="zh-CN"/>
        </w:rPr>
        <w:t xml:space="preserve"> </w:t>
      </w:r>
      <w:r>
        <w:rPr>
          <w:rFonts w:ascii="宋体" w:hAnsi="宋体"/>
          <w:sz w:val="28"/>
          <w:szCs w:val="28"/>
          <w:highlight w:val="none"/>
        </w:rPr>
        <w:t>日</w:t>
      </w:r>
    </w:p>
    <w:p>
      <w:pPr>
        <w:pBdr>
          <w:top w:val="single" w:color="auto" w:sz="4" w:space="1"/>
          <w:left w:val="single" w:color="auto" w:sz="4" w:space="4"/>
          <w:bottom w:val="single" w:color="auto" w:sz="4" w:space="31"/>
          <w:right w:val="single" w:color="auto" w:sz="4" w:space="4"/>
        </w:pBdr>
        <w:jc w:val="center"/>
        <w:rPr>
          <w:rFonts w:ascii="宋体" w:hAnsi="宋体"/>
          <w:sz w:val="28"/>
          <w:szCs w:val="28"/>
          <w:highlight w:val="none"/>
        </w:rPr>
      </w:pPr>
    </w:p>
    <w:p>
      <w:pPr>
        <w:pBdr>
          <w:top w:val="single" w:color="auto" w:sz="4" w:space="1"/>
          <w:left w:val="single" w:color="auto" w:sz="4" w:space="4"/>
          <w:bottom w:val="single" w:color="auto" w:sz="4" w:space="31"/>
          <w:right w:val="single" w:color="auto" w:sz="4" w:space="4"/>
        </w:pBdr>
        <w:jc w:val="center"/>
        <w:rPr>
          <w:rFonts w:ascii="宋体" w:hAnsi="宋体"/>
          <w:highlight w:val="none"/>
        </w:rPr>
      </w:pPr>
    </w:p>
    <w:p>
      <w:pPr>
        <w:pStyle w:val="4"/>
        <w:spacing w:before="120" w:after="120" w:line="360" w:lineRule="exact"/>
        <w:rPr>
          <w:rFonts w:ascii="宋体" w:hAnsi="宋体" w:eastAsia="宋体"/>
          <w:b w:val="0"/>
          <w:bCs w:val="0"/>
          <w:sz w:val="24"/>
          <w:szCs w:val="21"/>
          <w:highlight w:val="none"/>
        </w:rPr>
      </w:pPr>
      <w:r>
        <w:rPr>
          <w:rFonts w:ascii="宋体" w:hAnsi="宋体" w:eastAsia="宋体"/>
          <w:b w:val="0"/>
          <w:bCs w:val="0"/>
          <w:sz w:val="24"/>
          <w:szCs w:val="24"/>
          <w:highlight w:val="none"/>
        </w:rPr>
        <w:br w:type="page"/>
      </w:r>
      <w:bookmarkStart w:id="199" w:name="_Toc16546"/>
      <w:bookmarkStart w:id="200" w:name="_Toc802"/>
      <w:bookmarkStart w:id="201" w:name="_Toc8161"/>
      <w:bookmarkStart w:id="202" w:name="_Toc12727"/>
      <w:bookmarkStart w:id="203" w:name="_Toc60585223"/>
      <w:r>
        <w:rPr>
          <w:rFonts w:hint="eastAsia" w:ascii="宋体" w:hAnsi="宋体" w:eastAsia="宋体"/>
          <w:b w:val="0"/>
          <w:bCs w:val="0"/>
          <w:sz w:val="24"/>
          <w:szCs w:val="21"/>
          <w:highlight w:val="none"/>
        </w:rPr>
        <w:t>格式一：报价函</w:t>
      </w:r>
      <w:bookmarkEnd w:id="199"/>
      <w:bookmarkEnd w:id="200"/>
      <w:bookmarkEnd w:id="201"/>
      <w:bookmarkEnd w:id="202"/>
      <w:bookmarkEnd w:id="203"/>
    </w:p>
    <w:p>
      <w:pPr>
        <w:pStyle w:val="31"/>
        <w:spacing w:after="0" w:line="460" w:lineRule="exact"/>
        <w:jc w:val="center"/>
        <w:rPr>
          <w:rFonts w:ascii="宋体" w:hAnsi="宋体"/>
          <w:b/>
          <w:sz w:val="32"/>
          <w:highlight w:val="none"/>
        </w:rPr>
      </w:pPr>
      <w:r>
        <w:rPr>
          <w:rFonts w:hint="eastAsia" w:ascii="宋体" w:hAnsi="宋体"/>
          <w:b/>
          <w:sz w:val="32"/>
          <w:highlight w:val="none"/>
        </w:rPr>
        <w:t>报价函</w:t>
      </w:r>
    </w:p>
    <w:p>
      <w:pPr>
        <w:pStyle w:val="31"/>
        <w:spacing w:after="0" w:line="500" w:lineRule="exact"/>
        <w:rPr>
          <w:rFonts w:ascii="宋体" w:hAnsi="宋体"/>
          <w:sz w:val="24"/>
          <w:highlight w:val="none"/>
        </w:rPr>
      </w:pPr>
      <w:r>
        <w:rPr>
          <w:rFonts w:hint="eastAsia" w:ascii="宋体" w:hAnsi="宋体"/>
          <w:sz w:val="24"/>
          <w:highlight w:val="none"/>
        </w:rPr>
        <w:t>山东大学齐鲁医院（青岛）、海逸恒安项目管理有限公司：</w:t>
      </w:r>
    </w:p>
    <w:p>
      <w:pPr>
        <w:pStyle w:val="31"/>
        <w:spacing w:after="0" w:line="500" w:lineRule="exact"/>
        <w:ind w:left="-2" w:firstLine="480"/>
        <w:rPr>
          <w:rFonts w:ascii="宋体" w:hAnsi="宋体"/>
          <w:sz w:val="24"/>
          <w:highlight w:val="none"/>
        </w:rPr>
      </w:pPr>
      <w:r>
        <w:rPr>
          <w:rFonts w:hint="eastAsia" w:ascii="宋体" w:hAnsi="宋体"/>
          <w:sz w:val="24"/>
          <w:highlight w:val="none"/>
        </w:rPr>
        <w:t>经研究，我方决定参加项目编号为HYHAQD20___-_____的____________________（项目名称）项目</w:t>
      </w:r>
      <w:r>
        <w:rPr>
          <w:rFonts w:hint="eastAsia" w:ascii="宋体" w:hAnsi="宋体"/>
          <w:sz w:val="24"/>
          <w:highlight w:val="none"/>
          <w:lang w:eastAsia="zh-CN"/>
        </w:rPr>
        <w:t>（</w:t>
      </w:r>
      <w:r>
        <w:rPr>
          <w:rFonts w:hint="eastAsia" w:ascii="宋体" w:hAnsi="宋体"/>
          <w:sz w:val="24"/>
          <w:highlight w:val="none"/>
          <w:lang w:val="en-US" w:eastAsia="zh-CN"/>
        </w:rPr>
        <w:t xml:space="preserve">包  </w:t>
      </w:r>
      <w:r>
        <w:rPr>
          <w:rFonts w:hint="eastAsia" w:ascii="宋体" w:hAnsi="宋体"/>
          <w:sz w:val="24"/>
          <w:highlight w:val="none"/>
          <w:lang w:eastAsia="zh-CN"/>
        </w:rPr>
        <w:t>）</w:t>
      </w:r>
      <w:r>
        <w:rPr>
          <w:rFonts w:hint="eastAsia" w:ascii="宋体" w:hAnsi="宋体"/>
          <w:sz w:val="24"/>
          <w:highlight w:val="none"/>
        </w:rPr>
        <w:t>并报价。为此，我方郑重声明以下几点，并负法律责任：</w:t>
      </w:r>
    </w:p>
    <w:p>
      <w:pPr>
        <w:pStyle w:val="31"/>
        <w:spacing w:after="0" w:line="500" w:lineRule="exact"/>
        <w:ind w:left="-2" w:firstLine="480"/>
        <w:rPr>
          <w:rFonts w:ascii="宋体" w:hAnsi="宋体"/>
          <w:sz w:val="24"/>
          <w:highlight w:val="none"/>
        </w:rPr>
      </w:pPr>
      <w:r>
        <w:rPr>
          <w:rFonts w:ascii="宋体" w:hAnsi="宋体"/>
          <w:sz w:val="24"/>
          <w:highlight w:val="none"/>
        </w:rPr>
        <w:t>1</w:t>
      </w:r>
      <w:r>
        <w:rPr>
          <w:rFonts w:hint="eastAsia" w:ascii="宋体" w:hAnsi="宋体"/>
          <w:sz w:val="24"/>
          <w:highlight w:val="none"/>
        </w:rPr>
        <w:t>、我方提交的响应文件，正本1份，副本份；电子版份。</w:t>
      </w:r>
    </w:p>
    <w:p>
      <w:pPr>
        <w:pStyle w:val="31"/>
        <w:spacing w:after="0" w:line="500" w:lineRule="exact"/>
        <w:ind w:left="-2" w:firstLine="480"/>
        <w:rPr>
          <w:rFonts w:ascii="宋体" w:hAnsi="宋体"/>
          <w:sz w:val="24"/>
          <w:highlight w:val="none"/>
        </w:rPr>
      </w:pPr>
      <w:r>
        <w:rPr>
          <w:rFonts w:ascii="宋体" w:hAnsi="宋体"/>
          <w:sz w:val="24"/>
          <w:highlight w:val="none"/>
        </w:rPr>
        <w:t>2</w:t>
      </w:r>
      <w:r>
        <w:rPr>
          <w:rFonts w:hint="eastAsia" w:ascii="宋体" w:hAnsi="宋体"/>
          <w:sz w:val="24"/>
          <w:highlight w:val="none"/>
        </w:rPr>
        <w:t>、如果我方的响应文件被接受，我方将履行采购文件中规定的每一项要求，并按我方响应文件中的承诺按期、保质、保量提供服务。</w:t>
      </w:r>
    </w:p>
    <w:p>
      <w:pPr>
        <w:pStyle w:val="31"/>
        <w:spacing w:after="0" w:line="500" w:lineRule="exact"/>
        <w:ind w:left="-2" w:firstLine="480"/>
        <w:rPr>
          <w:rFonts w:ascii="宋体" w:hAnsi="宋体"/>
          <w:sz w:val="24"/>
          <w:highlight w:val="none"/>
        </w:rPr>
      </w:pPr>
      <w:r>
        <w:rPr>
          <w:rFonts w:ascii="宋体" w:hAnsi="宋体"/>
          <w:sz w:val="24"/>
          <w:highlight w:val="none"/>
        </w:rPr>
        <w:t>3</w:t>
      </w:r>
      <w:r>
        <w:rPr>
          <w:rFonts w:hint="eastAsia" w:ascii="宋体" w:hAnsi="宋体"/>
          <w:sz w:val="24"/>
          <w:highlight w:val="none"/>
        </w:rPr>
        <w:t>、我方理解，最低报价不是成交的唯一条件，你们有选择成交人的权利。</w:t>
      </w:r>
    </w:p>
    <w:p>
      <w:pPr>
        <w:pStyle w:val="31"/>
        <w:spacing w:after="0" w:line="500" w:lineRule="exact"/>
        <w:ind w:left="-2" w:firstLine="480"/>
        <w:rPr>
          <w:rFonts w:ascii="宋体" w:hAnsi="宋体"/>
          <w:sz w:val="24"/>
          <w:highlight w:val="none"/>
        </w:rPr>
      </w:pPr>
      <w:r>
        <w:rPr>
          <w:rFonts w:ascii="宋体" w:hAnsi="宋体"/>
          <w:sz w:val="24"/>
          <w:highlight w:val="none"/>
        </w:rPr>
        <w:t>4</w:t>
      </w:r>
      <w:r>
        <w:rPr>
          <w:rFonts w:hint="eastAsia" w:ascii="宋体" w:hAnsi="宋体"/>
          <w:sz w:val="24"/>
          <w:highlight w:val="none"/>
        </w:rPr>
        <w:t>、我方愿按《中华人民共和国民法典》履行自己的全部责任。</w:t>
      </w:r>
    </w:p>
    <w:p>
      <w:pPr>
        <w:pStyle w:val="31"/>
        <w:spacing w:after="0" w:line="500" w:lineRule="exact"/>
        <w:ind w:left="-2" w:firstLine="480"/>
        <w:rPr>
          <w:rFonts w:ascii="宋体" w:hAnsi="宋体"/>
          <w:sz w:val="24"/>
          <w:highlight w:val="none"/>
        </w:rPr>
      </w:pPr>
      <w:r>
        <w:rPr>
          <w:rFonts w:ascii="宋体" w:hAnsi="宋体"/>
          <w:sz w:val="24"/>
          <w:highlight w:val="none"/>
        </w:rPr>
        <w:t>5</w:t>
      </w:r>
      <w:r>
        <w:rPr>
          <w:rFonts w:hint="eastAsia" w:ascii="宋体" w:hAnsi="宋体"/>
          <w:sz w:val="24"/>
          <w:highlight w:val="none"/>
        </w:rPr>
        <w:t>、我方同意按采购文件规定交纳磋商保证金，遵守贵机构有关磋商的各项规定。</w:t>
      </w:r>
    </w:p>
    <w:p>
      <w:pPr>
        <w:pStyle w:val="31"/>
        <w:spacing w:after="0" w:line="500" w:lineRule="exact"/>
        <w:ind w:left="-2" w:firstLine="480"/>
        <w:rPr>
          <w:rFonts w:ascii="宋体" w:hAnsi="宋体"/>
          <w:sz w:val="24"/>
          <w:highlight w:val="none"/>
        </w:rPr>
      </w:pPr>
      <w:r>
        <w:rPr>
          <w:rFonts w:ascii="宋体" w:hAnsi="宋体"/>
          <w:sz w:val="24"/>
          <w:highlight w:val="none"/>
        </w:rPr>
        <w:t>6</w:t>
      </w:r>
      <w:r>
        <w:rPr>
          <w:rFonts w:hint="eastAsia" w:ascii="宋体" w:hAnsi="宋体"/>
          <w:sz w:val="24"/>
          <w:highlight w:val="none"/>
        </w:rPr>
        <w:t>、我方同意本响应文件在采购文件规定的提交响应文件截止时间后，在采购文件规定的报价有效期期满前对我方具有约束力，且随时准备接受你方发出的成交通知书。</w:t>
      </w:r>
    </w:p>
    <w:p>
      <w:pPr>
        <w:pStyle w:val="31"/>
        <w:spacing w:after="0" w:line="500" w:lineRule="exact"/>
        <w:ind w:left="-2" w:firstLine="480"/>
        <w:rPr>
          <w:rFonts w:ascii="宋体" w:hAnsi="宋体"/>
          <w:sz w:val="24"/>
          <w:highlight w:val="none"/>
        </w:rPr>
      </w:pPr>
      <w:r>
        <w:rPr>
          <w:rFonts w:ascii="宋体" w:hAnsi="宋体"/>
          <w:sz w:val="24"/>
          <w:highlight w:val="none"/>
        </w:rPr>
        <w:t>7</w:t>
      </w:r>
      <w:r>
        <w:rPr>
          <w:rFonts w:hint="eastAsia" w:ascii="宋体" w:hAnsi="宋体"/>
          <w:sz w:val="24"/>
          <w:highlight w:val="none"/>
        </w:rPr>
        <w:t>、与本报价有关的一切正式往来通讯请寄：</w:t>
      </w:r>
    </w:p>
    <w:p>
      <w:pPr>
        <w:pStyle w:val="31"/>
        <w:spacing w:after="0" w:line="500" w:lineRule="exact"/>
        <w:ind w:left="571" w:leftChars="272" w:firstLine="382"/>
        <w:rPr>
          <w:rFonts w:ascii="宋体" w:hAnsi="宋体"/>
          <w:sz w:val="24"/>
          <w:highlight w:val="none"/>
        </w:rPr>
      </w:pPr>
    </w:p>
    <w:p>
      <w:pPr>
        <w:pStyle w:val="31"/>
        <w:spacing w:after="0" w:line="500" w:lineRule="exact"/>
        <w:ind w:left="571" w:leftChars="272" w:firstLine="382"/>
        <w:rPr>
          <w:rFonts w:ascii="宋体" w:hAnsi="宋体"/>
          <w:sz w:val="24"/>
          <w:highlight w:val="none"/>
        </w:rPr>
      </w:pPr>
      <w:r>
        <w:rPr>
          <w:rFonts w:hint="eastAsia" w:ascii="宋体" w:hAnsi="宋体"/>
          <w:sz w:val="24"/>
          <w:highlight w:val="none"/>
        </w:rPr>
        <w:t>响应人代表姓名、职务（印刷体）：</w:t>
      </w:r>
    </w:p>
    <w:p>
      <w:pPr>
        <w:pStyle w:val="31"/>
        <w:spacing w:after="0" w:line="500" w:lineRule="exact"/>
        <w:ind w:left="571" w:leftChars="272" w:firstLine="382"/>
        <w:rPr>
          <w:rFonts w:ascii="宋体" w:hAnsi="宋体"/>
          <w:sz w:val="24"/>
          <w:highlight w:val="none"/>
        </w:rPr>
      </w:pPr>
      <w:r>
        <w:rPr>
          <w:rFonts w:hint="eastAsia" w:ascii="宋体" w:hAnsi="宋体"/>
          <w:sz w:val="24"/>
          <w:highlight w:val="none"/>
        </w:rPr>
        <w:t>响应人单位全称（公章）</w:t>
      </w:r>
    </w:p>
    <w:p>
      <w:pPr>
        <w:pStyle w:val="31"/>
        <w:spacing w:after="0" w:line="500" w:lineRule="exact"/>
        <w:ind w:left="571" w:leftChars="272" w:firstLine="382"/>
        <w:rPr>
          <w:rFonts w:ascii="宋体" w:hAnsi="宋体"/>
          <w:sz w:val="24"/>
          <w:highlight w:val="none"/>
        </w:rPr>
      </w:pPr>
      <w:r>
        <w:rPr>
          <w:rFonts w:hint="eastAsia" w:ascii="宋体" w:hAnsi="宋体"/>
          <w:sz w:val="24"/>
          <w:highlight w:val="none"/>
        </w:rPr>
        <w:t>开户银行名称：</w:t>
      </w:r>
    </w:p>
    <w:p>
      <w:pPr>
        <w:pStyle w:val="31"/>
        <w:spacing w:after="0" w:line="500" w:lineRule="exact"/>
        <w:ind w:left="571" w:leftChars="272" w:firstLine="382"/>
        <w:rPr>
          <w:rFonts w:ascii="宋体" w:hAnsi="宋体"/>
          <w:sz w:val="24"/>
          <w:highlight w:val="none"/>
        </w:rPr>
      </w:pPr>
      <w:r>
        <w:rPr>
          <w:rFonts w:hint="eastAsia" w:ascii="宋体" w:hAnsi="宋体"/>
          <w:sz w:val="24"/>
          <w:highlight w:val="none"/>
        </w:rPr>
        <w:t>开户银行账号：</w:t>
      </w:r>
    </w:p>
    <w:p>
      <w:pPr>
        <w:pStyle w:val="31"/>
        <w:spacing w:after="0" w:line="500" w:lineRule="exact"/>
        <w:ind w:left="571" w:leftChars="272" w:firstLine="382"/>
        <w:rPr>
          <w:rFonts w:ascii="宋体" w:hAnsi="宋体"/>
          <w:sz w:val="24"/>
          <w:highlight w:val="none"/>
        </w:rPr>
      </w:pPr>
      <w:r>
        <w:rPr>
          <w:rFonts w:hint="eastAsia" w:ascii="宋体" w:hAnsi="宋体"/>
          <w:sz w:val="24"/>
          <w:highlight w:val="none"/>
        </w:rPr>
        <w:t>开户银行地址：</w:t>
      </w:r>
    </w:p>
    <w:p>
      <w:pPr>
        <w:pStyle w:val="31"/>
        <w:spacing w:after="0" w:line="500" w:lineRule="exact"/>
        <w:ind w:left="571" w:leftChars="272" w:firstLine="382"/>
        <w:rPr>
          <w:rFonts w:ascii="宋体" w:hAnsi="宋体"/>
          <w:sz w:val="24"/>
          <w:highlight w:val="none"/>
        </w:rPr>
      </w:pPr>
      <w:r>
        <w:rPr>
          <w:rFonts w:hint="eastAsia" w:ascii="宋体" w:hAnsi="宋体"/>
          <w:sz w:val="24"/>
          <w:highlight w:val="none"/>
        </w:rPr>
        <w:t>法定代表人或授权代理人签字或盖章：</w:t>
      </w:r>
    </w:p>
    <w:p>
      <w:pPr>
        <w:pStyle w:val="31"/>
        <w:spacing w:after="0" w:line="500" w:lineRule="exact"/>
        <w:ind w:left="571" w:leftChars="272" w:firstLine="382"/>
        <w:rPr>
          <w:rFonts w:ascii="宋体" w:hAnsi="宋体"/>
          <w:sz w:val="24"/>
          <w:highlight w:val="none"/>
        </w:rPr>
      </w:pPr>
      <w:r>
        <w:rPr>
          <w:rFonts w:hint="eastAsia" w:ascii="宋体" w:hAnsi="宋体"/>
          <w:sz w:val="24"/>
          <w:highlight w:val="none"/>
        </w:rPr>
        <w:t>地址：</w:t>
      </w:r>
    </w:p>
    <w:p>
      <w:pPr>
        <w:pStyle w:val="31"/>
        <w:spacing w:after="0" w:line="500" w:lineRule="exact"/>
        <w:ind w:left="571" w:leftChars="272" w:firstLine="382"/>
        <w:rPr>
          <w:rFonts w:ascii="宋体" w:hAnsi="宋体"/>
          <w:sz w:val="24"/>
          <w:highlight w:val="none"/>
        </w:rPr>
      </w:pPr>
      <w:r>
        <w:rPr>
          <w:rFonts w:hint="eastAsia" w:ascii="宋体" w:hAnsi="宋体"/>
          <w:sz w:val="24"/>
          <w:highlight w:val="none"/>
        </w:rPr>
        <w:t>邮政编码：</w:t>
      </w:r>
    </w:p>
    <w:p>
      <w:pPr>
        <w:pStyle w:val="31"/>
        <w:spacing w:after="0" w:line="500" w:lineRule="exact"/>
        <w:ind w:left="571" w:leftChars="272" w:firstLine="382"/>
        <w:rPr>
          <w:rFonts w:ascii="宋体" w:hAnsi="宋体"/>
          <w:sz w:val="24"/>
          <w:highlight w:val="none"/>
        </w:rPr>
      </w:pPr>
      <w:r>
        <w:rPr>
          <w:rFonts w:hint="eastAsia" w:ascii="宋体" w:hAnsi="宋体"/>
          <w:sz w:val="24"/>
          <w:highlight w:val="none"/>
        </w:rPr>
        <w:t>电话：</w:t>
      </w:r>
    </w:p>
    <w:p>
      <w:pPr>
        <w:pStyle w:val="31"/>
        <w:spacing w:after="0" w:line="500" w:lineRule="exact"/>
        <w:ind w:left="571" w:leftChars="272" w:firstLine="382"/>
        <w:rPr>
          <w:rFonts w:ascii="宋体" w:hAnsi="宋体"/>
          <w:sz w:val="24"/>
          <w:highlight w:val="none"/>
        </w:rPr>
      </w:pPr>
      <w:r>
        <w:rPr>
          <w:rFonts w:hint="eastAsia" w:ascii="宋体" w:hAnsi="宋体"/>
          <w:sz w:val="24"/>
          <w:highlight w:val="none"/>
        </w:rPr>
        <w:t>传真：</w:t>
      </w:r>
    </w:p>
    <w:p>
      <w:pPr>
        <w:pStyle w:val="31"/>
        <w:spacing w:after="0" w:line="500" w:lineRule="exact"/>
        <w:ind w:left="6660" w:firstLine="480"/>
        <w:rPr>
          <w:rFonts w:ascii="宋体" w:hAnsi="宋体"/>
          <w:sz w:val="24"/>
          <w:highlight w:val="none"/>
        </w:rPr>
      </w:pPr>
      <w:r>
        <w:rPr>
          <w:rFonts w:hint="eastAsia" w:ascii="宋体" w:hAnsi="宋体"/>
          <w:sz w:val="24"/>
          <w:highlight w:val="none"/>
        </w:rPr>
        <w:t>年月日</w:t>
      </w:r>
    </w:p>
    <w:p>
      <w:pPr>
        <w:pStyle w:val="4"/>
        <w:spacing w:before="120" w:after="120" w:line="560" w:lineRule="exact"/>
        <w:rPr>
          <w:rFonts w:ascii="宋体" w:hAnsi="宋体" w:eastAsia="宋体"/>
          <w:b w:val="0"/>
          <w:bCs w:val="0"/>
          <w:sz w:val="24"/>
          <w:szCs w:val="21"/>
          <w:highlight w:val="none"/>
        </w:rPr>
      </w:pPr>
      <w:r>
        <w:rPr>
          <w:rFonts w:ascii="宋体" w:hAnsi="宋体" w:eastAsia="宋体"/>
          <w:sz w:val="24"/>
          <w:highlight w:val="none"/>
        </w:rPr>
        <w:br w:type="page"/>
      </w:r>
      <w:bookmarkStart w:id="204" w:name="_Toc7661"/>
      <w:bookmarkStart w:id="205" w:name="_Toc22724"/>
      <w:bookmarkStart w:id="206" w:name="_Toc60585224"/>
      <w:bookmarkStart w:id="207" w:name="_Toc14913"/>
      <w:bookmarkStart w:id="208" w:name="_Toc28400"/>
      <w:r>
        <w:rPr>
          <w:rFonts w:hint="eastAsia" w:ascii="宋体" w:hAnsi="宋体" w:eastAsia="宋体"/>
          <w:b w:val="0"/>
          <w:bCs w:val="0"/>
          <w:sz w:val="24"/>
          <w:szCs w:val="21"/>
          <w:highlight w:val="none"/>
        </w:rPr>
        <w:t>格式二：授权委托书</w:t>
      </w:r>
      <w:bookmarkEnd w:id="204"/>
      <w:bookmarkEnd w:id="205"/>
      <w:bookmarkEnd w:id="206"/>
      <w:bookmarkEnd w:id="207"/>
      <w:bookmarkEnd w:id="208"/>
    </w:p>
    <w:p>
      <w:pPr>
        <w:pStyle w:val="31"/>
        <w:spacing w:after="0"/>
        <w:rPr>
          <w:rFonts w:ascii="宋体" w:hAnsi="宋体"/>
          <w:highlight w:val="none"/>
        </w:rPr>
      </w:pPr>
    </w:p>
    <w:p>
      <w:pPr>
        <w:pStyle w:val="31"/>
        <w:spacing w:after="0" w:line="460" w:lineRule="exact"/>
        <w:jc w:val="center"/>
        <w:rPr>
          <w:rFonts w:ascii="宋体" w:hAnsi="宋体"/>
          <w:b/>
          <w:sz w:val="32"/>
          <w:highlight w:val="none"/>
        </w:rPr>
      </w:pPr>
      <w:r>
        <w:rPr>
          <w:rFonts w:hint="eastAsia" w:ascii="宋体" w:hAnsi="宋体"/>
          <w:b/>
          <w:sz w:val="32"/>
          <w:highlight w:val="none"/>
        </w:rPr>
        <w:t>法定代表人授权委托书</w:t>
      </w:r>
    </w:p>
    <w:p>
      <w:pPr>
        <w:pStyle w:val="31"/>
        <w:spacing w:after="0" w:line="460" w:lineRule="exact"/>
        <w:jc w:val="center"/>
        <w:rPr>
          <w:rFonts w:ascii="宋体" w:hAnsi="宋体"/>
          <w:b/>
          <w:sz w:val="32"/>
          <w:highlight w:val="none"/>
        </w:rPr>
      </w:pPr>
    </w:p>
    <w:p>
      <w:pPr>
        <w:pStyle w:val="31"/>
        <w:spacing w:after="0" w:line="560" w:lineRule="exact"/>
        <w:rPr>
          <w:rFonts w:ascii="宋体" w:hAnsi="宋体"/>
          <w:sz w:val="24"/>
          <w:highlight w:val="none"/>
        </w:rPr>
      </w:pPr>
      <w:r>
        <w:rPr>
          <w:rFonts w:hint="eastAsia" w:ascii="宋体" w:hAnsi="宋体"/>
          <w:sz w:val="24"/>
          <w:highlight w:val="none"/>
        </w:rPr>
        <w:t>山东大学齐鲁医院（青岛）、海逸恒安项目管理有限公司：</w:t>
      </w:r>
    </w:p>
    <w:p>
      <w:pPr>
        <w:pStyle w:val="31"/>
        <w:spacing w:after="0" w:line="560" w:lineRule="exact"/>
        <w:rPr>
          <w:rFonts w:ascii="宋体" w:hAnsi="宋体"/>
          <w:sz w:val="24"/>
          <w:highlight w:val="none"/>
        </w:rPr>
      </w:pPr>
    </w:p>
    <w:p>
      <w:pPr>
        <w:pStyle w:val="31"/>
        <w:spacing w:after="0" w:line="560" w:lineRule="exact"/>
        <w:ind w:firstLine="480"/>
        <w:rPr>
          <w:rFonts w:ascii="宋体" w:hAnsi="宋体"/>
          <w:sz w:val="24"/>
          <w:highlight w:val="none"/>
        </w:rPr>
      </w:pPr>
      <w:r>
        <w:rPr>
          <w:rFonts w:hint="eastAsia" w:ascii="宋体" w:hAnsi="宋体"/>
          <w:sz w:val="24"/>
          <w:highlight w:val="none"/>
        </w:rPr>
        <w:t>（响应人名称）法定代表人授权（职务或职称）（姓名）为我单位本次报价授权代理人，全权处理此次政府采购项目（项目编号：HYHAQD20___-_____）磋商活动的一切事宜。</w:t>
      </w:r>
    </w:p>
    <w:p>
      <w:pPr>
        <w:pStyle w:val="31"/>
        <w:spacing w:after="0" w:line="560" w:lineRule="exact"/>
        <w:rPr>
          <w:rFonts w:ascii="宋体" w:hAnsi="宋体"/>
          <w:sz w:val="24"/>
          <w:highlight w:val="none"/>
        </w:rPr>
      </w:pPr>
    </w:p>
    <w:p>
      <w:pPr>
        <w:pStyle w:val="31"/>
        <w:spacing w:after="0" w:line="560" w:lineRule="exact"/>
        <w:ind w:firstLine="480"/>
        <w:rPr>
          <w:rFonts w:ascii="宋体" w:hAnsi="宋体"/>
          <w:sz w:val="24"/>
          <w:highlight w:val="none"/>
        </w:rPr>
      </w:pPr>
      <w:r>
        <w:rPr>
          <w:rFonts w:hint="eastAsia" w:ascii="宋体" w:hAnsi="宋体"/>
          <w:sz w:val="24"/>
          <w:highlight w:val="none"/>
        </w:rPr>
        <w:t>特此授权。</w:t>
      </w:r>
    </w:p>
    <w:p>
      <w:pPr>
        <w:pStyle w:val="31"/>
        <w:spacing w:after="0" w:line="560" w:lineRule="exact"/>
        <w:rPr>
          <w:rFonts w:ascii="宋体" w:hAnsi="宋体"/>
          <w:sz w:val="24"/>
          <w:highlight w:val="none"/>
        </w:rPr>
      </w:pPr>
    </w:p>
    <w:p>
      <w:pPr>
        <w:pStyle w:val="31"/>
        <w:spacing w:after="0" w:line="560" w:lineRule="exact"/>
        <w:ind w:left="1260" w:hanging="420"/>
        <w:rPr>
          <w:rFonts w:ascii="宋体" w:hAnsi="宋体"/>
          <w:highlight w:val="none"/>
        </w:rPr>
      </w:pPr>
      <w:r>
        <w:rPr>
          <w:rFonts w:hint="eastAsia" w:ascii="宋体" w:hAnsi="宋体"/>
          <w:highlight w:val="none"/>
        </w:rPr>
        <w:t>（附法定代表人身份证明复印件）           （附授权代理人身份证明复印件）</w:t>
      </w:r>
    </w:p>
    <w:p>
      <w:pPr>
        <w:pStyle w:val="31"/>
        <w:spacing w:after="0" w:line="560" w:lineRule="exact"/>
        <w:ind w:firstLine="4320"/>
        <w:rPr>
          <w:rFonts w:ascii="宋体" w:hAnsi="宋体"/>
          <w:sz w:val="24"/>
          <w:highlight w:val="none"/>
        </w:rPr>
      </w:pPr>
    </w:p>
    <w:p>
      <w:pPr>
        <w:pStyle w:val="31"/>
        <w:spacing w:after="0" w:line="560" w:lineRule="exact"/>
        <w:rPr>
          <w:rFonts w:ascii="宋体" w:hAnsi="宋体"/>
          <w:sz w:val="24"/>
          <w:highlight w:val="none"/>
        </w:rPr>
      </w:pPr>
    </w:p>
    <w:p>
      <w:pPr>
        <w:pStyle w:val="31"/>
        <w:spacing w:after="0" w:line="560" w:lineRule="exact"/>
        <w:rPr>
          <w:rFonts w:ascii="宋体" w:hAnsi="宋体"/>
          <w:sz w:val="24"/>
          <w:highlight w:val="none"/>
        </w:rPr>
      </w:pPr>
    </w:p>
    <w:p>
      <w:pPr>
        <w:pStyle w:val="31"/>
        <w:spacing w:after="0" w:line="560" w:lineRule="exact"/>
        <w:rPr>
          <w:rFonts w:ascii="宋体" w:hAnsi="宋体"/>
          <w:sz w:val="24"/>
          <w:highlight w:val="none"/>
        </w:rPr>
      </w:pPr>
      <w:r>
        <w:rPr>
          <w:rFonts w:hint="eastAsia" w:ascii="宋体" w:hAnsi="宋体"/>
          <w:sz w:val="24"/>
          <w:highlight w:val="none"/>
        </w:rPr>
        <w:t>响应人单位全称（公章）：</w:t>
      </w:r>
    </w:p>
    <w:p>
      <w:pPr>
        <w:pStyle w:val="31"/>
        <w:spacing w:after="0" w:line="560" w:lineRule="exact"/>
        <w:rPr>
          <w:rFonts w:ascii="宋体" w:hAnsi="宋体"/>
          <w:sz w:val="24"/>
          <w:highlight w:val="none"/>
        </w:rPr>
      </w:pPr>
      <w:r>
        <w:rPr>
          <w:rFonts w:hint="eastAsia" w:ascii="宋体" w:hAnsi="宋体"/>
          <w:sz w:val="24"/>
          <w:highlight w:val="none"/>
        </w:rPr>
        <w:t>法定代表人签字或盖章：</w:t>
      </w:r>
    </w:p>
    <w:p>
      <w:pPr>
        <w:pStyle w:val="31"/>
        <w:spacing w:after="0" w:line="560" w:lineRule="exact"/>
        <w:rPr>
          <w:rFonts w:ascii="宋体" w:hAnsi="宋体"/>
          <w:sz w:val="24"/>
          <w:highlight w:val="none"/>
        </w:rPr>
      </w:pPr>
      <w:r>
        <w:rPr>
          <w:rFonts w:hint="eastAsia" w:ascii="宋体" w:hAnsi="宋体"/>
          <w:sz w:val="24"/>
          <w:highlight w:val="none"/>
        </w:rPr>
        <w:t>授权代理人签字：</w:t>
      </w:r>
    </w:p>
    <w:p>
      <w:pPr>
        <w:pStyle w:val="31"/>
        <w:spacing w:after="0" w:line="560" w:lineRule="exact"/>
        <w:rPr>
          <w:rFonts w:ascii="宋体" w:hAnsi="宋体"/>
          <w:sz w:val="24"/>
          <w:highlight w:val="none"/>
        </w:rPr>
      </w:pPr>
    </w:p>
    <w:p>
      <w:pPr>
        <w:pStyle w:val="31"/>
        <w:spacing w:after="0" w:line="560" w:lineRule="exact"/>
        <w:rPr>
          <w:rFonts w:ascii="宋体" w:hAnsi="宋体"/>
          <w:sz w:val="24"/>
          <w:highlight w:val="none"/>
        </w:rPr>
      </w:pPr>
    </w:p>
    <w:p>
      <w:pPr>
        <w:pStyle w:val="31"/>
        <w:spacing w:after="0" w:line="560" w:lineRule="exact"/>
        <w:rPr>
          <w:rFonts w:ascii="宋体" w:hAnsi="宋体"/>
          <w:sz w:val="24"/>
          <w:highlight w:val="none"/>
        </w:rPr>
      </w:pPr>
    </w:p>
    <w:p>
      <w:pPr>
        <w:pStyle w:val="31"/>
        <w:spacing w:after="0" w:line="560" w:lineRule="exact"/>
        <w:ind w:left="5880" w:right="283" w:rightChars="135" w:firstLine="420"/>
        <w:jc w:val="right"/>
        <w:rPr>
          <w:rFonts w:ascii="宋体" w:hAnsi="宋体"/>
          <w:sz w:val="24"/>
          <w:highlight w:val="none"/>
        </w:rPr>
      </w:pPr>
      <w:r>
        <w:rPr>
          <w:rFonts w:hint="eastAsia" w:ascii="宋体" w:hAnsi="宋体"/>
          <w:sz w:val="24"/>
          <w:highlight w:val="none"/>
        </w:rPr>
        <w:t>年月日</w:t>
      </w:r>
    </w:p>
    <w:p>
      <w:pPr>
        <w:pStyle w:val="31"/>
        <w:spacing w:after="0" w:line="560" w:lineRule="exact"/>
        <w:rPr>
          <w:rFonts w:ascii="宋体" w:hAnsi="宋体"/>
          <w:highlight w:val="none"/>
        </w:rPr>
        <w:sectPr>
          <w:headerReference r:id="rId6" w:type="default"/>
          <w:footerReference r:id="rId7" w:type="default"/>
          <w:pgSz w:w="11907" w:h="16840"/>
          <w:pgMar w:top="1418" w:right="1418" w:bottom="1418" w:left="1418" w:header="851" w:footer="822" w:gutter="0"/>
          <w:cols w:space="720" w:num="1"/>
          <w:docGrid w:linePitch="290" w:charSpace="-3931"/>
        </w:sectPr>
      </w:pPr>
    </w:p>
    <w:p>
      <w:pPr>
        <w:pStyle w:val="4"/>
        <w:spacing w:before="120" w:after="120" w:line="360" w:lineRule="exact"/>
        <w:rPr>
          <w:rFonts w:ascii="宋体" w:hAnsi="宋体" w:eastAsia="宋体"/>
          <w:b w:val="0"/>
          <w:bCs w:val="0"/>
          <w:sz w:val="24"/>
          <w:szCs w:val="21"/>
          <w:highlight w:val="none"/>
        </w:rPr>
      </w:pPr>
      <w:bookmarkStart w:id="209" w:name="_Toc10661"/>
      <w:bookmarkStart w:id="210" w:name="_Toc12211"/>
      <w:bookmarkStart w:id="211" w:name="_Toc30658"/>
      <w:bookmarkStart w:id="212" w:name="_Toc7909"/>
      <w:bookmarkStart w:id="213" w:name="_Toc60585225"/>
      <w:r>
        <w:rPr>
          <w:rFonts w:hint="eastAsia" w:ascii="宋体" w:hAnsi="宋体" w:eastAsia="宋体"/>
          <w:b w:val="0"/>
          <w:bCs w:val="0"/>
          <w:sz w:val="24"/>
          <w:szCs w:val="21"/>
          <w:highlight w:val="none"/>
        </w:rPr>
        <w:t>格式三：首轮报价一览表</w:t>
      </w:r>
      <w:bookmarkEnd w:id="209"/>
      <w:bookmarkEnd w:id="210"/>
      <w:bookmarkEnd w:id="211"/>
      <w:bookmarkEnd w:id="212"/>
      <w:bookmarkEnd w:id="213"/>
    </w:p>
    <w:p>
      <w:pPr>
        <w:widowControl/>
        <w:jc w:val="center"/>
        <w:rPr>
          <w:rFonts w:ascii="宋体" w:hAnsi="宋体"/>
          <w:b/>
          <w:sz w:val="32"/>
          <w:highlight w:val="none"/>
        </w:rPr>
      </w:pPr>
      <w:r>
        <w:rPr>
          <w:rFonts w:hint="eastAsia" w:ascii="宋体" w:hAnsi="宋体"/>
          <w:b/>
          <w:sz w:val="32"/>
          <w:highlight w:val="none"/>
        </w:rPr>
        <w:t>首轮报价一览表</w:t>
      </w:r>
    </w:p>
    <w:p>
      <w:pPr>
        <w:pStyle w:val="33"/>
        <w:spacing w:line="360" w:lineRule="exact"/>
        <w:ind w:left="0" w:leftChars="0" w:firstLine="0" w:firstLineChars="0"/>
        <w:rPr>
          <w:rFonts w:ascii="宋体" w:hAnsi="宋体"/>
          <w:bCs/>
          <w:sz w:val="24"/>
          <w:highlight w:val="none"/>
        </w:rPr>
      </w:pPr>
    </w:p>
    <w:p>
      <w:pPr>
        <w:pStyle w:val="33"/>
        <w:spacing w:line="360" w:lineRule="exact"/>
        <w:ind w:left="0" w:leftChars="0" w:firstLine="0" w:firstLineChars="0"/>
        <w:rPr>
          <w:rFonts w:ascii="宋体" w:hAnsi="宋体"/>
          <w:bCs/>
          <w:sz w:val="24"/>
          <w:highlight w:val="none"/>
        </w:rPr>
      </w:pPr>
      <w:r>
        <w:rPr>
          <w:rFonts w:hint="eastAsia" w:ascii="宋体" w:hAnsi="宋体"/>
          <w:bCs/>
          <w:sz w:val="24"/>
          <w:highlight w:val="none"/>
        </w:rPr>
        <w:t>项目编号</w:t>
      </w:r>
      <w:r>
        <w:rPr>
          <w:rFonts w:hint="eastAsia" w:ascii="宋体" w:hAnsi="宋体"/>
          <w:b/>
          <w:bCs/>
          <w:sz w:val="24"/>
          <w:highlight w:val="none"/>
        </w:rPr>
        <w:t>：</w:t>
      </w:r>
      <w:r>
        <w:rPr>
          <w:rFonts w:hint="eastAsia" w:ascii="宋体" w:hAnsi="宋体"/>
          <w:sz w:val="24"/>
          <w:highlight w:val="none"/>
        </w:rPr>
        <w:t>HYHAQD20___-_____</w:t>
      </w:r>
    </w:p>
    <w:p>
      <w:pPr>
        <w:pStyle w:val="33"/>
        <w:spacing w:line="360" w:lineRule="exact"/>
        <w:ind w:left="0" w:leftChars="0" w:firstLine="0" w:firstLineChars="0"/>
        <w:rPr>
          <w:rFonts w:hint="eastAsia" w:ascii="宋体" w:hAnsi="宋体"/>
          <w:bCs/>
          <w:sz w:val="24"/>
          <w:highlight w:val="none"/>
        </w:rPr>
      </w:pPr>
      <w:r>
        <w:rPr>
          <w:rFonts w:hint="eastAsia" w:ascii="宋体" w:hAnsi="宋体"/>
          <w:bCs/>
          <w:sz w:val="24"/>
          <w:highlight w:val="none"/>
        </w:rPr>
        <w:t>项目名称</w:t>
      </w:r>
      <w:r>
        <w:rPr>
          <w:rFonts w:hint="eastAsia" w:ascii="宋体" w:hAnsi="宋体"/>
          <w:b/>
          <w:bCs/>
          <w:sz w:val="24"/>
          <w:highlight w:val="none"/>
        </w:rPr>
        <w:t>：</w:t>
      </w:r>
      <w:r>
        <w:rPr>
          <w:rFonts w:hint="eastAsia" w:ascii="宋体" w:hAnsi="宋体"/>
          <w:bCs/>
          <w:sz w:val="24"/>
          <w:highlight w:val="none"/>
        </w:rPr>
        <w:t>____________________</w:t>
      </w:r>
    </w:p>
    <w:p>
      <w:pPr>
        <w:pStyle w:val="33"/>
        <w:spacing w:line="360" w:lineRule="exact"/>
        <w:ind w:left="0" w:leftChars="0" w:firstLine="0" w:firstLineChars="0"/>
        <w:rPr>
          <w:rFonts w:hint="eastAsia" w:ascii="宋体" w:hAnsi="宋体"/>
          <w:bCs/>
          <w:sz w:val="24"/>
          <w:highlight w:val="none"/>
        </w:rPr>
      </w:pPr>
      <w:r>
        <w:rPr>
          <w:rFonts w:hint="eastAsia" w:ascii="宋体" w:hAnsi="宋体"/>
          <w:bCs/>
          <w:sz w:val="24"/>
          <w:highlight w:val="none"/>
          <w:lang w:val="en-US" w:eastAsia="zh-CN"/>
        </w:rPr>
        <w:t>包号</w:t>
      </w:r>
      <w:r>
        <w:rPr>
          <w:rFonts w:hint="eastAsia" w:ascii="宋体" w:hAnsi="宋体"/>
          <w:b/>
          <w:bCs/>
          <w:sz w:val="24"/>
          <w:highlight w:val="none"/>
        </w:rPr>
        <w:t>：</w:t>
      </w:r>
      <w:r>
        <w:rPr>
          <w:rFonts w:hint="eastAsia" w:ascii="宋体" w:hAnsi="宋体"/>
          <w:bCs/>
          <w:sz w:val="24"/>
          <w:highlight w:val="none"/>
        </w:rPr>
        <w:t>__________</w:t>
      </w:r>
    </w:p>
    <w:tbl>
      <w:tblPr>
        <w:tblStyle w:val="76"/>
        <w:tblW w:w="9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2"/>
        <w:gridCol w:w="6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0" w:hRule="atLeast"/>
          <w:jc w:val="center"/>
        </w:trPr>
        <w:tc>
          <w:tcPr>
            <w:tcW w:w="2812" w:type="dxa"/>
            <w:vAlign w:val="center"/>
          </w:tcPr>
          <w:p>
            <w:pPr>
              <w:spacing w:line="360" w:lineRule="auto"/>
              <w:jc w:val="center"/>
              <w:rPr>
                <w:rFonts w:ascii="宋体" w:hAnsi="宋体"/>
                <w:b/>
                <w:sz w:val="24"/>
                <w:highlight w:val="none"/>
              </w:rPr>
            </w:pPr>
            <w:r>
              <w:rPr>
                <w:rFonts w:hint="eastAsia" w:ascii="宋体" w:hAnsi="宋体"/>
                <w:b/>
                <w:sz w:val="24"/>
                <w:highlight w:val="none"/>
              </w:rPr>
              <w:t>响应人名称</w:t>
            </w:r>
          </w:p>
        </w:tc>
        <w:tc>
          <w:tcPr>
            <w:tcW w:w="6487" w:type="dxa"/>
            <w:vAlign w:val="center"/>
          </w:tcPr>
          <w:p>
            <w:pPr>
              <w:spacing w:line="360" w:lineRule="auto"/>
              <w:jc w:val="center"/>
              <w:rPr>
                <w:rFonts w:ascii="宋体" w:hAnsi="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8" w:hRule="atLeast"/>
          <w:jc w:val="center"/>
        </w:trPr>
        <w:tc>
          <w:tcPr>
            <w:tcW w:w="2812" w:type="dxa"/>
            <w:vAlign w:val="center"/>
          </w:tcPr>
          <w:p>
            <w:pPr>
              <w:tabs>
                <w:tab w:val="left" w:pos="1337"/>
              </w:tabs>
              <w:spacing w:line="360" w:lineRule="auto"/>
              <w:ind w:left="240" w:hanging="240" w:hangingChars="100"/>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首次响应报价</w:t>
            </w:r>
          </w:p>
        </w:tc>
        <w:tc>
          <w:tcPr>
            <w:tcW w:w="6487" w:type="dxa"/>
            <w:vAlign w:val="center"/>
          </w:tcPr>
          <w:p>
            <w:pPr>
              <w:tabs>
                <w:tab w:val="left" w:pos="1337"/>
              </w:tabs>
              <w:spacing w:line="360" w:lineRule="auto"/>
              <w:rPr>
                <w:rFonts w:hint="eastAsia" w:ascii="宋体" w:hAnsi="宋体" w:cs="宋体"/>
                <w:sz w:val="24"/>
                <w:highlight w:val="none"/>
                <w:lang w:val="en-US" w:eastAsia="zh-CN"/>
              </w:rPr>
            </w:pPr>
            <w:r>
              <w:rPr>
                <w:rFonts w:hint="eastAsia" w:ascii="宋体" w:hAnsi="宋体" w:cs="宋体"/>
                <w:sz w:val="24"/>
                <w:highlight w:val="none"/>
                <w:lang w:val="en-US" w:eastAsia="zh-CN"/>
              </w:rPr>
              <w:t>大写：</w:t>
            </w:r>
          </w:p>
          <w:p>
            <w:pPr>
              <w:tabs>
                <w:tab w:val="left" w:pos="1337"/>
              </w:tabs>
              <w:spacing w:line="360" w:lineRule="auto"/>
              <w:rPr>
                <w:rFonts w:hint="eastAsia" w:ascii="宋体" w:hAnsi="宋体" w:eastAsia="宋体" w:cs="宋体"/>
                <w:sz w:val="24"/>
                <w:highlight w:val="none"/>
                <w:lang w:eastAsia="zh-CN"/>
              </w:rPr>
            </w:pPr>
            <w:r>
              <w:rPr>
                <w:rFonts w:hint="eastAsia" w:ascii="宋体" w:hAnsi="宋体" w:cs="宋体"/>
                <w:sz w:val="24"/>
                <w:highlight w:val="none"/>
                <w:lang w:val="en-US" w:eastAsia="zh-CN"/>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0" w:hRule="atLeast"/>
          <w:jc w:val="center"/>
        </w:trPr>
        <w:tc>
          <w:tcPr>
            <w:tcW w:w="2812" w:type="dxa"/>
            <w:vAlign w:val="center"/>
          </w:tcPr>
          <w:p>
            <w:pPr>
              <w:tabs>
                <w:tab w:val="left" w:pos="1337"/>
              </w:tabs>
              <w:ind w:left="27" w:leftChars="13"/>
              <w:jc w:val="center"/>
              <w:rPr>
                <w:rFonts w:ascii="宋体" w:hAnsi="宋体"/>
                <w:sz w:val="24"/>
                <w:highlight w:val="none"/>
              </w:rPr>
            </w:pPr>
            <w:r>
              <w:rPr>
                <w:rFonts w:hint="eastAsia" w:ascii="宋体" w:hAnsi="宋体"/>
                <w:sz w:val="24"/>
                <w:highlight w:val="none"/>
              </w:rPr>
              <w:t>对采购文件的认同程度声明（是否完全认同）</w:t>
            </w:r>
          </w:p>
        </w:tc>
        <w:tc>
          <w:tcPr>
            <w:tcW w:w="6487" w:type="dxa"/>
            <w:vAlign w:val="center"/>
          </w:tcPr>
          <w:p>
            <w:pPr>
              <w:tabs>
                <w:tab w:val="left" w:pos="1337"/>
              </w:tabs>
              <w:ind w:left="191"/>
              <w:jc w:val="center"/>
              <w:rPr>
                <w:rFonts w:ascii="宋体" w:hAnsi="宋体"/>
                <w:sz w:val="24"/>
                <w:highlight w:val="none"/>
              </w:rPr>
            </w:pPr>
          </w:p>
        </w:tc>
      </w:tr>
    </w:tbl>
    <w:p>
      <w:pPr>
        <w:spacing w:line="360" w:lineRule="exact"/>
        <w:ind w:right="187"/>
        <w:rPr>
          <w:rFonts w:ascii="宋体" w:hAnsi="宋体"/>
          <w:bCs/>
          <w:sz w:val="24"/>
          <w:highlight w:val="none"/>
          <w:u w:val="single"/>
        </w:rPr>
      </w:pPr>
      <w:r>
        <w:rPr>
          <w:rFonts w:hint="eastAsia" w:ascii="宋体" w:hAnsi="宋体"/>
          <w:sz w:val="24"/>
          <w:highlight w:val="none"/>
        </w:rPr>
        <w:t>响应人单位全称</w:t>
      </w:r>
      <w:r>
        <w:rPr>
          <w:rFonts w:hint="eastAsia" w:ascii="宋体" w:hAnsi="宋体"/>
          <w:bCs/>
          <w:sz w:val="24"/>
          <w:highlight w:val="none"/>
        </w:rPr>
        <w:t>（公章）：</w:t>
      </w:r>
    </w:p>
    <w:p>
      <w:pPr>
        <w:spacing w:line="360" w:lineRule="exact"/>
        <w:ind w:right="187"/>
        <w:rPr>
          <w:rFonts w:ascii="宋体" w:hAnsi="宋体"/>
          <w:bCs/>
          <w:sz w:val="24"/>
          <w:highlight w:val="none"/>
          <w:u w:val="single"/>
        </w:rPr>
      </w:pPr>
    </w:p>
    <w:p>
      <w:pPr>
        <w:spacing w:line="400" w:lineRule="exact"/>
        <w:ind w:firstLine="0" w:firstLineChars="0"/>
        <w:jc w:val="both"/>
        <w:rPr>
          <w:rFonts w:hint="eastAsia" w:ascii="宋体" w:hAnsi="宋体"/>
          <w:bCs/>
          <w:sz w:val="24"/>
          <w:highlight w:val="none"/>
        </w:rPr>
      </w:pPr>
      <w:r>
        <w:rPr>
          <w:rFonts w:hint="eastAsia" w:ascii="宋体" w:hAnsi="宋体"/>
          <w:bCs/>
          <w:sz w:val="24"/>
          <w:highlight w:val="none"/>
        </w:rPr>
        <w:t>法定代表人或授权代理人</w:t>
      </w:r>
      <w:r>
        <w:rPr>
          <w:rFonts w:hint="eastAsia" w:ascii="宋体" w:hAnsi="宋体"/>
          <w:sz w:val="24"/>
          <w:highlight w:val="none"/>
        </w:rPr>
        <w:t>签字或盖章</w:t>
      </w:r>
      <w:r>
        <w:rPr>
          <w:rFonts w:hint="eastAsia" w:ascii="宋体" w:hAnsi="宋体"/>
          <w:bCs/>
          <w:sz w:val="24"/>
          <w:highlight w:val="none"/>
        </w:rPr>
        <w:t>：</w:t>
      </w:r>
    </w:p>
    <w:p>
      <w:pPr>
        <w:spacing w:line="400" w:lineRule="exact"/>
        <w:ind w:firstLine="720" w:firstLineChars="300"/>
        <w:jc w:val="right"/>
        <w:rPr>
          <w:rFonts w:ascii="宋体" w:hAnsi="宋体"/>
          <w:bCs/>
          <w:sz w:val="24"/>
          <w:highlight w:val="none"/>
        </w:rPr>
      </w:pPr>
      <w:r>
        <w:rPr>
          <w:rFonts w:hint="eastAsia" w:ascii="宋体" w:hAnsi="宋体"/>
          <w:bCs/>
          <w:sz w:val="24"/>
          <w:highlight w:val="none"/>
        </w:rPr>
        <w:t>年月日</w:t>
      </w:r>
    </w:p>
    <w:p>
      <w:pPr>
        <w:spacing w:line="360" w:lineRule="exact"/>
        <w:ind w:right="187"/>
        <w:rPr>
          <w:rFonts w:ascii="宋体" w:hAnsi="宋体"/>
          <w:bCs/>
          <w:sz w:val="24"/>
          <w:highlight w:val="none"/>
        </w:rPr>
      </w:pPr>
    </w:p>
    <w:p>
      <w:pPr>
        <w:spacing w:line="240" w:lineRule="auto"/>
        <w:ind w:firstLine="0" w:firstLineChars="0"/>
        <w:rPr>
          <w:rFonts w:ascii="宋体" w:hAnsi="宋体"/>
          <w:highlight w:val="none"/>
        </w:rPr>
      </w:pPr>
      <w:r>
        <w:rPr>
          <w:rFonts w:ascii="宋体" w:hAnsi="宋体"/>
          <w:highlight w:val="none"/>
        </w:rPr>
        <w:br w:type="page"/>
      </w:r>
    </w:p>
    <w:p>
      <w:pPr>
        <w:widowControl/>
        <w:jc w:val="center"/>
        <w:rPr>
          <w:rFonts w:ascii="宋体" w:hAnsi="宋体"/>
          <w:b/>
          <w:sz w:val="32"/>
          <w:highlight w:val="none"/>
        </w:rPr>
      </w:pPr>
      <w:r>
        <w:rPr>
          <w:rFonts w:hint="eastAsia" w:ascii="宋体" w:hAnsi="宋体"/>
          <w:b/>
          <w:sz w:val="32"/>
          <w:highlight w:val="none"/>
          <w:lang w:val="en-US" w:eastAsia="zh-CN"/>
        </w:rPr>
        <w:t>分项报价</w:t>
      </w:r>
      <w:r>
        <w:rPr>
          <w:rFonts w:hint="eastAsia" w:ascii="宋体" w:hAnsi="宋体"/>
          <w:b/>
          <w:sz w:val="32"/>
          <w:highlight w:val="none"/>
        </w:rPr>
        <w:t>表</w:t>
      </w:r>
    </w:p>
    <w:p>
      <w:pPr>
        <w:pStyle w:val="33"/>
        <w:spacing w:line="360" w:lineRule="exact"/>
        <w:ind w:left="0" w:leftChars="0" w:firstLine="0" w:firstLineChars="0"/>
        <w:rPr>
          <w:rFonts w:ascii="宋体" w:hAnsi="宋体"/>
          <w:bCs/>
          <w:sz w:val="24"/>
          <w:highlight w:val="none"/>
        </w:rPr>
      </w:pPr>
    </w:p>
    <w:p>
      <w:pPr>
        <w:pStyle w:val="33"/>
        <w:spacing w:line="360" w:lineRule="exact"/>
        <w:ind w:left="0" w:leftChars="0" w:firstLine="0" w:firstLineChars="0"/>
        <w:rPr>
          <w:rFonts w:ascii="宋体" w:hAnsi="宋体"/>
          <w:bCs/>
          <w:sz w:val="24"/>
          <w:highlight w:val="none"/>
        </w:rPr>
      </w:pPr>
      <w:r>
        <w:rPr>
          <w:rFonts w:hint="eastAsia" w:ascii="宋体" w:hAnsi="宋体"/>
          <w:bCs/>
          <w:sz w:val="24"/>
          <w:highlight w:val="none"/>
        </w:rPr>
        <w:t>项目编号</w:t>
      </w:r>
      <w:r>
        <w:rPr>
          <w:rFonts w:hint="eastAsia" w:ascii="宋体" w:hAnsi="宋体"/>
          <w:b/>
          <w:bCs/>
          <w:sz w:val="24"/>
          <w:highlight w:val="none"/>
        </w:rPr>
        <w:t>：</w:t>
      </w:r>
      <w:r>
        <w:rPr>
          <w:rFonts w:hint="eastAsia" w:ascii="宋体" w:hAnsi="宋体"/>
          <w:sz w:val="24"/>
          <w:highlight w:val="none"/>
        </w:rPr>
        <w:t>HYHAQD20___-_____</w:t>
      </w:r>
    </w:p>
    <w:p>
      <w:pPr>
        <w:pStyle w:val="33"/>
        <w:spacing w:line="360" w:lineRule="exact"/>
        <w:ind w:left="0" w:leftChars="0" w:firstLine="0" w:firstLineChars="0"/>
        <w:rPr>
          <w:rFonts w:hint="eastAsia" w:ascii="宋体" w:hAnsi="宋体"/>
          <w:bCs/>
          <w:sz w:val="24"/>
          <w:highlight w:val="none"/>
        </w:rPr>
      </w:pPr>
      <w:r>
        <w:rPr>
          <w:rFonts w:hint="eastAsia" w:ascii="宋体" w:hAnsi="宋体"/>
          <w:bCs/>
          <w:sz w:val="24"/>
          <w:highlight w:val="none"/>
        </w:rPr>
        <w:t>项目名称</w:t>
      </w:r>
      <w:r>
        <w:rPr>
          <w:rFonts w:hint="eastAsia" w:ascii="宋体" w:hAnsi="宋体"/>
          <w:b/>
          <w:bCs/>
          <w:sz w:val="24"/>
          <w:highlight w:val="none"/>
        </w:rPr>
        <w:t>：</w:t>
      </w:r>
      <w:r>
        <w:rPr>
          <w:rFonts w:hint="eastAsia" w:ascii="宋体" w:hAnsi="宋体"/>
          <w:bCs/>
          <w:sz w:val="24"/>
          <w:highlight w:val="none"/>
        </w:rPr>
        <w:t>____________________</w:t>
      </w:r>
    </w:p>
    <w:p>
      <w:pPr>
        <w:pStyle w:val="33"/>
        <w:spacing w:line="360" w:lineRule="exact"/>
        <w:ind w:left="0" w:leftChars="0" w:firstLine="0" w:firstLineChars="0"/>
        <w:rPr>
          <w:rFonts w:hint="eastAsia" w:ascii="宋体" w:hAnsi="宋体"/>
          <w:bCs/>
          <w:sz w:val="24"/>
          <w:highlight w:val="none"/>
        </w:rPr>
      </w:pPr>
    </w:p>
    <w:p>
      <w:pPr>
        <w:spacing w:line="360" w:lineRule="exact"/>
        <w:ind w:right="187"/>
        <w:rPr>
          <w:rFonts w:hint="eastAsia" w:ascii="宋体" w:hAnsi="宋体"/>
          <w:sz w:val="24"/>
          <w:highlight w:val="none"/>
        </w:rPr>
      </w:pPr>
    </w:p>
    <w:tbl>
      <w:tblPr>
        <w:tblStyle w:val="76"/>
        <w:tblW w:w="100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0"/>
        <w:gridCol w:w="2833"/>
        <w:gridCol w:w="4602"/>
        <w:gridCol w:w="961"/>
        <w:gridCol w:w="10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9292"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59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260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测量仪器名称</w:t>
            </w:r>
          </w:p>
        </w:tc>
        <w:tc>
          <w:tcPr>
            <w:tcW w:w="42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检测标准/校准规范名称及编号</w:t>
            </w:r>
          </w:p>
        </w:tc>
        <w:tc>
          <w:tcPr>
            <w:tcW w:w="88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参考数量</w:t>
            </w:r>
          </w:p>
        </w:tc>
        <w:tc>
          <w:tcPr>
            <w:tcW w:w="96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限制单价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9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呼吸机</w:t>
            </w:r>
          </w:p>
        </w:tc>
        <w:tc>
          <w:tcPr>
            <w:tcW w:w="423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JJF 1234 呼吸机校准规范</w:t>
            </w:r>
          </w:p>
        </w:tc>
        <w:tc>
          <w:tcPr>
            <w:tcW w:w="88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c>
          <w:tcPr>
            <w:tcW w:w="96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9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6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麻醉呼吸机</w:t>
            </w:r>
          </w:p>
        </w:tc>
        <w:tc>
          <w:tcPr>
            <w:tcW w:w="423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依据地方麻醉机校准规范</w:t>
            </w:r>
          </w:p>
        </w:tc>
        <w:tc>
          <w:tcPr>
            <w:tcW w:w="88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96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9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6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高频电刀</w:t>
            </w:r>
          </w:p>
        </w:tc>
        <w:tc>
          <w:tcPr>
            <w:tcW w:w="423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JJF 1217 高频电刀校准规范</w:t>
            </w:r>
          </w:p>
        </w:tc>
        <w:tc>
          <w:tcPr>
            <w:tcW w:w="88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96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9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6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血液透析机</w:t>
            </w:r>
          </w:p>
        </w:tc>
        <w:tc>
          <w:tcPr>
            <w:tcW w:w="423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JJF 1353 血液透析装置校准规范</w:t>
            </w:r>
          </w:p>
        </w:tc>
        <w:tc>
          <w:tcPr>
            <w:tcW w:w="88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96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3" w:hRule="atLeast"/>
        </w:trPr>
        <w:tc>
          <w:tcPr>
            <w:tcW w:w="59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6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弹性元件式一般压力表、压力真空表和真空表</w:t>
            </w:r>
          </w:p>
        </w:tc>
        <w:tc>
          <w:tcPr>
            <w:tcW w:w="423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52 弹性元件式一般压力表、压力真空表和真空表检定规程</w:t>
            </w:r>
          </w:p>
        </w:tc>
        <w:tc>
          <w:tcPr>
            <w:tcW w:w="88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w:t>
            </w:r>
          </w:p>
        </w:tc>
        <w:tc>
          <w:tcPr>
            <w:tcW w:w="96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9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6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放射性活度计</w:t>
            </w:r>
          </w:p>
        </w:tc>
        <w:tc>
          <w:tcPr>
            <w:tcW w:w="423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377 放射性活度计检定规程</w:t>
            </w:r>
          </w:p>
        </w:tc>
        <w:tc>
          <w:tcPr>
            <w:tcW w:w="88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6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59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6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α、β表面污染仪</w:t>
            </w:r>
          </w:p>
        </w:tc>
        <w:tc>
          <w:tcPr>
            <w:tcW w:w="423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478-2016《α、β表面污染仪检定规程》</w:t>
            </w:r>
          </w:p>
        </w:tc>
        <w:tc>
          <w:tcPr>
            <w:tcW w:w="88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6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3" w:hRule="atLeast"/>
        </w:trPr>
        <w:tc>
          <w:tcPr>
            <w:tcW w:w="59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6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x、γ辐射检测仪</w:t>
            </w:r>
          </w:p>
        </w:tc>
        <w:tc>
          <w:tcPr>
            <w:tcW w:w="423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393-2018《便携式X、γ辐射周围剂量当量(率)仪和监测仪检定规程》</w:t>
            </w:r>
          </w:p>
        </w:tc>
        <w:tc>
          <w:tcPr>
            <w:tcW w:w="88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6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9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26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角膜曲率计</w:t>
            </w:r>
          </w:p>
        </w:tc>
        <w:tc>
          <w:tcPr>
            <w:tcW w:w="423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1011 角膜曲率计检定规程</w:t>
            </w:r>
          </w:p>
        </w:tc>
        <w:tc>
          <w:tcPr>
            <w:tcW w:w="88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6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59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26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综合验光仪（含视力表）</w:t>
            </w:r>
          </w:p>
        </w:tc>
        <w:tc>
          <w:tcPr>
            <w:tcW w:w="423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1097 综合验光仪(含视力表)检定规程</w:t>
            </w:r>
          </w:p>
        </w:tc>
        <w:tc>
          <w:tcPr>
            <w:tcW w:w="88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6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59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260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听力计</w:t>
            </w:r>
          </w:p>
        </w:tc>
        <w:tc>
          <w:tcPr>
            <w:tcW w:w="423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388-2001 纯音听力计检定规程</w:t>
            </w:r>
          </w:p>
        </w:tc>
        <w:tc>
          <w:tcPr>
            <w:tcW w:w="88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6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强检免费</w:t>
            </w:r>
          </w:p>
        </w:tc>
      </w:tr>
    </w:tbl>
    <w:p>
      <w:pPr>
        <w:pStyle w:val="2"/>
        <w:rPr>
          <w:rFonts w:hint="eastAsia"/>
          <w:highlight w:val="none"/>
        </w:rPr>
      </w:pPr>
    </w:p>
    <w:tbl>
      <w:tblPr>
        <w:tblStyle w:val="7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86"/>
        <w:gridCol w:w="2597"/>
        <w:gridCol w:w="4174"/>
        <w:gridCol w:w="934"/>
        <w:gridCol w:w="7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000" w:type="pct"/>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398"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测量仪器名称</w:t>
            </w:r>
          </w:p>
        </w:tc>
        <w:tc>
          <w:tcPr>
            <w:tcW w:w="2247"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检测标准/校准规范名称及编号</w:t>
            </w:r>
          </w:p>
        </w:tc>
        <w:tc>
          <w:tcPr>
            <w:tcW w:w="502"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参考数量</w:t>
            </w:r>
          </w:p>
        </w:tc>
        <w:tc>
          <w:tcPr>
            <w:tcW w:w="428"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限制单价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婴儿培养箱</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JJF 1260 婴儿培养箱校准规范</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辐射保暖台</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依据地方婴儿辐射保暖台校准规范</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黄疸治疗箱</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JJF 1260 婴儿培养箱校准规范</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除颤监护仪</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JJF 1149 心脏除颤器校准规范</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注射泵（单路）</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JJF 1259 医用注射泵和输液泵校准规范</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255</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注射泵（双路）</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JJF 1259 医用注射泵和输液泵校准规范</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输液泵</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JJF 1259 医用注射泵和输液泵校准规范</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浮标式氧气吸入器</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913 浮标式氧气吸入器检定规程</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800</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数字指示秤（150kg）</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539 数字指示秤</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数字指示秤（≤60kg）</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539 数字指示秤</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模拟指示秤（150kg）</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13 模拟指示秤</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电子天平</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ascii="Cambria" w:hAnsi="Cambria" w:eastAsia="Cambria" w:cs="Cambria"/>
                <w:i w:val="0"/>
                <w:iCs w:val="0"/>
                <w:color w:val="000000"/>
                <w:sz w:val="24"/>
                <w:szCs w:val="24"/>
                <w:u w:val="none"/>
              </w:rPr>
            </w:pPr>
            <w:r>
              <w:rPr>
                <w:rFonts w:hint="default" w:ascii="Cambria" w:hAnsi="Cambria" w:eastAsia="Cambria" w:cs="Cambria"/>
                <w:i w:val="0"/>
                <w:iCs w:val="0"/>
                <w:color w:val="000000"/>
                <w:kern w:val="0"/>
                <w:sz w:val="24"/>
                <w:szCs w:val="24"/>
                <w:u w:val="none"/>
                <w:lang w:val="en-US" w:eastAsia="zh-CN" w:bidi="ar"/>
              </w:rPr>
              <w:t>JJG 1036 电子天平检定规程</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定量可调移液器（8通道）</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646 移液器</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定量可调移液器</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646 移液器</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医用离心机</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依据地方医用离心机校准规范</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酶标分析仪</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861 酶标分析仪检定规程</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血细胞分析仪</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714 血细胞分析仪检定规程</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全自动生化分析仪</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JJF 1720-2018 全自动生化分析仪校准规范</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尿液分析仪</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JJF 1129 尿液分析仪校准规范</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数字温湿度计</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JJF 1076 数字式温湿度计校准规范</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红外额温计</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JJF 1107测量人体温度的红外温度计校准规范</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热像仪</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Cambria" w:hAnsi="Cambria" w:eastAsia="Cambria" w:cs="Cambria"/>
                <w:i w:val="0"/>
                <w:iCs w:val="0"/>
                <w:color w:val="000000"/>
                <w:sz w:val="24"/>
                <w:szCs w:val="24"/>
                <w:u w:val="none"/>
              </w:rPr>
            </w:pPr>
            <w:r>
              <w:rPr>
                <w:rFonts w:hint="default" w:ascii="Cambria" w:hAnsi="Cambria" w:eastAsia="Cambria" w:cs="Cambria"/>
                <w:i w:val="0"/>
                <w:iCs w:val="0"/>
                <w:color w:val="000000"/>
                <w:kern w:val="0"/>
                <w:sz w:val="24"/>
                <w:szCs w:val="24"/>
                <w:u w:val="none"/>
                <w:lang w:val="en-US" w:eastAsia="zh-CN" w:bidi="ar"/>
              </w:rPr>
              <w:t>JJF 1101 环境试验设备温度、湿度校准规范</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医用超声诊断仪</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639 医用超声诊断仪超声源检定规程</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40台+80探头</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24</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超声经颅多普勒超声源诊断仪</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依据地方超声经颅多普勒诊断仪超</w:t>
            </w:r>
            <w:r>
              <w:rPr>
                <w:rFonts w:hint="eastAsia" w:ascii="宋体" w:hAnsi="宋体" w:eastAsia="宋体" w:cs="宋体"/>
                <w:i w:val="0"/>
                <w:iCs w:val="0"/>
                <w:color w:val="000000"/>
                <w:kern w:val="0"/>
                <w:sz w:val="24"/>
                <w:szCs w:val="24"/>
                <w:u w:val="none"/>
                <w:lang w:val="en-US" w:eastAsia="zh-CN" w:bidi="ar"/>
              </w:rPr>
              <w:t>声源校准规范</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4</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r>
              <w:rPr>
                <w:rFonts w:hint="eastAsia" w:ascii="宋体" w:hAnsi="宋体" w:cs="宋体"/>
                <w:i w:val="0"/>
                <w:iCs w:val="0"/>
                <w:color w:val="000000"/>
                <w:kern w:val="0"/>
                <w:sz w:val="24"/>
                <w:szCs w:val="24"/>
                <w:u w:val="none"/>
                <w:lang w:val="en-US" w:eastAsia="zh-CN" w:bidi="ar"/>
              </w:rPr>
              <w:t>5</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X、γ射线骨密度仪</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1050 X、γ射线骨密度仪检定规程</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r>
              <w:rPr>
                <w:rFonts w:hint="eastAsia" w:ascii="宋体" w:hAnsi="宋体" w:cs="宋体"/>
                <w:i w:val="0"/>
                <w:iCs w:val="0"/>
                <w:color w:val="000000"/>
                <w:kern w:val="0"/>
                <w:sz w:val="24"/>
                <w:szCs w:val="24"/>
                <w:u w:val="none"/>
                <w:lang w:val="en-US" w:eastAsia="zh-CN" w:bidi="ar"/>
              </w:rPr>
              <w:t>6</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医用冷藏箱</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YY/T 0086-2020 医用冷藏箱</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r>
              <w:rPr>
                <w:rFonts w:hint="eastAsia" w:ascii="宋体" w:hAnsi="宋体" w:cs="宋体"/>
                <w:i w:val="0"/>
                <w:iCs w:val="0"/>
                <w:color w:val="000000"/>
                <w:kern w:val="0"/>
                <w:sz w:val="24"/>
                <w:szCs w:val="24"/>
                <w:u w:val="none"/>
                <w:lang w:val="en-US" w:eastAsia="zh-CN" w:bidi="ar"/>
              </w:rPr>
              <w:t>7</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工业热电阻</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229工业铂铜热电阻检定规程</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r>
              <w:rPr>
                <w:rFonts w:hint="eastAsia" w:ascii="宋体" w:hAnsi="宋体" w:cs="宋体"/>
                <w:i w:val="0"/>
                <w:iCs w:val="0"/>
                <w:color w:val="000000"/>
                <w:kern w:val="0"/>
                <w:sz w:val="24"/>
                <w:szCs w:val="24"/>
                <w:u w:val="none"/>
                <w:lang w:val="en-US" w:eastAsia="zh-CN" w:bidi="ar"/>
              </w:rPr>
              <w:t>8</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流量积算仪</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1003 流量积算仪检定规程</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r>
              <w:rPr>
                <w:rFonts w:hint="eastAsia" w:ascii="宋体" w:hAnsi="宋体" w:cs="宋体"/>
                <w:i w:val="0"/>
                <w:iCs w:val="0"/>
                <w:color w:val="000000"/>
                <w:kern w:val="0"/>
                <w:sz w:val="24"/>
                <w:szCs w:val="24"/>
                <w:u w:val="none"/>
                <w:lang w:val="en-US" w:eastAsia="zh-CN" w:bidi="ar"/>
              </w:rPr>
              <w:t>9</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电磁流量计</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1033 电磁流量计</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30</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超声流量计（液体）</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1030 超声流量计</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r>
              <w:rPr>
                <w:rFonts w:hint="eastAsia" w:ascii="宋体" w:hAnsi="宋体" w:cs="宋体"/>
                <w:i w:val="0"/>
                <w:iCs w:val="0"/>
                <w:color w:val="000000"/>
                <w:kern w:val="0"/>
                <w:sz w:val="24"/>
                <w:szCs w:val="24"/>
                <w:u w:val="none"/>
                <w:lang w:val="en-US" w:eastAsia="zh-CN" w:bidi="ar"/>
              </w:rPr>
              <w:t>1</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积分仪（带温度传感器）</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JJF 1171 温度巡回检测仪校准规范</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r>
              <w:rPr>
                <w:rFonts w:hint="eastAsia" w:ascii="宋体" w:hAnsi="宋体" w:cs="宋体"/>
                <w:i w:val="0"/>
                <w:iCs w:val="0"/>
                <w:color w:val="000000"/>
                <w:kern w:val="0"/>
                <w:sz w:val="24"/>
                <w:szCs w:val="24"/>
                <w:u w:val="none"/>
                <w:lang w:val="en-US" w:eastAsia="zh-CN" w:bidi="ar"/>
              </w:rPr>
              <w:t>2</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医用数字摄影（CR、DR）系统 X射线辐射源</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1078 医用数字摄影(CR、DR)系统 X射线辐射源检定规程</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r>
              <w:rPr>
                <w:rFonts w:hint="eastAsia" w:ascii="宋体" w:hAnsi="宋体" w:cs="宋体"/>
                <w:i w:val="0"/>
                <w:iCs w:val="0"/>
                <w:color w:val="000000"/>
                <w:kern w:val="0"/>
                <w:sz w:val="24"/>
                <w:szCs w:val="24"/>
                <w:u w:val="none"/>
                <w:lang w:val="en-US" w:eastAsia="zh-CN" w:bidi="ar"/>
              </w:rPr>
              <w:t>3</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医用诊断数字减影血管造影（DSA）系统X射线辐射源</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1067 医用诊断数字减影血管造影（DSA）系统X射线辐射源检定规程</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强检免费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r>
              <w:rPr>
                <w:rFonts w:hint="eastAsia" w:ascii="宋体" w:hAnsi="宋体" w:cs="宋体"/>
                <w:i w:val="0"/>
                <w:iCs w:val="0"/>
                <w:color w:val="000000"/>
                <w:kern w:val="0"/>
                <w:sz w:val="24"/>
                <w:szCs w:val="24"/>
                <w:u w:val="none"/>
                <w:lang w:val="en-US" w:eastAsia="zh-CN" w:bidi="ar"/>
              </w:rPr>
              <w:t>4</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医用诊断X射线辐射源</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JJG 961 </w:t>
            </w:r>
            <w:r>
              <w:rPr>
                <w:rStyle w:val="185"/>
                <w:lang w:val="en-US" w:eastAsia="zh-CN" w:bidi="ar"/>
              </w:rPr>
              <w:t>医用诊断螺旋计算机断层摄影装置（ CT） X 射线辐射源检定规程</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强检免费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r>
              <w:rPr>
                <w:rFonts w:hint="eastAsia" w:ascii="宋体" w:hAnsi="宋体" w:cs="宋体"/>
                <w:i w:val="0"/>
                <w:iCs w:val="0"/>
                <w:color w:val="000000"/>
                <w:kern w:val="0"/>
                <w:sz w:val="24"/>
                <w:szCs w:val="24"/>
                <w:u w:val="none"/>
                <w:lang w:val="en-US" w:eastAsia="zh-CN" w:bidi="ar"/>
              </w:rPr>
              <w:t>5</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医用乳腺X射线辐射源</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1145 医用乳腺X射线辐射源检定规程</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强检免费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r>
              <w:rPr>
                <w:rFonts w:hint="eastAsia" w:ascii="宋体" w:hAnsi="宋体" w:cs="宋体"/>
                <w:i w:val="0"/>
                <w:iCs w:val="0"/>
                <w:color w:val="000000"/>
                <w:kern w:val="0"/>
                <w:sz w:val="24"/>
                <w:szCs w:val="24"/>
                <w:u w:val="none"/>
                <w:lang w:val="en-US" w:eastAsia="zh-CN" w:bidi="ar"/>
              </w:rPr>
              <w:t>6</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医用诊断全景牙科X射线辐射源</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1101 医用诊断全景牙科X射线辐射源检定规程</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强检免费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r>
              <w:rPr>
                <w:rFonts w:hint="eastAsia" w:ascii="宋体" w:hAnsi="宋体" w:cs="宋体"/>
                <w:i w:val="0"/>
                <w:iCs w:val="0"/>
                <w:color w:val="000000"/>
                <w:kern w:val="0"/>
                <w:sz w:val="24"/>
                <w:szCs w:val="24"/>
                <w:u w:val="none"/>
                <w:lang w:val="en-US" w:eastAsia="zh-CN" w:bidi="ar"/>
              </w:rPr>
              <w:t>7</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验光仪</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892 验光仪检定规程</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强检免费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r>
              <w:rPr>
                <w:rFonts w:hint="eastAsia" w:ascii="宋体" w:hAnsi="宋体" w:cs="宋体"/>
                <w:i w:val="0"/>
                <w:iCs w:val="0"/>
                <w:color w:val="000000"/>
                <w:kern w:val="0"/>
                <w:sz w:val="24"/>
                <w:szCs w:val="24"/>
                <w:u w:val="none"/>
                <w:lang w:val="en-US" w:eastAsia="zh-CN" w:bidi="ar"/>
              </w:rPr>
              <w:t>8</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焦度计</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580 焦度计检定规程</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强检免费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r>
              <w:rPr>
                <w:rFonts w:hint="eastAsia" w:ascii="宋体" w:hAnsi="宋体" w:cs="宋体"/>
                <w:i w:val="0"/>
                <w:iCs w:val="0"/>
                <w:color w:val="000000"/>
                <w:kern w:val="0"/>
                <w:sz w:val="24"/>
                <w:szCs w:val="24"/>
                <w:u w:val="none"/>
                <w:lang w:val="en-US" w:eastAsia="zh-CN" w:bidi="ar"/>
              </w:rPr>
              <w:t>9</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验光镜片箱</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579 验光镜片箱检定规程</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强检免费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40</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多参数监护仪</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1163 多参数监护仪</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383</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强检免费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r>
              <w:rPr>
                <w:rFonts w:hint="eastAsia" w:ascii="宋体" w:hAnsi="宋体" w:cs="宋体"/>
                <w:i w:val="0"/>
                <w:iCs w:val="0"/>
                <w:color w:val="000000"/>
                <w:kern w:val="0"/>
                <w:sz w:val="24"/>
                <w:szCs w:val="24"/>
                <w:u w:val="none"/>
                <w:lang w:val="en-US" w:eastAsia="zh-CN" w:bidi="ar"/>
              </w:rPr>
              <w:t>1</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非接触式眼压计</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1143 非接触式眼压计检定规程</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强检免费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r>
              <w:rPr>
                <w:rFonts w:hint="eastAsia" w:ascii="宋体" w:hAnsi="宋体" w:cs="宋体"/>
                <w:i w:val="0"/>
                <w:iCs w:val="0"/>
                <w:color w:val="000000"/>
                <w:kern w:val="0"/>
                <w:sz w:val="24"/>
                <w:szCs w:val="24"/>
                <w:u w:val="none"/>
                <w:lang w:val="en-US" w:eastAsia="zh-CN" w:bidi="ar"/>
              </w:rPr>
              <w:t>2</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心电图机</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543 心电图机检定规程</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强检免费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r>
              <w:rPr>
                <w:rFonts w:hint="eastAsia" w:ascii="宋体" w:hAnsi="宋体" w:cs="宋体"/>
                <w:i w:val="0"/>
                <w:iCs w:val="0"/>
                <w:color w:val="000000"/>
                <w:kern w:val="0"/>
                <w:sz w:val="24"/>
                <w:szCs w:val="24"/>
                <w:u w:val="none"/>
                <w:lang w:val="en-US" w:eastAsia="zh-CN" w:bidi="ar"/>
              </w:rPr>
              <w:t>3</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脑电图机</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1043 脑电图机检定规程</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强检免费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r>
              <w:rPr>
                <w:rFonts w:hint="eastAsia" w:ascii="宋体" w:hAnsi="宋体" w:cs="宋体"/>
                <w:i w:val="0"/>
                <w:iCs w:val="0"/>
                <w:color w:val="000000"/>
                <w:kern w:val="0"/>
                <w:sz w:val="24"/>
                <w:szCs w:val="24"/>
                <w:u w:val="none"/>
                <w:lang w:val="en-US" w:eastAsia="zh-CN" w:bidi="ar"/>
              </w:rPr>
              <w:t>4</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血压计(血压表)</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270 血压计和血压表检定规程</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强检免费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2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r>
              <w:rPr>
                <w:rFonts w:hint="eastAsia" w:ascii="宋体" w:hAnsi="宋体" w:cs="宋体"/>
                <w:i w:val="0"/>
                <w:iCs w:val="0"/>
                <w:color w:val="000000"/>
                <w:kern w:val="0"/>
                <w:sz w:val="24"/>
                <w:szCs w:val="24"/>
                <w:u w:val="none"/>
                <w:lang w:val="en-US" w:eastAsia="zh-CN" w:bidi="ar"/>
              </w:rPr>
              <w:t>5</w:t>
            </w:r>
          </w:p>
        </w:tc>
        <w:tc>
          <w:tcPr>
            <w:tcW w:w="139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电子血压计</w:t>
            </w:r>
          </w:p>
        </w:tc>
        <w:tc>
          <w:tcPr>
            <w:tcW w:w="224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JJG 692 无创自动测量血压计检定规程</w:t>
            </w:r>
          </w:p>
        </w:tc>
        <w:tc>
          <w:tcPr>
            <w:tcW w:w="502"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213</w:t>
            </w:r>
          </w:p>
        </w:tc>
        <w:tc>
          <w:tcPr>
            <w:tcW w:w="4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强检免费</w:t>
            </w:r>
          </w:p>
        </w:tc>
      </w:tr>
    </w:tbl>
    <w:p>
      <w:pPr>
        <w:pStyle w:val="2"/>
        <w:rPr>
          <w:rFonts w:hint="eastAsia"/>
          <w:highlight w:val="none"/>
        </w:rPr>
      </w:pPr>
    </w:p>
    <w:p>
      <w:pPr>
        <w:spacing w:line="360" w:lineRule="exact"/>
        <w:ind w:right="187"/>
        <w:rPr>
          <w:rFonts w:ascii="宋体" w:hAnsi="宋体"/>
          <w:bCs/>
          <w:sz w:val="24"/>
          <w:highlight w:val="none"/>
          <w:u w:val="single"/>
        </w:rPr>
      </w:pPr>
      <w:r>
        <w:rPr>
          <w:rFonts w:hint="eastAsia" w:ascii="宋体" w:hAnsi="宋体"/>
          <w:sz w:val="24"/>
          <w:highlight w:val="none"/>
        </w:rPr>
        <w:t>响应人单位全称</w:t>
      </w:r>
      <w:r>
        <w:rPr>
          <w:rFonts w:hint="eastAsia" w:ascii="宋体" w:hAnsi="宋体"/>
          <w:bCs/>
          <w:sz w:val="24"/>
          <w:highlight w:val="none"/>
        </w:rPr>
        <w:t>（公章）：</w:t>
      </w:r>
    </w:p>
    <w:p>
      <w:pPr>
        <w:spacing w:line="360" w:lineRule="exact"/>
        <w:ind w:right="187"/>
        <w:rPr>
          <w:rFonts w:ascii="宋体" w:hAnsi="宋体"/>
          <w:bCs/>
          <w:sz w:val="24"/>
          <w:highlight w:val="none"/>
        </w:rPr>
      </w:pPr>
      <w:r>
        <w:rPr>
          <w:rFonts w:hint="eastAsia" w:ascii="宋体" w:hAnsi="宋体"/>
          <w:bCs/>
          <w:sz w:val="24"/>
          <w:highlight w:val="none"/>
        </w:rPr>
        <w:t>法定代表人或授权代理人</w:t>
      </w:r>
      <w:r>
        <w:rPr>
          <w:rFonts w:hint="eastAsia" w:ascii="宋体" w:hAnsi="宋体"/>
          <w:sz w:val="24"/>
          <w:highlight w:val="none"/>
        </w:rPr>
        <w:t>签字或盖章</w:t>
      </w:r>
      <w:r>
        <w:rPr>
          <w:rFonts w:hint="eastAsia" w:ascii="宋体" w:hAnsi="宋体"/>
          <w:bCs/>
          <w:sz w:val="24"/>
          <w:highlight w:val="none"/>
        </w:rPr>
        <w:t>：</w:t>
      </w:r>
    </w:p>
    <w:p>
      <w:pPr>
        <w:spacing w:line="400" w:lineRule="exact"/>
        <w:ind w:firstLine="720" w:firstLineChars="300"/>
        <w:jc w:val="right"/>
        <w:rPr>
          <w:rFonts w:ascii="宋体" w:hAnsi="宋体"/>
          <w:bCs/>
          <w:sz w:val="24"/>
          <w:highlight w:val="none"/>
        </w:rPr>
      </w:pPr>
      <w:r>
        <w:rPr>
          <w:rFonts w:hint="eastAsia" w:ascii="宋体" w:hAnsi="宋体"/>
          <w:bCs/>
          <w:sz w:val="24"/>
          <w:highlight w:val="none"/>
        </w:rPr>
        <w:t>年月日</w:t>
      </w:r>
    </w:p>
    <w:p>
      <w:pPr>
        <w:pStyle w:val="4"/>
        <w:spacing w:before="120" w:after="120" w:line="360" w:lineRule="exact"/>
        <w:rPr>
          <w:rFonts w:ascii="宋体" w:hAnsi="宋体" w:eastAsia="宋体"/>
          <w:b w:val="0"/>
          <w:bCs w:val="0"/>
          <w:sz w:val="24"/>
          <w:szCs w:val="21"/>
          <w:highlight w:val="none"/>
        </w:rPr>
      </w:pPr>
      <w:r>
        <w:rPr>
          <w:rFonts w:ascii="宋体" w:hAnsi="宋体"/>
          <w:bCs w:val="0"/>
          <w:sz w:val="24"/>
          <w:highlight w:val="none"/>
        </w:rPr>
        <w:br w:type="page"/>
      </w:r>
      <w:bookmarkStart w:id="214" w:name="_Toc36192111"/>
      <w:bookmarkStart w:id="215" w:name="_Toc60585226"/>
      <w:bookmarkStart w:id="216" w:name="_Toc21414"/>
      <w:bookmarkStart w:id="217" w:name="_Toc11037"/>
      <w:bookmarkStart w:id="218" w:name="_Toc3412"/>
      <w:bookmarkStart w:id="219" w:name="_Toc16272"/>
      <w:r>
        <w:rPr>
          <w:rFonts w:hint="eastAsia" w:ascii="宋体" w:hAnsi="宋体" w:eastAsia="宋体"/>
          <w:kern w:val="2"/>
          <w:sz w:val="24"/>
          <w:szCs w:val="21"/>
          <w:highlight w:val="none"/>
        </w:rPr>
        <w:t>格式四：</w:t>
      </w:r>
      <w:bookmarkEnd w:id="214"/>
      <w:bookmarkEnd w:id="215"/>
      <w:bookmarkStart w:id="220" w:name="_Toc60585228"/>
      <w:r>
        <w:rPr>
          <w:rFonts w:hint="eastAsia" w:ascii="宋体" w:hAnsi="宋体" w:eastAsia="宋体"/>
          <w:kern w:val="2"/>
          <w:sz w:val="24"/>
          <w:szCs w:val="21"/>
          <w:highlight w:val="none"/>
        </w:rPr>
        <w:t>商务响应一览表</w:t>
      </w:r>
      <w:bookmarkEnd w:id="216"/>
      <w:bookmarkEnd w:id="217"/>
      <w:bookmarkEnd w:id="218"/>
      <w:bookmarkEnd w:id="219"/>
      <w:bookmarkEnd w:id="220"/>
    </w:p>
    <w:p>
      <w:pPr>
        <w:pStyle w:val="21"/>
        <w:spacing w:before="0" w:after="0"/>
        <w:rPr>
          <w:rFonts w:ascii="宋体" w:hAnsi="宋体" w:eastAsia="宋体"/>
          <w:highlight w:val="none"/>
        </w:rPr>
      </w:pPr>
    </w:p>
    <w:p>
      <w:pPr>
        <w:widowControl/>
        <w:jc w:val="center"/>
        <w:rPr>
          <w:rFonts w:ascii="宋体" w:hAnsi="宋体"/>
          <w:b/>
          <w:sz w:val="32"/>
          <w:highlight w:val="none"/>
        </w:rPr>
      </w:pPr>
      <w:r>
        <w:rPr>
          <w:rFonts w:hint="eastAsia" w:ascii="宋体" w:hAnsi="宋体"/>
          <w:b/>
          <w:sz w:val="32"/>
          <w:highlight w:val="none"/>
        </w:rPr>
        <w:t>商务响应一览表</w:t>
      </w:r>
    </w:p>
    <w:p>
      <w:pPr>
        <w:pStyle w:val="33"/>
        <w:spacing w:line="360" w:lineRule="exact"/>
        <w:ind w:left="0" w:leftChars="0" w:firstLine="0" w:firstLineChars="0"/>
        <w:rPr>
          <w:rFonts w:ascii="宋体" w:hAnsi="宋体"/>
          <w:bCs/>
          <w:sz w:val="24"/>
          <w:highlight w:val="none"/>
        </w:rPr>
      </w:pPr>
      <w:r>
        <w:rPr>
          <w:rFonts w:hint="eastAsia" w:ascii="宋体" w:hAnsi="宋体"/>
          <w:bCs/>
          <w:sz w:val="24"/>
          <w:highlight w:val="none"/>
        </w:rPr>
        <w:t>项目编号</w:t>
      </w:r>
      <w:r>
        <w:rPr>
          <w:rFonts w:hint="eastAsia" w:ascii="宋体" w:hAnsi="宋体"/>
          <w:b/>
          <w:bCs/>
          <w:sz w:val="24"/>
          <w:highlight w:val="none"/>
        </w:rPr>
        <w:t>：</w:t>
      </w:r>
      <w:r>
        <w:rPr>
          <w:rFonts w:hint="eastAsia" w:ascii="宋体" w:hAnsi="宋体"/>
          <w:sz w:val="24"/>
          <w:highlight w:val="none"/>
        </w:rPr>
        <w:t>HYHAQD20___-_____</w:t>
      </w:r>
    </w:p>
    <w:p>
      <w:pPr>
        <w:pStyle w:val="33"/>
        <w:spacing w:beforeLines="50" w:line="240" w:lineRule="auto"/>
        <w:ind w:left="0" w:leftChars="0" w:firstLine="0" w:firstLineChars="0"/>
        <w:rPr>
          <w:rFonts w:hint="eastAsia" w:ascii="宋体" w:hAnsi="宋体"/>
          <w:bCs/>
          <w:sz w:val="24"/>
          <w:highlight w:val="none"/>
        </w:rPr>
      </w:pPr>
      <w:r>
        <w:rPr>
          <w:rFonts w:hint="eastAsia" w:ascii="宋体" w:hAnsi="宋体"/>
          <w:bCs/>
          <w:sz w:val="24"/>
          <w:highlight w:val="none"/>
        </w:rPr>
        <w:t>项目名称</w:t>
      </w:r>
      <w:r>
        <w:rPr>
          <w:rFonts w:hint="eastAsia" w:ascii="宋体" w:hAnsi="宋体"/>
          <w:b/>
          <w:bCs/>
          <w:sz w:val="24"/>
          <w:highlight w:val="none"/>
        </w:rPr>
        <w:t>：</w:t>
      </w:r>
      <w:r>
        <w:rPr>
          <w:rFonts w:hint="eastAsia" w:ascii="宋体" w:hAnsi="宋体"/>
          <w:bCs/>
          <w:sz w:val="24"/>
          <w:highlight w:val="none"/>
        </w:rPr>
        <w:t xml:space="preserve">____________________  </w:t>
      </w:r>
    </w:p>
    <w:p>
      <w:pPr>
        <w:pStyle w:val="33"/>
        <w:spacing w:line="360" w:lineRule="exact"/>
        <w:ind w:left="0" w:leftChars="0" w:firstLine="0" w:firstLineChars="0"/>
        <w:rPr>
          <w:rFonts w:hint="eastAsia" w:ascii="宋体" w:hAnsi="宋体"/>
          <w:bCs/>
          <w:sz w:val="24"/>
          <w:highlight w:val="none"/>
        </w:rPr>
      </w:pPr>
      <w:r>
        <w:rPr>
          <w:rFonts w:hint="eastAsia" w:ascii="宋体" w:hAnsi="宋体"/>
          <w:bCs/>
          <w:sz w:val="24"/>
          <w:highlight w:val="none"/>
          <w:lang w:val="en-US" w:eastAsia="zh-CN"/>
        </w:rPr>
        <w:t>包号</w:t>
      </w:r>
      <w:r>
        <w:rPr>
          <w:rFonts w:hint="eastAsia" w:ascii="宋体" w:hAnsi="宋体"/>
          <w:b/>
          <w:bCs/>
          <w:sz w:val="24"/>
          <w:highlight w:val="none"/>
        </w:rPr>
        <w:t>：</w:t>
      </w:r>
      <w:r>
        <w:rPr>
          <w:rFonts w:hint="eastAsia" w:ascii="宋体" w:hAnsi="宋体"/>
          <w:bCs/>
          <w:sz w:val="24"/>
          <w:highlight w:val="none"/>
        </w:rPr>
        <w:t>__________</w:t>
      </w:r>
    </w:p>
    <w:tbl>
      <w:tblPr>
        <w:tblStyle w:val="76"/>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1469"/>
        <w:gridCol w:w="1594"/>
        <w:gridCol w:w="1592"/>
        <w:gridCol w:w="1460"/>
        <w:gridCol w:w="1462"/>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939" w:type="dxa"/>
            <w:vAlign w:val="center"/>
          </w:tcPr>
          <w:p>
            <w:pPr>
              <w:tabs>
                <w:tab w:val="left" w:pos="1337"/>
              </w:tabs>
              <w:jc w:val="center"/>
              <w:rPr>
                <w:rFonts w:ascii="宋体" w:hAnsi="宋体"/>
                <w:bCs/>
                <w:sz w:val="24"/>
                <w:highlight w:val="none"/>
              </w:rPr>
            </w:pPr>
            <w:r>
              <w:rPr>
                <w:rFonts w:hint="eastAsia" w:ascii="宋体" w:hAnsi="宋体"/>
                <w:bCs/>
                <w:sz w:val="24"/>
                <w:highlight w:val="none"/>
              </w:rPr>
              <w:t>序号</w:t>
            </w:r>
          </w:p>
        </w:tc>
        <w:tc>
          <w:tcPr>
            <w:tcW w:w="1469" w:type="dxa"/>
            <w:vAlign w:val="center"/>
          </w:tcPr>
          <w:p>
            <w:pPr>
              <w:tabs>
                <w:tab w:val="left" w:pos="1337"/>
              </w:tabs>
              <w:jc w:val="center"/>
              <w:rPr>
                <w:rFonts w:ascii="宋体" w:hAnsi="宋体"/>
                <w:bCs/>
                <w:sz w:val="24"/>
                <w:highlight w:val="none"/>
              </w:rPr>
            </w:pPr>
            <w:r>
              <w:rPr>
                <w:rFonts w:hint="eastAsia" w:ascii="宋体" w:hAnsi="宋体"/>
                <w:bCs/>
                <w:sz w:val="24"/>
                <w:highlight w:val="none"/>
              </w:rPr>
              <w:t>采购文件</w:t>
            </w:r>
          </w:p>
          <w:p>
            <w:pPr>
              <w:tabs>
                <w:tab w:val="left" w:pos="1337"/>
              </w:tabs>
              <w:jc w:val="center"/>
              <w:rPr>
                <w:rFonts w:ascii="宋体" w:hAnsi="宋体"/>
                <w:bCs/>
                <w:sz w:val="24"/>
                <w:highlight w:val="none"/>
              </w:rPr>
            </w:pPr>
            <w:r>
              <w:rPr>
                <w:rFonts w:hint="eastAsia" w:ascii="宋体" w:hAnsi="宋体"/>
                <w:bCs/>
                <w:sz w:val="24"/>
                <w:highlight w:val="none"/>
              </w:rPr>
              <w:t>条目号</w:t>
            </w:r>
          </w:p>
        </w:tc>
        <w:tc>
          <w:tcPr>
            <w:tcW w:w="1594" w:type="dxa"/>
            <w:vAlign w:val="center"/>
          </w:tcPr>
          <w:p>
            <w:pPr>
              <w:tabs>
                <w:tab w:val="left" w:pos="1337"/>
              </w:tabs>
              <w:jc w:val="center"/>
              <w:rPr>
                <w:rFonts w:ascii="宋体" w:hAnsi="宋体"/>
                <w:bCs/>
                <w:sz w:val="24"/>
                <w:highlight w:val="none"/>
              </w:rPr>
            </w:pPr>
            <w:r>
              <w:rPr>
                <w:rFonts w:hint="eastAsia" w:ascii="宋体" w:hAnsi="宋体"/>
                <w:bCs/>
                <w:sz w:val="24"/>
                <w:highlight w:val="none"/>
              </w:rPr>
              <w:t>采购文件</w:t>
            </w:r>
          </w:p>
          <w:p>
            <w:pPr>
              <w:tabs>
                <w:tab w:val="left" w:pos="1337"/>
              </w:tabs>
              <w:jc w:val="center"/>
              <w:rPr>
                <w:rFonts w:ascii="宋体" w:hAnsi="宋体"/>
                <w:bCs/>
                <w:sz w:val="24"/>
                <w:highlight w:val="none"/>
              </w:rPr>
            </w:pPr>
            <w:r>
              <w:rPr>
                <w:rFonts w:hint="eastAsia" w:ascii="宋体" w:hAnsi="宋体"/>
                <w:bCs/>
                <w:sz w:val="24"/>
                <w:highlight w:val="none"/>
              </w:rPr>
              <w:t>要求</w:t>
            </w:r>
          </w:p>
        </w:tc>
        <w:tc>
          <w:tcPr>
            <w:tcW w:w="1592" w:type="dxa"/>
            <w:vAlign w:val="center"/>
          </w:tcPr>
          <w:p>
            <w:pPr>
              <w:tabs>
                <w:tab w:val="left" w:pos="1337"/>
              </w:tabs>
              <w:jc w:val="center"/>
              <w:rPr>
                <w:rFonts w:ascii="宋体" w:hAnsi="宋体"/>
                <w:bCs/>
                <w:sz w:val="24"/>
                <w:highlight w:val="none"/>
              </w:rPr>
            </w:pPr>
            <w:r>
              <w:rPr>
                <w:rFonts w:hint="eastAsia" w:ascii="宋体" w:hAnsi="宋体"/>
                <w:bCs/>
                <w:sz w:val="24"/>
                <w:highlight w:val="none"/>
              </w:rPr>
              <w:t>响应文件</w:t>
            </w:r>
          </w:p>
          <w:p>
            <w:pPr>
              <w:tabs>
                <w:tab w:val="left" w:pos="1337"/>
              </w:tabs>
              <w:jc w:val="center"/>
              <w:rPr>
                <w:rFonts w:ascii="宋体" w:hAnsi="宋体"/>
                <w:bCs/>
                <w:sz w:val="24"/>
                <w:highlight w:val="none"/>
              </w:rPr>
            </w:pPr>
            <w:r>
              <w:rPr>
                <w:rFonts w:hint="eastAsia" w:ascii="宋体" w:hAnsi="宋体"/>
                <w:bCs/>
                <w:sz w:val="24"/>
                <w:highlight w:val="none"/>
              </w:rPr>
              <w:t>实际情况</w:t>
            </w:r>
          </w:p>
        </w:tc>
        <w:tc>
          <w:tcPr>
            <w:tcW w:w="1460" w:type="dxa"/>
            <w:vAlign w:val="center"/>
          </w:tcPr>
          <w:p>
            <w:pPr>
              <w:tabs>
                <w:tab w:val="left" w:pos="1337"/>
              </w:tabs>
              <w:jc w:val="center"/>
              <w:rPr>
                <w:rFonts w:ascii="宋体" w:hAnsi="宋体"/>
                <w:bCs/>
                <w:sz w:val="24"/>
                <w:highlight w:val="none"/>
              </w:rPr>
            </w:pPr>
            <w:r>
              <w:rPr>
                <w:rFonts w:hint="eastAsia" w:ascii="宋体" w:hAnsi="宋体"/>
                <w:bCs/>
                <w:sz w:val="24"/>
                <w:highlight w:val="none"/>
              </w:rPr>
              <w:t>响应文件对应的页码</w:t>
            </w:r>
          </w:p>
        </w:tc>
        <w:tc>
          <w:tcPr>
            <w:tcW w:w="1462" w:type="dxa"/>
            <w:vAlign w:val="center"/>
          </w:tcPr>
          <w:p>
            <w:pPr>
              <w:tabs>
                <w:tab w:val="left" w:pos="1337"/>
              </w:tabs>
              <w:jc w:val="center"/>
              <w:rPr>
                <w:rFonts w:ascii="宋体" w:hAnsi="宋体"/>
                <w:bCs/>
                <w:sz w:val="24"/>
                <w:highlight w:val="none"/>
              </w:rPr>
            </w:pPr>
            <w:r>
              <w:rPr>
                <w:rFonts w:hint="eastAsia" w:ascii="宋体" w:hAnsi="宋体"/>
                <w:bCs/>
                <w:sz w:val="24"/>
                <w:highlight w:val="none"/>
              </w:rPr>
              <w:t>偏差内容</w:t>
            </w:r>
          </w:p>
        </w:tc>
        <w:tc>
          <w:tcPr>
            <w:tcW w:w="1341" w:type="dxa"/>
            <w:vAlign w:val="center"/>
          </w:tcPr>
          <w:p>
            <w:pPr>
              <w:tabs>
                <w:tab w:val="left" w:pos="1337"/>
              </w:tabs>
              <w:jc w:val="center"/>
              <w:rPr>
                <w:rFonts w:ascii="宋体" w:hAnsi="宋体"/>
                <w:bCs/>
                <w:sz w:val="24"/>
                <w:highlight w:val="none"/>
              </w:rPr>
            </w:pPr>
            <w:r>
              <w:rPr>
                <w:rFonts w:hint="eastAsia" w:ascii="宋体" w:hAnsi="宋体"/>
                <w:bCs/>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39" w:type="dxa"/>
            <w:vAlign w:val="center"/>
          </w:tcPr>
          <w:p>
            <w:pPr>
              <w:tabs>
                <w:tab w:val="left" w:pos="1337"/>
              </w:tabs>
              <w:jc w:val="center"/>
              <w:rPr>
                <w:rFonts w:ascii="宋体" w:hAnsi="宋体"/>
                <w:sz w:val="24"/>
                <w:highlight w:val="none"/>
              </w:rPr>
            </w:pPr>
          </w:p>
        </w:tc>
        <w:tc>
          <w:tcPr>
            <w:tcW w:w="1469" w:type="dxa"/>
            <w:vAlign w:val="center"/>
          </w:tcPr>
          <w:p>
            <w:pPr>
              <w:tabs>
                <w:tab w:val="left" w:pos="1337"/>
              </w:tabs>
              <w:jc w:val="center"/>
              <w:rPr>
                <w:rFonts w:ascii="宋体" w:hAnsi="宋体"/>
                <w:sz w:val="24"/>
                <w:highlight w:val="none"/>
              </w:rPr>
            </w:pPr>
          </w:p>
        </w:tc>
        <w:tc>
          <w:tcPr>
            <w:tcW w:w="1594" w:type="dxa"/>
            <w:vAlign w:val="center"/>
          </w:tcPr>
          <w:p>
            <w:pPr>
              <w:tabs>
                <w:tab w:val="left" w:pos="1337"/>
              </w:tabs>
              <w:jc w:val="center"/>
              <w:rPr>
                <w:rFonts w:ascii="宋体" w:hAnsi="宋体"/>
                <w:sz w:val="24"/>
                <w:highlight w:val="none"/>
              </w:rPr>
            </w:pPr>
          </w:p>
        </w:tc>
        <w:tc>
          <w:tcPr>
            <w:tcW w:w="1592" w:type="dxa"/>
            <w:vAlign w:val="center"/>
          </w:tcPr>
          <w:p>
            <w:pPr>
              <w:tabs>
                <w:tab w:val="left" w:pos="1337"/>
              </w:tabs>
              <w:jc w:val="center"/>
              <w:rPr>
                <w:rFonts w:ascii="宋体" w:hAnsi="宋体"/>
                <w:sz w:val="24"/>
                <w:highlight w:val="none"/>
              </w:rPr>
            </w:pPr>
          </w:p>
        </w:tc>
        <w:tc>
          <w:tcPr>
            <w:tcW w:w="1460" w:type="dxa"/>
            <w:vAlign w:val="center"/>
          </w:tcPr>
          <w:p>
            <w:pPr>
              <w:tabs>
                <w:tab w:val="left" w:pos="1337"/>
              </w:tabs>
              <w:jc w:val="center"/>
              <w:rPr>
                <w:rFonts w:ascii="宋体" w:hAnsi="宋体"/>
                <w:sz w:val="24"/>
                <w:highlight w:val="none"/>
              </w:rPr>
            </w:pPr>
          </w:p>
        </w:tc>
        <w:tc>
          <w:tcPr>
            <w:tcW w:w="1462" w:type="dxa"/>
            <w:vAlign w:val="center"/>
          </w:tcPr>
          <w:p>
            <w:pPr>
              <w:tabs>
                <w:tab w:val="left" w:pos="1337"/>
              </w:tabs>
              <w:jc w:val="center"/>
              <w:rPr>
                <w:rFonts w:ascii="宋体" w:hAnsi="宋体"/>
                <w:sz w:val="24"/>
                <w:highlight w:val="none"/>
              </w:rPr>
            </w:pPr>
          </w:p>
        </w:tc>
        <w:tc>
          <w:tcPr>
            <w:tcW w:w="1341" w:type="dxa"/>
            <w:vAlign w:val="center"/>
          </w:tcPr>
          <w:p>
            <w:pPr>
              <w:tabs>
                <w:tab w:val="left" w:pos="1337"/>
              </w:tabs>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39" w:type="dxa"/>
            <w:vAlign w:val="center"/>
          </w:tcPr>
          <w:p>
            <w:pPr>
              <w:tabs>
                <w:tab w:val="left" w:pos="1337"/>
              </w:tabs>
              <w:jc w:val="center"/>
              <w:rPr>
                <w:rFonts w:ascii="宋体" w:hAnsi="宋体"/>
                <w:sz w:val="24"/>
                <w:highlight w:val="none"/>
              </w:rPr>
            </w:pPr>
          </w:p>
        </w:tc>
        <w:tc>
          <w:tcPr>
            <w:tcW w:w="1469" w:type="dxa"/>
            <w:vAlign w:val="center"/>
          </w:tcPr>
          <w:p>
            <w:pPr>
              <w:tabs>
                <w:tab w:val="left" w:pos="1337"/>
              </w:tabs>
              <w:jc w:val="center"/>
              <w:rPr>
                <w:rFonts w:ascii="宋体" w:hAnsi="宋体"/>
                <w:sz w:val="24"/>
                <w:highlight w:val="none"/>
              </w:rPr>
            </w:pPr>
          </w:p>
        </w:tc>
        <w:tc>
          <w:tcPr>
            <w:tcW w:w="1594" w:type="dxa"/>
            <w:vAlign w:val="center"/>
          </w:tcPr>
          <w:p>
            <w:pPr>
              <w:tabs>
                <w:tab w:val="left" w:pos="1337"/>
              </w:tabs>
              <w:jc w:val="center"/>
              <w:rPr>
                <w:rFonts w:ascii="宋体" w:hAnsi="宋体"/>
                <w:sz w:val="24"/>
                <w:highlight w:val="none"/>
              </w:rPr>
            </w:pPr>
          </w:p>
        </w:tc>
        <w:tc>
          <w:tcPr>
            <w:tcW w:w="1592" w:type="dxa"/>
            <w:vAlign w:val="center"/>
          </w:tcPr>
          <w:p>
            <w:pPr>
              <w:tabs>
                <w:tab w:val="left" w:pos="1337"/>
              </w:tabs>
              <w:jc w:val="center"/>
              <w:rPr>
                <w:rFonts w:ascii="宋体" w:hAnsi="宋体"/>
                <w:sz w:val="24"/>
                <w:highlight w:val="none"/>
              </w:rPr>
            </w:pPr>
          </w:p>
        </w:tc>
        <w:tc>
          <w:tcPr>
            <w:tcW w:w="1460" w:type="dxa"/>
            <w:vAlign w:val="center"/>
          </w:tcPr>
          <w:p>
            <w:pPr>
              <w:tabs>
                <w:tab w:val="left" w:pos="1337"/>
              </w:tabs>
              <w:jc w:val="center"/>
              <w:rPr>
                <w:rFonts w:ascii="宋体" w:hAnsi="宋体"/>
                <w:sz w:val="24"/>
                <w:highlight w:val="none"/>
              </w:rPr>
            </w:pPr>
          </w:p>
        </w:tc>
        <w:tc>
          <w:tcPr>
            <w:tcW w:w="1462" w:type="dxa"/>
            <w:vAlign w:val="center"/>
          </w:tcPr>
          <w:p>
            <w:pPr>
              <w:tabs>
                <w:tab w:val="left" w:pos="1337"/>
              </w:tabs>
              <w:jc w:val="center"/>
              <w:rPr>
                <w:rFonts w:ascii="宋体" w:hAnsi="宋体"/>
                <w:sz w:val="24"/>
                <w:highlight w:val="none"/>
              </w:rPr>
            </w:pPr>
          </w:p>
        </w:tc>
        <w:tc>
          <w:tcPr>
            <w:tcW w:w="1341" w:type="dxa"/>
            <w:vAlign w:val="center"/>
          </w:tcPr>
          <w:p>
            <w:pPr>
              <w:tabs>
                <w:tab w:val="left" w:pos="1337"/>
              </w:tabs>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939" w:type="dxa"/>
            <w:vAlign w:val="center"/>
          </w:tcPr>
          <w:p>
            <w:pPr>
              <w:tabs>
                <w:tab w:val="left" w:pos="1337"/>
              </w:tabs>
              <w:jc w:val="center"/>
              <w:rPr>
                <w:rFonts w:ascii="宋体" w:hAnsi="宋体"/>
                <w:sz w:val="24"/>
                <w:highlight w:val="none"/>
              </w:rPr>
            </w:pPr>
          </w:p>
        </w:tc>
        <w:tc>
          <w:tcPr>
            <w:tcW w:w="1469" w:type="dxa"/>
            <w:vAlign w:val="center"/>
          </w:tcPr>
          <w:p>
            <w:pPr>
              <w:tabs>
                <w:tab w:val="left" w:pos="1337"/>
              </w:tabs>
              <w:jc w:val="center"/>
              <w:rPr>
                <w:rFonts w:ascii="宋体" w:hAnsi="宋体"/>
                <w:sz w:val="24"/>
                <w:highlight w:val="none"/>
              </w:rPr>
            </w:pPr>
          </w:p>
        </w:tc>
        <w:tc>
          <w:tcPr>
            <w:tcW w:w="1594" w:type="dxa"/>
            <w:vAlign w:val="center"/>
          </w:tcPr>
          <w:p>
            <w:pPr>
              <w:tabs>
                <w:tab w:val="left" w:pos="1337"/>
              </w:tabs>
              <w:jc w:val="center"/>
              <w:rPr>
                <w:rFonts w:ascii="宋体" w:hAnsi="宋体"/>
                <w:sz w:val="24"/>
                <w:highlight w:val="none"/>
              </w:rPr>
            </w:pPr>
          </w:p>
        </w:tc>
        <w:tc>
          <w:tcPr>
            <w:tcW w:w="1592" w:type="dxa"/>
            <w:vAlign w:val="center"/>
          </w:tcPr>
          <w:p>
            <w:pPr>
              <w:tabs>
                <w:tab w:val="left" w:pos="1337"/>
              </w:tabs>
              <w:jc w:val="center"/>
              <w:rPr>
                <w:rFonts w:ascii="宋体" w:hAnsi="宋体"/>
                <w:sz w:val="24"/>
                <w:highlight w:val="none"/>
              </w:rPr>
            </w:pPr>
          </w:p>
        </w:tc>
        <w:tc>
          <w:tcPr>
            <w:tcW w:w="1460" w:type="dxa"/>
            <w:vAlign w:val="center"/>
          </w:tcPr>
          <w:p>
            <w:pPr>
              <w:tabs>
                <w:tab w:val="left" w:pos="1337"/>
              </w:tabs>
              <w:jc w:val="center"/>
              <w:rPr>
                <w:rFonts w:ascii="宋体" w:hAnsi="宋体"/>
                <w:sz w:val="24"/>
                <w:highlight w:val="none"/>
              </w:rPr>
            </w:pPr>
          </w:p>
        </w:tc>
        <w:tc>
          <w:tcPr>
            <w:tcW w:w="1462" w:type="dxa"/>
            <w:vAlign w:val="center"/>
          </w:tcPr>
          <w:p>
            <w:pPr>
              <w:tabs>
                <w:tab w:val="left" w:pos="1337"/>
              </w:tabs>
              <w:jc w:val="center"/>
              <w:rPr>
                <w:rFonts w:ascii="宋体" w:hAnsi="宋体"/>
                <w:sz w:val="24"/>
                <w:highlight w:val="none"/>
              </w:rPr>
            </w:pPr>
          </w:p>
        </w:tc>
        <w:tc>
          <w:tcPr>
            <w:tcW w:w="1341" w:type="dxa"/>
            <w:vAlign w:val="center"/>
          </w:tcPr>
          <w:p>
            <w:pPr>
              <w:tabs>
                <w:tab w:val="left" w:pos="1337"/>
              </w:tabs>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939" w:type="dxa"/>
            <w:vAlign w:val="center"/>
          </w:tcPr>
          <w:p>
            <w:pPr>
              <w:tabs>
                <w:tab w:val="left" w:pos="1337"/>
              </w:tabs>
              <w:jc w:val="center"/>
              <w:rPr>
                <w:rFonts w:ascii="宋体" w:hAnsi="宋体"/>
                <w:sz w:val="24"/>
                <w:highlight w:val="none"/>
              </w:rPr>
            </w:pPr>
          </w:p>
        </w:tc>
        <w:tc>
          <w:tcPr>
            <w:tcW w:w="1469" w:type="dxa"/>
            <w:vAlign w:val="center"/>
          </w:tcPr>
          <w:p>
            <w:pPr>
              <w:tabs>
                <w:tab w:val="left" w:pos="1337"/>
              </w:tabs>
              <w:jc w:val="center"/>
              <w:rPr>
                <w:rFonts w:ascii="宋体" w:hAnsi="宋体"/>
                <w:sz w:val="24"/>
                <w:highlight w:val="none"/>
              </w:rPr>
            </w:pPr>
          </w:p>
        </w:tc>
        <w:tc>
          <w:tcPr>
            <w:tcW w:w="1594" w:type="dxa"/>
            <w:vAlign w:val="center"/>
          </w:tcPr>
          <w:p>
            <w:pPr>
              <w:tabs>
                <w:tab w:val="left" w:pos="1337"/>
              </w:tabs>
              <w:jc w:val="center"/>
              <w:rPr>
                <w:rFonts w:ascii="宋体" w:hAnsi="宋体"/>
                <w:sz w:val="24"/>
                <w:highlight w:val="none"/>
              </w:rPr>
            </w:pPr>
          </w:p>
        </w:tc>
        <w:tc>
          <w:tcPr>
            <w:tcW w:w="1592" w:type="dxa"/>
            <w:vAlign w:val="center"/>
          </w:tcPr>
          <w:p>
            <w:pPr>
              <w:tabs>
                <w:tab w:val="left" w:pos="1337"/>
              </w:tabs>
              <w:jc w:val="center"/>
              <w:rPr>
                <w:rFonts w:ascii="宋体" w:hAnsi="宋体"/>
                <w:sz w:val="24"/>
                <w:highlight w:val="none"/>
              </w:rPr>
            </w:pPr>
          </w:p>
        </w:tc>
        <w:tc>
          <w:tcPr>
            <w:tcW w:w="1460" w:type="dxa"/>
            <w:vAlign w:val="center"/>
          </w:tcPr>
          <w:p>
            <w:pPr>
              <w:tabs>
                <w:tab w:val="left" w:pos="1337"/>
              </w:tabs>
              <w:jc w:val="center"/>
              <w:rPr>
                <w:rFonts w:ascii="宋体" w:hAnsi="宋体"/>
                <w:sz w:val="24"/>
                <w:highlight w:val="none"/>
              </w:rPr>
            </w:pPr>
          </w:p>
        </w:tc>
        <w:tc>
          <w:tcPr>
            <w:tcW w:w="1462" w:type="dxa"/>
            <w:vAlign w:val="center"/>
          </w:tcPr>
          <w:p>
            <w:pPr>
              <w:tabs>
                <w:tab w:val="left" w:pos="1337"/>
              </w:tabs>
              <w:jc w:val="center"/>
              <w:rPr>
                <w:rFonts w:ascii="宋体" w:hAnsi="宋体"/>
                <w:sz w:val="24"/>
                <w:highlight w:val="none"/>
              </w:rPr>
            </w:pPr>
          </w:p>
        </w:tc>
        <w:tc>
          <w:tcPr>
            <w:tcW w:w="1341" w:type="dxa"/>
            <w:vAlign w:val="center"/>
          </w:tcPr>
          <w:p>
            <w:pPr>
              <w:tabs>
                <w:tab w:val="left" w:pos="1337"/>
              </w:tabs>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939" w:type="dxa"/>
            <w:vAlign w:val="center"/>
          </w:tcPr>
          <w:p>
            <w:pPr>
              <w:tabs>
                <w:tab w:val="left" w:pos="1337"/>
              </w:tabs>
              <w:jc w:val="center"/>
              <w:rPr>
                <w:rFonts w:ascii="宋体" w:hAnsi="宋体"/>
                <w:sz w:val="24"/>
                <w:highlight w:val="none"/>
              </w:rPr>
            </w:pPr>
          </w:p>
        </w:tc>
        <w:tc>
          <w:tcPr>
            <w:tcW w:w="1469" w:type="dxa"/>
            <w:vAlign w:val="center"/>
          </w:tcPr>
          <w:p>
            <w:pPr>
              <w:tabs>
                <w:tab w:val="left" w:pos="1337"/>
              </w:tabs>
              <w:jc w:val="center"/>
              <w:rPr>
                <w:rFonts w:ascii="宋体" w:hAnsi="宋体"/>
                <w:sz w:val="24"/>
                <w:highlight w:val="none"/>
              </w:rPr>
            </w:pPr>
          </w:p>
        </w:tc>
        <w:tc>
          <w:tcPr>
            <w:tcW w:w="1594" w:type="dxa"/>
            <w:vAlign w:val="center"/>
          </w:tcPr>
          <w:p>
            <w:pPr>
              <w:tabs>
                <w:tab w:val="left" w:pos="1337"/>
              </w:tabs>
              <w:jc w:val="center"/>
              <w:rPr>
                <w:rFonts w:ascii="宋体" w:hAnsi="宋体"/>
                <w:sz w:val="24"/>
                <w:highlight w:val="none"/>
              </w:rPr>
            </w:pPr>
          </w:p>
        </w:tc>
        <w:tc>
          <w:tcPr>
            <w:tcW w:w="1592" w:type="dxa"/>
            <w:vAlign w:val="center"/>
          </w:tcPr>
          <w:p>
            <w:pPr>
              <w:tabs>
                <w:tab w:val="left" w:pos="1337"/>
              </w:tabs>
              <w:jc w:val="center"/>
              <w:rPr>
                <w:rFonts w:ascii="宋体" w:hAnsi="宋体"/>
                <w:sz w:val="24"/>
                <w:highlight w:val="none"/>
              </w:rPr>
            </w:pPr>
          </w:p>
        </w:tc>
        <w:tc>
          <w:tcPr>
            <w:tcW w:w="1460" w:type="dxa"/>
            <w:vAlign w:val="center"/>
          </w:tcPr>
          <w:p>
            <w:pPr>
              <w:tabs>
                <w:tab w:val="left" w:pos="1337"/>
              </w:tabs>
              <w:jc w:val="center"/>
              <w:rPr>
                <w:rFonts w:ascii="宋体" w:hAnsi="宋体"/>
                <w:sz w:val="24"/>
                <w:highlight w:val="none"/>
              </w:rPr>
            </w:pPr>
          </w:p>
        </w:tc>
        <w:tc>
          <w:tcPr>
            <w:tcW w:w="1462" w:type="dxa"/>
            <w:vAlign w:val="center"/>
          </w:tcPr>
          <w:p>
            <w:pPr>
              <w:tabs>
                <w:tab w:val="left" w:pos="1337"/>
              </w:tabs>
              <w:jc w:val="center"/>
              <w:rPr>
                <w:rFonts w:ascii="宋体" w:hAnsi="宋体"/>
                <w:sz w:val="24"/>
                <w:highlight w:val="none"/>
              </w:rPr>
            </w:pPr>
          </w:p>
        </w:tc>
        <w:tc>
          <w:tcPr>
            <w:tcW w:w="1341" w:type="dxa"/>
            <w:vAlign w:val="center"/>
          </w:tcPr>
          <w:p>
            <w:pPr>
              <w:tabs>
                <w:tab w:val="left" w:pos="1337"/>
              </w:tabs>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939" w:type="dxa"/>
            <w:vAlign w:val="center"/>
          </w:tcPr>
          <w:p>
            <w:pPr>
              <w:tabs>
                <w:tab w:val="left" w:pos="1337"/>
              </w:tabs>
              <w:jc w:val="center"/>
              <w:rPr>
                <w:rFonts w:ascii="宋体" w:hAnsi="宋体"/>
                <w:sz w:val="24"/>
                <w:highlight w:val="none"/>
              </w:rPr>
            </w:pPr>
          </w:p>
        </w:tc>
        <w:tc>
          <w:tcPr>
            <w:tcW w:w="1469" w:type="dxa"/>
            <w:vAlign w:val="center"/>
          </w:tcPr>
          <w:p>
            <w:pPr>
              <w:tabs>
                <w:tab w:val="left" w:pos="1337"/>
              </w:tabs>
              <w:jc w:val="center"/>
              <w:rPr>
                <w:rFonts w:ascii="宋体" w:hAnsi="宋体"/>
                <w:sz w:val="24"/>
                <w:highlight w:val="none"/>
              </w:rPr>
            </w:pPr>
          </w:p>
        </w:tc>
        <w:tc>
          <w:tcPr>
            <w:tcW w:w="1594" w:type="dxa"/>
            <w:vAlign w:val="center"/>
          </w:tcPr>
          <w:p>
            <w:pPr>
              <w:tabs>
                <w:tab w:val="left" w:pos="1337"/>
              </w:tabs>
              <w:jc w:val="center"/>
              <w:rPr>
                <w:rFonts w:ascii="宋体" w:hAnsi="宋体"/>
                <w:sz w:val="24"/>
                <w:highlight w:val="none"/>
              </w:rPr>
            </w:pPr>
          </w:p>
        </w:tc>
        <w:tc>
          <w:tcPr>
            <w:tcW w:w="1592" w:type="dxa"/>
            <w:vAlign w:val="center"/>
          </w:tcPr>
          <w:p>
            <w:pPr>
              <w:tabs>
                <w:tab w:val="left" w:pos="1337"/>
              </w:tabs>
              <w:jc w:val="center"/>
              <w:rPr>
                <w:rFonts w:ascii="宋体" w:hAnsi="宋体"/>
                <w:sz w:val="24"/>
                <w:highlight w:val="none"/>
              </w:rPr>
            </w:pPr>
          </w:p>
        </w:tc>
        <w:tc>
          <w:tcPr>
            <w:tcW w:w="1460" w:type="dxa"/>
            <w:vAlign w:val="center"/>
          </w:tcPr>
          <w:p>
            <w:pPr>
              <w:tabs>
                <w:tab w:val="left" w:pos="1337"/>
              </w:tabs>
              <w:jc w:val="center"/>
              <w:rPr>
                <w:rFonts w:ascii="宋体" w:hAnsi="宋体"/>
                <w:sz w:val="24"/>
                <w:highlight w:val="none"/>
              </w:rPr>
            </w:pPr>
          </w:p>
        </w:tc>
        <w:tc>
          <w:tcPr>
            <w:tcW w:w="1462" w:type="dxa"/>
            <w:vAlign w:val="center"/>
          </w:tcPr>
          <w:p>
            <w:pPr>
              <w:tabs>
                <w:tab w:val="left" w:pos="1337"/>
              </w:tabs>
              <w:jc w:val="center"/>
              <w:rPr>
                <w:rFonts w:ascii="宋体" w:hAnsi="宋体"/>
                <w:sz w:val="24"/>
                <w:highlight w:val="none"/>
              </w:rPr>
            </w:pPr>
          </w:p>
        </w:tc>
        <w:tc>
          <w:tcPr>
            <w:tcW w:w="1341" w:type="dxa"/>
            <w:vAlign w:val="center"/>
          </w:tcPr>
          <w:p>
            <w:pPr>
              <w:tabs>
                <w:tab w:val="left" w:pos="1337"/>
              </w:tabs>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939" w:type="dxa"/>
            <w:vAlign w:val="center"/>
          </w:tcPr>
          <w:p>
            <w:pPr>
              <w:tabs>
                <w:tab w:val="left" w:pos="1337"/>
              </w:tabs>
              <w:jc w:val="center"/>
              <w:rPr>
                <w:rFonts w:ascii="宋体" w:hAnsi="宋体"/>
                <w:sz w:val="24"/>
                <w:highlight w:val="none"/>
              </w:rPr>
            </w:pPr>
          </w:p>
        </w:tc>
        <w:tc>
          <w:tcPr>
            <w:tcW w:w="1469" w:type="dxa"/>
            <w:vAlign w:val="center"/>
          </w:tcPr>
          <w:p>
            <w:pPr>
              <w:tabs>
                <w:tab w:val="left" w:pos="1337"/>
              </w:tabs>
              <w:jc w:val="center"/>
              <w:rPr>
                <w:rFonts w:ascii="宋体" w:hAnsi="宋体"/>
                <w:sz w:val="24"/>
                <w:highlight w:val="none"/>
              </w:rPr>
            </w:pPr>
          </w:p>
        </w:tc>
        <w:tc>
          <w:tcPr>
            <w:tcW w:w="1594" w:type="dxa"/>
            <w:vAlign w:val="center"/>
          </w:tcPr>
          <w:p>
            <w:pPr>
              <w:tabs>
                <w:tab w:val="left" w:pos="1337"/>
              </w:tabs>
              <w:jc w:val="center"/>
              <w:rPr>
                <w:rFonts w:ascii="宋体" w:hAnsi="宋体"/>
                <w:sz w:val="24"/>
                <w:highlight w:val="none"/>
              </w:rPr>
            </w:pPr>
          </w:p>
        </w:tc>
        <w:tc>
          <w:tcPr>
            <w:tcW w:w="1592" w:type="dxa"/>
            <w:vAlign w:val="center"/>
          </w:tcPr>
          <w:p>
            <w:pPr>
              <w:tabs>
                <w:tab w:val="left" w:pos="1337"/>
              </w:tabs>
              <w:jc w:val="center"/>
              <w:rPr>
                <w:rFonts w:ascii="宋体" w:hAnsi="宋体"/>
                <w:sz w:val="24"/>
                <w:highlight w:val="none"/>
              </w:rPr>
            </w:pPr>
          </w:p>
        </w:tc>
        <w:tc>
          <w:tcPr>
            <w:tcW w:w="1460" w:type="dxa"/>
            <w:vAlign w:val="center"/>
          </w:tcPr>
          <w:p>
            <w:pPr>
              <w:tabs>
                <w:tab w:val="left" w:pos="1337"/>
              </w:tabs>
              <w:jc w:val="center"/>
              <w:rPr>
                <w:rFonts w:ascii="宋体" w:hAnsi="宋体"/>
                <w:sz w:val="24"/>
                <w:highlight w:val="none"/>
              </w:rPr>
            </w:pPr>
          </w:p>
        </w:tc>
        <w:tc>
          <w:tcPr>
            <w:tcW w:w="1462" w:type="dxa"/>
            <w:vAlign w:val="center"/>
          </w:tcPr>
          <w:p>
            <w:pPr>
              <w:tabs>
                <w:tab w:val="left" w:pos="1337"/>
              </w:tabs>
              <w:jc w:val="center"/>
              <w:rPr>
                <w:rFonts w:ascii="宋体" w:hAnsi="宋体"/>
                <w:sz w:val="24"/>
                <w:highlight w:val="none"/>
              </w:rPr>
            </w:pPr>
          </w:p>
        </w:tc>
        <w:tc>
          <w:tcPr>
            <w:tcW w:w="1341" w:type="dxa"/>
            <w:vAlign w:val="center"/>
          </w:tcPr>
          <w:p>
            <w:pPr>
              <w:tabs>
                <w:tab w:val="left" w:pos="1337"/>
              </w:tabs>
              <w:jc w:val="center"/>
              <w:rPr>
                <w:rFonts w:ascii="宋体" w:hAnsi="宋体"/>
                <w:sz w:val="24"/>
                <w:highlight w:val="none"/>
              </w:rPr>
            </w:pPr>
          </w:p>
        </w:tc>
      </w:tr>
    </w:tbl>
    <w:p>
      <w:pPr>
        <w:spacing w:line="360" w:lineRule="exact"/>
        <w:ind w:firstLine="480" w:firstLineChars="200"/>
        <w:rPr>
          <w:rFonts w:ascii="宋体"/>
          <w:sz w:val="24"/>
          <w:highlight w:val="none"/>
        </w:rPr>
      </w:pPr>
      <w:r>
        <w:rPr>
          <w:rFonts w:hint="eastAsia" w:ascii="宋体" w:hAnsi="宋体"/>
          <w:sz w:val="24"/>
          <w:highlight w:val="none"/>
        </w:rPr>
        <w:t>说明：①请填写采购文件已列明并要求响应人响应的如付款方式、报价有效期、服务期、培训方式、后续服务等商务条款，并逐一作出承诺。</w:t>
      </w:r>
    </w:p>
    <w:p>
      <w:pPr>
        <w:spacing w:line="360" w:lineRule="exact"/>
        <w:ind w:firstLine="480" w:firstLineChars="200"/>
        <w:rPr>
          <w:rFonts w:ascii="宋体" w:hAnsi="宋体"/>
          <w:sz w:val="24"/>
          <w:highlight w:val="none"/>
          <w:u w:val="single"/>
        </w:rPr>
      </w:pPr>
      <w:r>
        <w:rPr>
          <w:rFonts w:hint="eastAsia" w:ascii="宋体" w:hAnsi="宋体"/>
          <w:sz w:val="24"/>
          <w:highlight w:val="none"/>
        </w:rPr>
        <w:t>②请响应人在填写本表时，对应采购文件要求如实填写</w:t>
      </w:r>
      <w:r>
        <w:rPr>
          <w:rFonts w:ascii="宋体"/>
          <w:sz w:val="24"/>
          <w:highlight w:val="none"/>
        </w:rPr>
        <w:t>,</w:t>
      </w:r>
      <w:r>
        <w:rPr>
          <w:rFonts w:hint="eastAsia" w:ascii="宋体"/>
          <w:sz w:val="24"/>
          <w:highlight w:val="none"/>
        </w:rPr>
        <w:t>并必须用具体数字或文字来表述，不能复制采购文件要求或仅填写“（不）偏离”或虚假应标。</w:t>
      </w:r>
      <w:r>
        <w:rPr>
          <w:rFonts w:hint="eastAsia" w:ascii="宋体" w:hAnsi="宋体"/>
          <w:sz w:val="24"/>
          <w:highlight w:val="none"/>
        </w:rPr>
        <w:t>若响应人自行承诺的售后服务承诺与此表不一致的，则磋商小组有权作出不利于响应人的认定。</w:t>
      </w:r>
    </w:p>
    <w:p>
      <w:pPr>
        <w:spacing w:line="360" w:lineRule="exact"/>
        <w:ind w:right="187"/>
        <w:rPr>
          <w:rFonts w:ascii="宋体" w:hAnsi="宋体"/>
          <w:bCs/>
          <w:sz w:val="24"/>
          <w:highlight w:val="none"/>
        </w:rPr>
      </w:pPr>
    </w:p>
    <w:p>
      <w:pPr>
        <w:spacing w:line="360" w:lineRule="exact"/>
        <w:ind w:right="187"/>
        <w:rPr>
          <w:rFonts w:ascii="宋体" w:hAnsi="宋体"/>
          <w:bCs/>
          <w:sz w:val="24"/>
          <w:highlight w:val="none"/>
        </w:rPr>
      </w:pPr>
    </w:p>
    <w:p>
      <w:pPr>
        <w:spacing w:line="360" w:lineRule="exact"/>
        <w:ind w:right="187"/>
        <w:rPr>
          <w:rFonts w:ascii="宋体" w:hAnsi="宋体"/>
          <w:bCs/>
          <w:sz w:val="24"/>
          <w:highlight w:val="none"/>
          <w:u w:val="single"/>
        </w:rPr>
      </w:pPr>
      <w:r>
        <w:rPr>
          <w:rFonts w:hint="eastAsia" w:ascii="宋体" w:hAnsi="宋体"/>
          <w:sz w:val="24"/>
          <w:highlight w:val="none"/>
        </w:rPr>
        <w:t>响应人单位全称</w:t>
      </w:r>
      <w:r>
        <w:rPr>
          <w:rFonts w:hint="eastAsia" w:ascii="宋体" w:hAnsi="宋体"/>
          <w:bCs/>
          <w:sz w:val="24"/>
          <w:highlight w:val="none"/>
        </w:rPr>
        <w:t>（公章）：</w:t>
      </w:r>
    </w:p>
    <w:p>
      <w:pPr>
        <w:spacing w:line="360" w:lineRule="exact"/>
        <w:ind w:right="187"/>
        <w:rPr>
          <w:rFonts w:ascii="宋体" w:hAnsi="宋体"/>
          <w:bCs/>
          <w:sz w:val="24"/>
          <w:highlight w:val="none"/>
          <w:u w:val="single"/>
        </w:rPr>
      </w:pPr>
    </w:p>
    <w:p>
      <w:pPr>
        <w:spacing w:line="300" w:lineRule="exact"/>
        <w:ind w:right="187"/>
        <w:rPr>
          <w:rFonts w:ascii="宋体" w:hAnsi="宋体"/>
          <w:b/>
          <w:bCs/>
          <w:sz w:val="24"/>
          <w:highlight w:val="none"/>
        </w:rPr>
      </w:pPr>
      <w:r>
        <w:rPr>
          <w:rFonts w:hint="eastAsia" w:ascii="宋体" w:hAnsi="宋体"/>
          <w:bCs/>
          <w:sz w:val="24"/>
          <w:highlight w:val="none"/>
        </w:rPr>
        <w:t>法定代表人或授权代理人</w:t>
      </w:r>
      <w:r>
        <w:rPr>
          <w:rFonts w:hint="eastAsia" w:ascii="宋体" w:hAnsi="宋体"/>
          <w:sz w:val="24"/>
          <w:highlight w:val="none"/>
        </w:rPr>
        <w:t>签字或盖章</w:t>
      </w:r>
      <w:r>
        <w:rPr>
          <w:rFonts w:hint="eastAsia" w:ascii="宋体" w:hAnsi="宋体"/>
          <w:bCs/>
          <w:sz w:val="24"/>
          <w:highlight w:val="none"/>
        </w:rPr>
        <w:t>：</w:t>
      </w:r>
    </w:p>
    <w:p>
      <w:pPr>
        <w:pStyle w:val="33"/>
        <w:spacing w:line="240" w:lineRule="auto"/>
        <w:ind w:left="0" w:leftChars="0" w:firstLine="0" w:firstLineChars="0"/>
        <w:jc w:val="right"/>
        <w:rPr>
          <w:rFonts w:ascii="宋体" w:hAnsi="宋体"/>
          <w:b/>
          <w:highlight w:val="none"/>
        </w:rPr>
      </w:pPr>
      <w:r>
        <w:rPr>
          <w:rFonts w:hint="eastAsia" w:ascii="宋体" w:hAnsi="宋体"/>
          <w:highlight w:val="none"/>
        </w:rPr>
        <w:t>年月日</w:t>
      </w:r>
    </w:p>
    <w:p>
      <w:pPr>
        <w:pStyle w:val="33"/>
        <w:spacing w:line="240" w:lineRule="auto"/>
        <w:ind w:left="0" w:leftChars="0" w:firstLine="0" w:firstLineChars="0"/>
        <w:rPr>
          <w:rFonts w:ascii="宋体" w:hAnsi="宋体"/>
          <w:b/>
          <w:bCs/>
          <w:sz w:val="24"/>
          <w:szCs w:val="21"/>
          <w:highlight w:val="none"/>
        </w:rPr>
      </w:pPr>
      <w:r>
        <w:rPr>
          <w:rFonts w:ascii="宋体" w:hAnsi="宋体"/>
          <w:sz w:val="24"/>
          <w:highlight w:val="none"/>
        </w:rPr>
        <w:br w:type="page"/>
      </w:r>
      <w:bookmarkStart w:id="221" w:name="_Toc60585230"/>
      <w:bookmarkStart w:id="222" w:name="_Toc36192114"/>
      <w:r>
        <w:rPr>
          <w:rFonts w:hint="eastAsia" w:ascii="宋体" w:hAnsi="宋体"/>
          <w:b/>
          <w:bCs/>
          <w:sz w:val="24"/>
          <w:szCs w:val="21"/>
          <w:highlight w:val="none"/>
        </w:rPr>
        <w:t>格式五：项目拟投入人员情况一览表</w:t>
      </w:r>
      <w:bookmarkEnd w:id="221"/>
      <w:bookmarkEnd w:id="222"/>
    </w:p>
    <w:p>
      <w:pPr>
        <w:spacing w:line="360" w:lineRule="auto"/>
        <w:jc w:val="center"/>
        <w:rPr>
          <w:rFonts w:ascii="宋体" w:hAnsi="宋体"/>
          <w:b/>
          <w:sz w:val="24"/>
          <w:highlight w:val="none"/>
        </w:rPr>
      </w:pPr>
    </w:p>
    <w:p>
      <w:pPr>
        <w:spacing w:line="360" w:lineRule="auto"/>
        <w:jc w:val="center"/>
        <w:rPr>
          <w:rFonts w:ascii="宋体" w:hAnsi="宋体"/>
          <w:b/>
          <w:kern w:val="0"/>
          <w:sz w:val="32"/>
          <w:szCs w:val="20"/>
          <w:highlight w:val="none"/>
        </w:rPr>
      </w:pPr>
      <w:r>
        <w:rPr>
          <w:rFonts w:hint="eastAsia" w:ascii="宋体" w:hAnsi="宋体"/>
          <w:b/>
          <w:kern w:val="0"/>
          <w:sz w:val="32"/>
          <w:szCs w:val="20"/>
          <w:highlight w:val="none"/>
        </w:rPr>
        <w:t>项目拟投入人员情况一览表</w:t>
      </w:r>
    </w:p>
    <w:p>
      <w:pPr>
        <w:spacing w:line="360" w:lineRule="auto"/>
        <w:jc w:val="center"/>
        <w:rPr>
          <w:rFonts w:ascii="宋体" w:hAnsi="宋体" w:cs="宋体"/>
          <w:sz w:val="24"/>
          <w:highlight w:val="none"/>
        </w:rPr>
      </w:pPr>
    </w:p>
    <w:tbl>
      <w:tblPr>
        <w:tblStyle w:val="76"/>
        <w:tblW w:w="9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448"/>
        <w:gridCol w:w="1030"/>
        <w:gridCol w:w="786"/>
        <w:gridCol w:w="816"/>
        <w:gridCol w:w="1086"/>
        <w:gridCol w:w="1113"/>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7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序号</w:t>
            </w: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本项目中的分工或专业</w:t>
            </w:r>
          </w:p>
        </w:tc>
        <w:tc>
          <w:tcPr>
            <w:tcW w:w="10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姓名</w:t>
            </w:r>
          </w:p>
        </w:tc>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年龄</w:t>
            </w:r>
          </w:p>
        </w:tc>
        <w:tc>
          <w:tcPr>
            <w:tcW w:w="8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学历</w:t>
            </w:r>
          </w:p>
        </w:tc>
        <w:tc>
          <w:tcPr>
            <w:tcW w:w="10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所学专业</w:t>
            </w:r>
          </w:p>
        </w:tc>
        <w:tc>
          <w:tcPr>
            <w:tcW w:w="11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职称</w:t>
            </w:r>
          </w:p>
        </w:tc>
        <w:tc>
          <w:tcPr>
            <w:tcW w:w="25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执业资格证书情况</w:t>
            </w:r>
          </w:p>
          <w:p>
            <w:pPr>
              <w:spacing w:line="360" w:lineRule="auto"/>
              <w:jc w:val="center"/>
              <w:rPr>
                <w:rFonts w:ascii="宋体" w:hAnsi="宋体" w:cs="宋体"/>
                <w:sz w:val="24"/>
                <w:highlight w:val="none"/>
              </w:rPr>
            </w:pPr>
            <w:r>
              <w:rPr>
                <w:rFonts w:hint="eastAsia" w:ascii="宋体" w:hAnsi="宋体" w:cs="宋体"/>
                <w:sz w:val="24"/>
                <w:highlight w:val="none"/>
              </w:rPr>
              <w:t>（多个证书的，同时列出）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5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44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03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7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81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0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11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254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5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44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03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7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81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0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11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254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5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44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03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7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81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0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11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254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5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44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03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7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81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0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11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254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5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44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03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7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81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0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11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254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5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44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03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7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81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0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11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254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5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44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03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7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81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0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111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c>
          <w:tcPr>
            <w:tcW w:w="254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highlight w:val="none"/>
              </w:rPr>
            </w:pPr>
          </w:p>
        </w:tc>
      </w:tr>
    </w:tbl>
    <w:p>
      <w:pPr>
        <w:spacing w:line="360" w:lineRule="auto"/>
        <w:jc w:val="left"/>
        <w:rPr>
          <w:rFonts w:ascii="宋体" w:hAnsi="宋体" w:cs="宋体"/>
          <w:b/>
          <w:sz w:val="24"/>
          <w:highlight w:val="none"/>
        </w:rPr>
      </w:pPr>
      <w:r>
        <w:rPr>
          <w:rFonts w:hint="eastAsia" w:ascii="宋体" w:hAnsi="宋体" w:cs="宋体"/>
          <w:b/>
          <w:sz w:val="24"/>
          <w:highlight w:val="none"/>
        </w:rPr>
        <w:t>说明：本表后附每个项目成员的身份证、职称证（如有）、执业资格证（如有）等。</w:t>
      </w:r>
    </w:p>
    <w:p>
      <w:pPr>
        <w:spacing w:line="360" w:lineRule="auto"/>
        <w:ind w:right="187"/>
        <w:rPr>
          <w:rFonts w:ascii="宋体" w:hAnsi="宋体"/>
          <w:sz w:val="24"/>
          <w:highlight w:val="none"/>
        </w:rPr>
      </w:pPr>
    </w:p>
    <w:p>
      <w:pPr>
        <w:spacing w:line="360" w:lineRule="auto"/>
        <w:ind w:right="187"/>
        <w:rPr>
          <w:rFonts w:ascii="宋体" w:hAnsi="宋体"/>
          <w:bCs/>
          <w:sz w:val="24"/>
          <w:highlight w:val="none"/>
          <w:u w:val="single"/>
        </w:rPr>
      </w:pPr>
      <w:r>
        <w:rPr>
          <w:rFonts w:hint="eastAsia" w:ascii="宋体" w:hAnsi="宋体"/>
          <w:sz w:val="24"/>
          <w:highlight w:val="none"/>
        </w:rPr>
        <w:t>响应人名称</w:t>
      </w:r>
      <w:r>
        <w:rPr>
          <w:rFonts w:hint="eastAsia" w:ascii="宋体" w:hAnsi="宋体"/>
          <w:bCs/>
          <w:sz w:val="24"/>
          <w:highlight w:val="none"/>
        </w:rPr>
        <w:t>（公章）：</w:t>
      </w:r>
    </w:p>
    <w:p>
      <w:pPr>
        <w:spacing w:line="360" w:lineRule="auto"/>
        <w:ind w:right="187"/>
        <w:rPr>
          <w:rFonts w:ascii="宋体" w:hAnsi="宋体"/>
          <w:bCs/>
          <w:sz w:val="24"/>
          <w:highlight w:val="none"/>
          <w:u w:val="single"/>
        </w:rPr>
      </w:pPr>
    </w:p>
    <w:p>
      <w:pPr>
        <w:spacing w:line="360" w:lineRule="auto"/>
        <w:ind w:right="187"/>
        <w:rPr>
          <w:rFonts w:ascii="宋体" w:hAnsi="宋体"/>
          <w:b/>
          <w:bCs/>
          <w:sz w:val="24"/>
          <w:highlight w:val="none"/>
        </w:rPr>
      </w:pPr>
      <w:r>
        <w:rPr>
          <w:rFonts w:hint="eastAsia" w:ascii="宋体" w:hAnsi="宋体"/>
          <w:bCs/>
          <w:sz w:val="24"/>
          <w:highlight w:val="none"/>
        </w:rPr>
        <w:t>法定代表人或授权代理人签字</w:t>
      </w:r>
      <w:r>
        <w:rPr>
          <w:rFonts w:hint="eastAsia" w:ascii="宋体" w:hAnsi="宋体" w:cs="宋体"/>
          <w:sz w:val="24"/>
          <w:highlight w:val="none"/>
        </w:rPr>
        <w:t>或盖章</w:t>
      </w:r>
      <w:r>
        <w:rPr>
          <w:rFonts w:hint="eastAsia" w:ascii="宋体" w:hAnsi="宋体"/>
          <w:bCs/>
          <w:sz w:val="24"/>
          <w:highlight w:val="none"/>
        </w:rPr>
        <w:t>：</w:t>
      </w:r>
    </w:p>
    <w:p>
      <w:pPr>
        <w:pStyle w:val="33"/>
        <w:spacing w:line="240" w:lineRule="auto"/>
        <w:ind w:left="0" w:leftChars="0" w:firstLine="0" w:firstLineChars="0"/>
        <w:jc w:val="right"/>
        <w:rPr>
          <w:rFonts w:ascii="宋体" w:hAnsi="宋体"/>
          <w:b/>
          <w:highlight w:val="none"/>
        </w:rPr>
      </w:pPr>
      <w:r>
        <w:rPr>
          <w:rFonts w:hint="eastAsia" w:ascii="宋体" w:hAnsi="宋体"/>
          <w:bCs/>
          <w:highlight w:val="none"/>
        </w:rPr>
        <w:t>年月日</w:t>
      </w:r>
    </w:p>
    <w:p>
      <w:pPr>
        <w:spacing w:line="300" w:lineRule="exact"/>
        <w:ind w:right="187"/>
        <w:rPr>
          <w:rFonts w:ascii="宋体" w:hAnsi="宋体"/>
          <w:b/>
          <w:bCs/>
          <w:sz w:val="24"/>
          <w:szCs w:val="21"/>
          <w:highlight w:val="none"/>
        </w:rPr>
        <w:sectPr>
          <w:pgSz w:w="11907" w:h="16840"/>
          <w:pgMar w:top="1418" w:right="1418" w:bottom="1418" w:left="1418" w:header="851" w:footer="851" w:gutter="0"/>
          <w:cols w:space="720" w:num="1"/>
          <w:docGrid w:linePitch="290" w:charSpace="-3931"/>
        </w:sectPr>
      </w:pPr>
    </w:p>
    <w:p>
      <w:pPr>
        <w:pStyle w:val="4"/>
        <w:spacing w:before="120" w:after="120" w:line="360" w:lineRule="exact"/>
        <w:rPr>
          <w:rFonts w:ascii="宋体" w:hAnsi="宋体" w:eastAsia="宋体"/>
          <w:sz w:val="24"/>
          <w:szCs w:val="21"/>
          <w:highlight w:val="none"/>
        </w:rPr>
      </w:pPr>
      <w:bookmarkStart w:id="223" w:name="_Toc17838"/>
      <w:bookmarkStart w:id="224" w:name="_Toc60585231"/>
      <w:bookmarkStart w:id="225" w:name="_Toc10254"/>
      <w:bookmarkStart w:id="226" w:name="_Toc19105"/>
      <w:bookmarkStart w:id="227" w:name="_Toc19284"/>
      <w:r>
        <w:rPr>
          <w:rFonts w:hint="eastAsia" w:ascii="宋体" w:hAnsi="宋体" w:eastAsia="宋体"/>
          <w:sz w:val="24"/>
          <w:szCs w:val="21"/>
          <w:highlight w:val="none"/>
        </w:rPr>
        <w:t>格式六： 近年类似业绩一览表</w:t>
      </w:r>
      <w:bookmarkEnd w:id="223"/>
      <w:bookmarkEnd w:id="224"/>
      <w:bookmarkEnd w:id="225"/>
      <w:bookmarkEnd w:id="226"/>
      <w:bookmarkEnd w:id="227"/>
    </w:p>
    <w:p>
      <w:pPr>
        <w:spacing w:line="460" w:lineRule="exact"/>
        <w:jc w:val="center"/>
        <w:rPr>
          <w:rFonts w:ascii="宋体" w:hAnsi="宋体"/>
          <w:b/>
          <w:sz w:val="32"/>
          <w:szCs w:val="32"/>
          <w:highlight w:val="none"/>
        </w:rPr>
      </w:pPr>
      <w:r>
        <w:rPr>
          <w:rFonts w:hint="eastAsia" w:ascii="宋体" w:hAnsi="宋体"/>
          <w:b/>
          <w:sz w:val="32"/>
          <w:szCs w:val="32"/>
          <w:highlight w:val="none"/>
        </w:rPr>
        <w:t>近年类似业绩一览表</w:t>
      </w:r>
    </w:p>
    <w:p>
      <w:pPr>
        <w:pStyle w:val="33"/>
        <w:spacing w:line="360" w:lineRule="exact"/>
        <w:ind w:left="0" w:leftChars="0" w:firstLine="0" w:firstLineChars="0"/>
        <w:rPr>
          <w:rFonts w:ascii="宋体" w:hAnsi="宋体"/>
          <w:bCs/>
          <w:sz w:val="24"/>
          <w:highlight w:val="none"/>
        </w:rPr>
      </w:pPr>
      <w:r>
        <w:rPr>
          <w:rFonts w:hint="eastAsia" w:ascii="宋体" w:hAnsi="宋体"/>
          <w:bCs/>
          <w:sz w:val="24"/>
          <w:highlight w:val="none"/>
        </w:rPr>
        <w:t>项目编号</w:t>
      </w:r>
      <w:r>
        <w:rPr>
          <w:rFonts w:hint="eastAsia" w:ascii="宋体" w:hAnsi="宋体"/>
          <w:b w:val="0"/>
          <w:bCs/>
          <w:sz w:val="24"/>
          <w:highlight w:val="none"/>
        </w:rPr>
        <w:t>：</w:t>
      </w:r>
      <w:r>
        <w:rPr>
          <w:rFonts w:hint="eastAsia" w:ascii="宋体" w:hAnsi="宋体"/>
          <w:bCs/>
          <w:sz w:val="24"/>
          <w:highlight w:val="none"/>
        </w:rPr>
        <w:t>HYHAQD20___-_____</w:t>
      </w:r>
    </w:p>
    <w:p>
      <w:pPr>
        <w:pStyle w:val="33"/>
        <w:spacing w:line="360" w:lineRule="exact"/>
        <w:ind w:left="0" w:leftChars="0" w:firstLine="0" w:firstLineChars="0"/>
        <w:rPr>
          <w:rFonts w:hint="eastAsia" w:ascii="宋体" w:hAnsi="宋体"/>
          <w:bCs/>
          <w:sz w:val="24"/>
          <w:highlight w:val="none"/>
        </w:rPr>
      </w:pPr>
      <w:r>
        <w:rPr>
          <w:rFonts w:hint="eastAsia" w:ascii="宋体" w:hAnsi="宋体"/>
          <w:bCs/>
          <w:sz w:val="24"/>
          <w:highlight w:val="none"/>
        </w:rPr>
        <w:t>项目名称</w:t>
      </w:r>
      <w:r>
        <w:rPr>
          <w:rFonts w:hint="eastAsia" w:ascii="宋体" w:hAnsi="宋体"/>
          <w:b w:val="0"/>
          <w:bCs/>
          <w:sz w:val="24"/>
          <w:highlight w:val="none"/>
        </w:rPr>
        <w:t>：</w:t>
      </w:r>
      <w:r>
        <w:rPr>
          <w:rFonts w:hint="eastAsia" w:ascii="宋体" w:hAnsi="宋体"/>
          <w:bCs/>
          <w:sz w:val="24"/>
          <w:highlight w:val="none"/>
        </w:rPr>
        <w:t xml:space="preserve">____________________ </w:t>
      </w:r>
    </w:p>
    <w:p>
      <w:pPr>
        <w:pStyle w:val="33"/>
        <w:spacing w:line="360" w:lineRule="exact"/>
        <w:ind w:left="0" w:leftChars="0" w:firstLine="0" w:firstLineChars="0"/>
        <w:rPr>
          <w:rFonts w:hint="eastAsia" w:ascii="宋体" w:hAnsi="宋体"/>
          <w:bCs/>
          <w:sz w:val="24"/>
          <w:highlight w:val="none"/>
        </w:rPr>
      </w:pPr>
      <w:r>
        <w:rPr>
          <w:rFonts w:hint="eastAsia" w:ascii="宋体" w:hAnsi="宋体"/>
          <w:bCs/>
          <w:sz w:val="24"/>
          <w:highlight w:val="none"/>
          <w:lang w:val="en-US" w:eastAsia="zh-CN"/>
        </w:rPr>
        <w:t>包号</w:t>
      </w:r>
      <w:r>
        <w:rPr>
          <w:rFonts w:hint="eastAsia" w:ascii="宋体" w:hAnsi="宋体"/>
          <w:b w:val="0"/>
          <w:bCs/>
          <w:sz w:val="24"/>
          <w:highlight w:val="none"/>
        </w:rPr>
        <w:t>：</w:t>
      </w:r>
      <w:r>
        <w:rPr>
          <w:rFonts w:hint="eastAsia" w:ascii="宋体" w:hAnsi="宋体"/>
          <w:bCs/>
          <w:sz w:val="24"/>
          <w:highlight w:val="none"/>
        </w:rPr>
        <w:t>__________</w:t>
      </w:r>
    </w:p>
    <w:tbl>
      <w:tblPr>
        <w:tblStyle w:val="76"/>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1587"/>
        <w:gridCol w:w="1495"/>
        <w:gridCol w:w="1101"/>
        <w:gridCol w:w="1046"/>
        <w:gridCol w:w="1137"/>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680" w:type="dxa"/>
            <w:vAlign w:val="center"/>
          </w:tcPr>
          <w:p>
            <w:pPr>
              <w:tabs>
                <w:tab w:val="left" w:pos="720"/>
                <w:tab w:val="left" w:pos="1440"/>
                <w:tab w:val="left" w:pos="1620"/>
              </w:tabs>
              <w:ind w:left="-97" w:leftChars="-46" w:right="-68"/>
              <w:jc w:val="center"/>
              <w:rPr>
                <w:rFonts w:ascii="宋体" w:hAnsi="宋体"/>
                <w:bCs/>
                <w:sz w:val="24"/>
                <w:highlight w:val="none"/>
              </w:rPr>
            </w:pPr>
            <w:r>
              <w:rPr>
                <w:rFonts w:hint="eastAsia" w:ascii="宋体" w:hAnsi="宋体"/>
                <w:bCs/>
                <w:sz w:val="24"/>
                <w:highlight w:val="none"/>
              </w:rPr>
              <w:t>项目名称</w:t>
            </w:r>
          </w:p>
        </w:tc>
        <w:tc>
          <w:tcPr>
            <w:tcW w:w="1587" w:type="dxa"/>
            <w:vAlign w:val="center"/>
          </w:tcPr>
          <w:p>
            <w:pPr>
              <w:tabs>
                <w:tab w:val="left" w:pos="720"/>
                <w:tab w:val="left" w:pos="1440"/>
                <w:tab w:val="left" w:pos="1620"/>
              </w:tabs>
              <w:ind w:left="-97" w:leftChars="-46" w:right="-68"/>
              <w:jc w:val="center"/>
              <w:rPr>
                <w:rFonts w:ascii="宋体" w:hAnsi="宋体"/>
                <w:bCs/>
                <w:sz w:val="24"/>
                <w:highlight w:val="none"/>
              </w:rPr>
            </w:pPr>
            <w:r>
              <w:rPr>
                <w:rFonts w:hint="eastAsia" w:ascii="宋体" w:hAnsi="宋体"/>
                <w:bCs/>
                <w:sz w:val="24"/>
                <w:highlight w:val="none"/>
              </w:rPr>
              <w:t>项目单位</w:t>
            </w:r>
          </w:p>
        </w:tc>
        <w:tc>
          <w:tcPr>
            <w:tcW w:w="1495" w:type="dxa"/>
            <w:vAlign w:val="center"/>
          </w:tcPr>
          <w:p>
            <w:pPr>
              <w:tabs>
                <w:tab w:val="left" w:pos="720"/>
                <w:tab w:val="left" w:pos="1440"/>
                <w:tab w:val="left" w:pos="1620"/>
              </w:tabs>
              <w:ind w:right="-68"/>
              <w:jc w:val="center"/>
              <w:rPr>
                <w:rFonts w:ascii="宋体" w:hAnsi="宋体"/>
                <w:bCs/>
                <w:sz w:val="24"/>
                <w:highlight w:val="none"/>
              </w:rPr>
            </w:pPr>
            <w:r>
              <w:rPr>
                <w:rFonts w:hint="eastAsia" w:ascii="宋体" w:hAnsi="宋体"/>
                <w:bCs/>
                <w:sz w:val="24"/>
                <w:highlight w:val="none"/>
              </w:rPr>
              <w:t>合同内容</w:t>
            </w:r>
          </w:p>
        </w:tc>
        <w:tc>
          <w:tcPr>
            <w:tcW w:w="1101" w:type="dxa"/>
            <w:vAlign w:val="center"/>
          </w:tcPr>
          <w:p>
            <w:pPr>
              <w:tabs>
                <w:tab w:val="left" w:pos="720"/>
                <w:tab w:val="left" w:pos="1440"/>
                <w:tab w:val="left" w:pos="1620"/>
              </w:tabs>
              <w:ind w:left="-97" w:leftChars="-46" w:right="-68"/>
              <w:jc w:val="center"/>
              <w:rPr>
                <w:rFonts w:ascii="宋体" w:hAnsi="宋体"/>
                <w:bCs/>
                <w:sz w:val="24"/>
                <w:highlight w:val="none"/>
              </w:rPr>
            </w:pPr>
            <w:r>
              <w:rPr>
                <w:rFonts w:hint="eastAsia" w:ascii="宋体" w:hAnsi="宋体"/>
                <w:bCs/>
                <w:sz w:val="24"/>
                <w:highlight w:val="none"/>
              </w:rPr>
              <w:t>合同额</w:t>
            </w:r>
          </w:p>
        </w:tc>
        <w:tc>
          <w:tcPr>
            <w:tcW w:w="1046" w:type="dxa"/>
            <w:vAlign w:val="center"/>
          </w:tcPr>
          <w:p>
            <w:pPr>
              <w:tabs>
                <w:tab w:val="left" w:pos="720"/>
                <w:tab w:val="left" w:pos="1440"/>
                <w:tab w:val="left" w:pos="1620"/>
              </w:tabs>
              <w:ind w:left="-97" w:leftChars="-46" w:right="-68"/>
              <w:jc w:val="center"/>
              <w:rPr>
                <w:rFonts w:ascii="宋体" w:hAnsi="宋体"/>
                <w:bCs/>
                <w:sz w:val="24"/>
                <w:highlight w:val="none"/>
              </w:rPr>
            </w:pPr>
            <w:r>
              <w:rPr>
                <w:rFonts w:hint="eastAsia" w:ascii="宋体" w:hAnsi="宋体"/>
                <w:bCs/>
                <w:sz w:val="24"/>
                <w:highlight w:val="none"/>
              </w:rPr>
              <w:t>完工时间</w:t>
            </w:r>
          </w:p>
        </w:tc>
        <w:tc>
          <w:tcPr>
            <w:tcW w:w="1137" w:type="dxa"/>
            <w:vAlign w:val="center"/>
          </w:tcPr>
          <w:p>
            <w:pPr>
              <w:tabs>
                <w:tab w:val="left" w:pos="720"/>
                <w:tab w:val="left" w:pos="1440"/>
                <w:tab w:val="left" w:pos="1620"/>
              </w:tabs>
              <w:ind w:left="-97" w:leftChars="-46" w:right="-68"/>
              <w:jc w:val="center"/>
              <w:rPr>
                <w:rFonts w:ascii="宋体" w:hAnsi="宋体"/>
                <w:bCs/>
                <w:sz w:val="24"/>
                <w:highlight w:val="none"/>
              </w:rPr>
            </w:pPr>
            <w:r>
              <w:rPr>
                <w:rFonts w:hint="eastAsia" w:ascii="宋体" w:hAnsi="宋体"/>
                <w:bCs/>
                <w:sz w:val="24"/>
                <w:highlight w:val="none"/>
              </w:rPr>
              <w:t>项目单位联系人</w:t>
            </w:r>
          </w:p>
        </w:tc>
        <w:tc>
          <w:tcPr>
            <w:tcW w:w="1241" w:type="dxa"/>
            <w:vAlign w:val="center"/>
          </w:tcPr>
          <w:p>
            <w:pPr>
              <w:tabs>
                <w:tab w:val="left" w:pos="720"/>
                <w:tab w:val="left" w:pos="1440"/>
                <w:tab w:val="left" w:pos="1620"/>
              </w:tabs>
              <w:ind w:left="-97" w:leftChars="-46" w:right="-68"/>
              <w:jc w:val="center"/>
              <w:rPr>
                <w:rFonts w:ascii="宋体" w:hAnsi="宋体"/>
                <w:bCs/>
                <w:sz w:val="24"/>
                <w:highlight w:val="none"/>
              </w:rPr>
            </w:pPr>
            <w:r>
              <w:rPr>
                <w:rFonts w:hint="eastAsia" w:ascii="宋体" w:hAnsi="宋体"/>
                <w:bCs/>
                <w:sz w:val="24"/>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680" w:type="dxa"/>
          </w:tcPr>
          <w:p>
            <w:pPr>
              <w:tabs>
                <w:tab w:val="left" w:pos="720"/>
                <w:tab w:val="left" w:pos="1440"/>
                <w:tab w:val="left" w:pos="1620"/>
              </w:tabs>
              <w:ind w:right="187"/>
              <w:rPr>
                <w:rFonts w:ascii="宋体" w:hAnsi="宋体"/>
                <w:sz w:val="24"/>
                <w:highlight w:val="none"/>
              </w:rPr>
            </w:pPr>
          </w:p>
        </w:tc>
        <w:tc>
          <w:tcPr>
            <w:tcW w:w="1587" w:type="dxa"/>
          </w:tcPr>
          <w:p>
            <w:pPr>
              <w:tabs>
                <w:tab w:val="left" w:pos="720"/>
                <w:tab w:val="left" w:pos="1440"/>
                <w:tab w:val="left" w:pos="1620"/>
              </w:tabs>
              <w:ind w:right="187"/>
              <w:rPr>
                <w:rFonts w:ascii="宋体" w:hAnsi="宋体"/>
                <w:sz w:val="24"/>
                <w:highlight w:val="none"/>
              </w:rPr>
            </w:pPr>
          </w:p>
        </w:tc>
        <w:tc>
          <w:tcPr>
            <w:tcW w:w="1495" w:type="dxa"/>
          </w:tcPr>
          <w:p>
            <w:pPr>
              <w:tabs>
                <w:tab w:val="left" w:pos="720"/>
                <w:tab w:val="left" w:pos="1440"/>
                <w:tab w:val="left" w:pos="1620"/>
              </w:tabs>
              <w:ind w:right="187"/>
              <w:rPr>
                <w:rFonts w:ascii="宋体" w:hAnsi="宋体"/>
                <w:sz w:val="24"/>
                <w:highlight w:val="none"/>
              </w:rPr>
            </w:pPr>
          </w:p>
        </w:tc>
        <w:tc>
          <w:tcPr>
            <w:tcW w:w="1101" w:type="dxa"/>
          </w:tcPr>
          <w:p>
            <w:pPr>
              <w:tabs>
                <w:tab w:val="left" w:pos="720"/>
                <w:tab w:val="left" w:pos="1440"/>
                <w:tab w:val="left" w:pos="1620"/>
              </w:tabs>
              <w:ind w:right="187"/>
              <w:rPr>
                <w:rFonts w:ascii="宋体" w:hAnsi="宋体"/>
                <w:sz w:val="24"/>
                <w:highlight w:val="none"/>
              </w:rPr>
            </w:pPr>
          </w:p>
        </w:tc>
        <w:tc>
          <w:tcPr>
            <w:tcW w:w="1046" w:type="dxa"/>
          </w:tcPr>
          <w:p>
            <w:pPr>
              <w:tabs>
                <w:tab w:val="left" w:pos="720"/>
                <w:tab w:val="left" w:pos="1440"/>
                <w:tab w:val="left" w:pos="1620"/>
              </w:tabs>
              <w:ind w:right="187"/>
              <w:rPr>
                <w:rFonts w:ascii="宋体" w:hAnsi="宋体"/>
                <w:sz w:val="24"/>
                <w:highlight w:val="none"/>
              </w:rPr>
            </w:pPr>
          </w:p>
        </w:tc>
        <w:tc>
          <w:tcPr>
            <w:tcW w:w="1137" w:type="dxa"/>
          </w:tcPr>
          <w:p>
            <w:pPr>
              <w:tabs>
                <w:tab w:val="left" w:pos="720"/>
                <w:tab w:val="left" w:pos="1440"/>
                <w:tab w:val="left" w:pos="1620"/>
              </w:tabs>
              <w:ind w:right="187"/>
              <w:rPr>
                <w:rFonts w:ascii="宋体" w:hAnsi="宋体"/>
                <w:sz w:val="24"/>
                <w:highlight w:val="none"/>
              </w:rPr>
            </w:pPr>
          </w:p>
        </w:tc>
        <w:tc>
          <w:tcPr>
            <w:tcW w:w="1241" w:type="dxa"/>
          </w:tcPr>
          <w:p>
            <w:pPr>
              <w:tabs>
                <w:tab w:val="left" w:pos="720"/>
                <w:tab w:val="left" w:pos="1440"/>
                <w:tab w:val="left" w:pos="1620"/>
              </w:tabs>
              <w:ind w:right="187"/>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680" w:type="dxa"/>
          </w:tcPr>
          <w:p>
            <w:pPr>
              <w:tabs>
                <w:tab w:val="left" w:pos="720"/>
                <w:tab w:val="left" w:pos="1440"/>
                <w:tab w:val="left" w:pos="1620"/>
              </w:tabs>
              <w:ind w:right="187"/>
              <w:rPr>
                <w:rFonts w:ascii="宋体" w:hAnsi="宋体"/>
                <w:sz w:val="24"/>
                <w:highlight w:val="none"/>
              </w:rPr>
            </w:pPr>
          </w:p>
        </w:tc>
        <w:tc>
          <w:tcPr>
            <w:tcW w:w="1587" w:type="dxa"/>
          </w:tcPr>
          <w:p>
            <w:pPr>
              <w:tabs>
                <w:tab w:val="left" w:pos="720"/>
                <w:tab w:val="left" w:pos="1440"/>
                <w:tab w:val="left" w:pos="1620"/>
              </w:tabs>
              <w:ind w:right="187"/>
              <w:rPr>
                <w:rFonts w:ascii="宋体" w:hAnsi="宋体"/>
                <w:sz w:val="24"/>
                <w:highlight w:val="none"/>
              </w:rPr>
            </w:pPr>
          </w:p>
        </w:tc>
        <w:tc>
          <w:tcPr>
            <w:tcW w:w="1495" w:type="dxa"/>
          </w:tcPr>
          <w:p>
            <w:pPr>
              <w:tabs>
                <w:tab w:val="left" w:pos="720"/>
                <w:tab w:val="left" w:pos="1440"/>
                <w:tab w:val="left" w:pos="1620"/>
              </w:tabs>
              <w:ind w:right="187"/>
              <w:rPr>
                <w:rFonts w:ascii="宋体" w:hAnsi="宋体"/>
                <w:sz w:val="24"/>
                <w:highlight w:val="none"/>
              </w:rPr>
            </w:pPr>
          </w:p>
        </w:tc>
        <w:tc>
          <w:tcPr>
            <w:tcW w:w="1101" w:type="dxa"/>
          </w:tcPr>
          <w:p>
            <w:pPr>
              <w:tabs>
                <w:tab w:val="left" w:pos="720"/>
                <w:tab w:val="left" w:pos="1440"/>
                <w:tab w:val="left" w:pos="1620"/>
              </w:tabs>
              <w:ind w:right="187"/>
              <w:rPr>
                <w:rFonts w:ascii="宋体" w:hAnsi="宋体"/>
                <w:sz w:val="24"/>
                <w:highlight w:val="none"/>
              </w:rPr>
            </w:pPr>
          </w:p>
        </w:tc>
        <w:tc>
          <w:tcPr>
            <w:tcW w:w="1046" w:type="dxa"/>
          </w:tcPr>
          <w:p>
            <w:pPr>
              <w:tabs>
                <w:tab w:val="left" w:pos="720"/>
                <w:tab w:val="left" w:pos="1440"/>
                <w:tab w:val="left" w:pos="1620"/>
              </w:tabs>
              <w:ind w:right="187"/>
              <w:rPr>
                <w:rFonts w:ascii="宋体" w:hAnsi="宋体"/>
                <w:sz w:val="24"/>
                <w:highlight w:val="none"/>
              </w:rPr>
            </w:pPr>
          </w:p>
        </w:tc>
        <w:tc>
          <w:tcPr>
            <w:tcW w:w="1137" w:type="dxa"/>
          </w:tcPr>
          <w:p>
            <w:pPr>
              <w:tabs>
                <w:tab w:val="left" w:pos="720"/>
                <w:tab w:val="left" w:pos="1440"/>
                <w:tab w:val="left" w:pos="1620"/>
              </w:tabs>
              <w:ind w:right="187"/>
              <w:rPr>
                <w:rFonts w:ascii="宋体" w:hAnsi="宋体"/>
                <w:sz w:val="24"/>
                <w:highlight w:val="none"/>
              </w:rPr>
            </w:pPr>
          </w:p>
        </w:tc>
        <w:tc>
          <w:tcPr>
            <w:tcW w:w="1241" w:type="dxa"/>
          </w:tcPr>
          <w:p>
            <w:pPr>
              <w:tabs>
                <w:tab w:val="left" w:pos="720"/>
                <w:tab w:val="left" w:pos="1440"/>
                <w:tab w:val="left" w:pos="1620"/>
              </w:tabs>
              <w:ind w:right="187"/>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680" w:type="dxa"/>
          </w:tcPr>
          <w:p>
            <w:pPr>
              <w:tabs>
                <w:tab w:val="left" w:pos="720"/>
                <w:tab w:val="left" w:pos="1440"/>
                <w:tab w:val="left" w:pos="1620"/>
              </w:tabs>
              <w:ind w:right="187"/>
              <w:rPr>
                <w:rFonts w:ascii="宋体" w:hAnsi="宋体"/>
                <w:sz w:val="24"/>
                <w:highlight w:val="none"/>
              </w:rPr>
            </w:pPr>
          </w:p>
        </w:tc>
        <w:tc>
          <w:tcPr>
            <w:tcW w:w="1587" w:type="dxa"/>
          </w:tcPr>
          <w:p>
            <w:pPr>
              <w:tabs>
                <w:tab w:val="left" w:pos="720"/>
                <w:tab w:val="left" w:pos="1440"/>
                <w:tab w:val="left" w:pos="1620"/>
              </w:tabs>
              <w:ind w:right="187"/>
              <w:rPr>
                <w:rFonts w:ascii="宋体" w:hAnsi="宋体"/>
                <w:sz w:val="24"/>
                <w:highlight w:val="none"/>
              </w:rPr>
            </w:pPr>
          </w:p>
        </w:tc>
        <w:tc>
          <w:tcPr>
            <w:tcW w:w="1495" w:type="dxa"/>
          </w:tcPr>
          <w:p>
            <w:pPr>
              <w:tabs>
                <w:tab w:val="left" w:pos="720"/>
                <w:tab w:val="left" w:pos="1440"/>
                <w:tab w:val="left" w:pos="1620"/>
              </w:tabs>
              <w:ind w:right="187"/>
              <w:rPr>
                <w:rFonts w:ascii="宋体" w:hAnsi="宋体"/>
                <w:sz w:val="24"/>
                <w:highlight w:val="none"/>
              </w:rPr>
            </w:pPr>
          </w:p>
        </w:tc>
        <w:tc>
          <w:tcPr>
            <w:tcW w:w="1101" w:type="dxa"/>
          </w:tcPr>
          <w:p>
            <w:pPr>
              <w:tabs>
                <w:tab w:val="left" w:pos="720"/>
                <w:tab w:val="left" w:pos="1440"/>
                <w:tab w:val="left" w:pos="1620"/>
              </w:tabs>
              <w:ind w:right="187"/>
              <w:rPr>
                <w:rFonts w:ascii="宋体" w:hAnsi="宋体"/>
                <w:sz w:val="24"/>
                <w:highlight w:val="none"/>
              </w:rPr>
            </w:pPr>
          </w:p>
        </w:tc>
        <w:tc>
          <w:tcPr>
            <w:tcW w:w="1046" w:type="dxa"/>
          </w:tcPr>
          <w:p>
            <w:pPr>
              <w:tabs>
                <w:tab w:val="left" w:pos="720"/>
                <w:tab w:val="left" w:pos="1440"/>
                <w:tab w:val="left" w:pos="1620"/>
              </w:tabs>
              <w:ind w:right="187"/>
              <w:rPr>
                <w:rFonts w:ascii="宋体" w:hAnsi="宋体"/>
                <w:sz w:val="24"/>
                <w:highlight w:val="none"/>
              </w:rPr>
            </w:pPr>
          </w:p>
        </w:tc>
        <w:tc>
          <w:tcPr>
            <w:tcW w:w="1137" w:type="dxa"/>
          </w:tcPr>
          <w:p>
            <w:pPr>
              <w:tabs>
                <w:tab w:val="left" w:pos="720"/>
                <w:tab w:val="left" w:pos="1440"/>
                <w:tab w:val="left" w:pos="1620"/>
              </w:tabs>
              <w:ind w:right="187"/>
              <w:rPr>
                <w:rFonts w:ascii="宋体" w:hAnsi="宋体"/>
                <w:sz w:val="24"/>
                <w:highlight w:val="none"/>
              </w:rPr>
            </w:pPr>
          </w:p>
        </w:tc>
        <w:tc>
          <w:tcPr>
            <w:tcW w:w="1241" w:type="dxa"/>
          </w:tcPr>
          <w:p>
            <w:pPr>
              <w:tabs>
                <w:tab w:val="left" w:pos="720"/>
                <w:tab w:val="left" w:pos="1440"/>
                <w:tab w:val="left" w:pos="1620"/>
              </w:tabs>
              <w:ind w:right="187"/>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680" w:type="dxa"/>
          </w:tcPr>
          <w:p>
            <w:pPr>
              <w:tabs>
                <w:tab w:val="left" w:pos="720"/>
                <w:tab w:val="left" w:pos="1440"/>
                <w:tab w:val="left" w:pos="1620"/>
              </w:tabs>
              <w:ind w:right="187"/>
              <w:rPr>
                <w:rFonts w:ascii="宋体" w:hAnsi="宋体"/>
                <w:sz w:val="24"/>
                <w:highlight w:val="none"/>
              </w:rPr>
            </w:pPr>
          </w:p>
        </w:tc>
        <w:tc>
          <w:tcPr>
            <w:tcW w:w="1587" w:type="dxa"/>
          </w:tcPr>
          <w:p>
            <w:pPr>
              <w:tabs>
                <w:tab w:val="left" w:pos="720"/>
                <w:tab w:val="left" w:pos="1440"/>
                <w:tab w:val="left" w:pos="1620"/>
              </w:tabs>
              <w:ind w:right="187"/>
              <w:rPr>
                <w:rFonts w:ascii="宋体" w:hAnsi="宋体"/>
                <w:sz w:val="24"/>
                <w:highlight w:val="none"/>
              </w:rPr>
            </w:pPr>
          </w:p>
        </w:tc>
        <w:tc>
          <w:tcPr>
            <w:tcW w:w="1495" w:type="dxa"/>
          </w:tcPr>
          <w:p>
            <w:pPr>
              <w:tabs>
                <w:tab w:val="left" w:pos="720"/>
                <w:tab w:val="left" w:pos="1440"/>
                <w:tab w:val="left" w:pos="1620"/>
              </w:tabs>
              <w:ind w:right="187"/>
              <w:rPr>
                <w:rFonts w:ascii="宋体" w:hAnsi="宋体"/>
                <w:sz w:val="24"/>
                <w:highlight w:val="none"/>
              </w:rPr>
            </w:pPr>
          </w:p>
        </w:tc>
        <w:tc>
          <w:tcPr>
            <w:tcW w:w="1101" w:type="dxa"/>
          </w:tcPr>
          <w:p>
            <w:pPr>
              <w:tabs>
                <w:tab w:val="left" w:pos="720"/>
                <w:tab w:val="left" w:pos="1440"/>
                <w:tab w:val="left" w:pos="1620"/>
              </w:tabs>
              <w:ind w:right="187"/>
              <w:rPr>
                <w:rFonts w:ascii="宋体" w:hAnsi="宋体"/>
                <w:sz w:val="24"/>
                <w:highlight w:val="none"/>
              </w:rPr>
            </w:pPr>
          </w:p>
        </w:tc>
        <w:tc>
          <w:tcPr>
            <w:tcW w:w="1046" w:type="dxa"/>
          </w:tcPr>
          <w:p>
            <w:pPr>
              <w:tabs>
                <w:tab w:val="left" w:pos="720"/>
                <w:tab w:val="left" w:pos="1440"/>
                <w:tab w:val="left" w:pos="1620"/>
              </w:tabs>
              <w:ind w:right="187"/>
              <w:rPr>
                <w:rFonts w:ascii="宋体" w:hAnsi="宋体"/>
                <w:sz w:val="24"/>
                <w:highlight w:val="none"/>
              </w:rPr>
            </w:pPr>
          </w:p>
        </w:tc>
        <w:tc>
          <w:tcPr>
            <w:tcW w:w="1137" w:type="dxa"/>
          </w:tcPr>
          <w:p>
            <w:pPr>
              <w:tabs>
                <w:tab w:val="left" w:pos="720"/>
                <w:tab w:val="left" w:pos="1440"/>
                <w:tab w:val="left" w:pos="1620"/>
              </w:tabs>
              <w:ind w:right="187"/>
              <w:rPr>
                <w:rFonts w:ascii="宋体" w:hAnsi="宋体"/>
                <w:sz w:val="24"/>
                <w:highlight w:val="none"/>
              </w:rPr>
            </w:pPr>
          </w:p>
        </w:tc>
        <w:tc>
          <w:tcPr>
            <w:tcW w:w="1241" w:type="dxa"/>
          </w:tcPr>
          <w:p>
            <w:pPr>
              <w:tabs>
                <w:tab w:val="left" w:pos="720"/>
                <w:tab w:val="left" w:pos="1440"/>
                <w:tab w:val="left" w:pos="1620"/>
              </w:tabs>
              <w:ind w:right="187"/>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680" w:type="dxa"/>
          </w:tcPr>
          <w:p>
            <w:pPr>
              <w:tabs>
                <w:tab w:val="left" w:pos="720"/>
                <w:tab w:val="left" w:pos="1440"/>
                <w:tab w:val="left" w:pos="1620"/>
              </w:tabs>
              <w:ind w:right="187"/>
              <w:rPr>
                <w:rFonts w:ascii="宋体" w:hAnsi="宋体"/>
                <w:sz w:val="24"/>
                <w:highlight w:val="none"/>
              </w:rPr>
            </w:pPr>
          </w:p>
        </w:tc>
        <w:tc>
          <w:tcPr>
            <w:tcW w:w="1587" w:type="dxa"/>
          </w:tcPr>
          <w:p>
            <w:pPr>
              <w:tabs>
                <w:tab w:val="left" w:pos="720"/>
                <w:tab w:val="left" w:pos="1440"/>
                <w:tab w:val="left" w:pos="1620"/>
              </w:tabs>
              <w:ind w:right="187"/>
              <w:rPr>
                <w:rFonts w:ascii="宋体" w:hAnsi="宋体"/>
                <w:sz w:val="24"/>
                <w:highlight w:val="none"/>
              </w:rPr>
            </w:pPr>
          </w:p>
        </w:tc>
        <w:tc>
          <w:tcPr>
            <w:tcW w:w="1495" w:type="dxa"/>
          </w:tcPr>
          <w:p>
            <w:pPr>
              <w:tabs>
                <w:tab w:val="left" w:pos="720"/>
                <w:tab w:val="left" w:pos="1440"/>
                <w:tab w:val="left" w:pos="1620"/>
              </w:tabs>
              <w:ind w:right="187"/>
              <w:rPr>
                <w:rFonts w:ascii="宋体" w:hAnsi="宋体"/>
                <w:sz w:val="24"/>
                <w:highlight w:val="none"/>
              </w:rPr>
            </w:pPr>
          </w:p>
        </w:tc>
        <w:tc>
          <w:tcPr>
            <w:tcW w:w="1101" w:type="dxa"/>
          </w:tcPr>
          <w:p>
            <w:pPr>
              <w:tabs>
                <w:tab w:val="left" w:pos="720"/>
                <w:tab w:val="left" w:pos="1440"/>
                <w:tab w:val="left" w:pos="1620"/>
              </w:tabs>
              <w:ind w:right="187"/>
              <w:rPr>
                <w:rFonts w:ascii="宋体" w:hAnsi="宋体"/>
                <w:sz w:val="24"/>
                <w:highlight w:val="none"/>
              </w:rPr>
            </w:pPr>
          </w:p>
        </w:tc>
        <w:tc>
          <w:tcPr>
            <w:tcW w:w="1046" w:type="dxa"/>
          </w:tcPr>
          <w:p>
            <w:pPr>
              <w:tabs>
                <w:tab w:val="left" w:pos="720"/>
                <w:tab w:val="left" w:pos="1440"/>
                <w:tab w:val="left" w:pos="1620"/>
              </w:tabs>
              <w:ind w:right="187"/>
              <w:rPr>
                <w:rFonts w:ascii="宋体" w:hAnsi="宋体"/>
                <w:sz w:val="24"/>
                <w:highlight w:val="none"/>
              </w:rPr>
            </w:pPr>
          </w:p>
        </w:tc>
        <w:tc>
          <w:tcPr>
            <w:tcW w:w="1137" w:type="dxa"/>
          </w:tcPr>
          <w:p>
            <w:pPr>
              <w:tabs>
                <w:tab w:val="left" w:pos="720"/>
                <w:tab w:val="left" w:pos="1440"/>
                <w:tab w:val="left" w:pos="1620"/>
              </w:tabs>
              <w:ind w:right="187"/>
              <w:rPr>
                <w:rFonts w:ascii="宋体" w:hAnsi="宋体"/>
                <w:sz w:val="24"/>
                <w:highlight w:val="none"/>
              </w:rPr>
            </w:pPr>
          </w:p>
        </w:tc>
        <w:tc>
          <w:tcPr>
            <w:tcW w:w="1241" w:type="dxa"/>
          </w:tcPr>
          <w:p>
            <w:pPr>
              <w:tabs>
                <w:tab w:val="left" w:pos="720"/>
                <w:tab w:val="left" w:pos="1440"/>
                <w:tab w:val="left" w:pos="1620"/>
              </w:tabs>
              <w:ind w:right="187"/>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680" w:type="dxa"/>
          </w:tcPr>
          <w:p>
            <w:pPr>
              <w:tabs>
                <w:tab w:val="left" w:pos="720"/>
                <w:tab w:val="left" w:pos="1440"/>
                <w:tab w:val="left" w:pos="1620"/>
              </w:tabs>
              <w:ind w:right="187"/>
              <w:rPr>
                <w:rFonts w:ascii="宋体" w:hAnsi="宋体"/>
                <w:sz w:val="24"/>
                <w:highlight w:val="none"/>
              </w:rPr>
            </w:pPr>
          </w:p>
        </w:tc>
        <w:tc>
          <w:tcPr>
            <w:tcW w:w="1587" w:type="dxa"/>
          </w:tcPr>
          <w:p>
            <w:pPr>
              <w:tabs>
                <w:tab w:val="left" w:pos="720"/>
                <w:tab w:val="left" w:pos="1440"/>
                <w:tab w:val="left" w:pos="1620"/>
              </w:tabs>
              <w:ind w:right="187"/>
              <w:rPr>
                <w:rFonts w:ascii="宋体" w:hAnsi="宋体"/>
                <w:sz w:val="24"/>
                <w:highlight w:val="none"/>
              </w:rPr>
            </w:pPr>
          </w:p>
        </w:tc>
        <w:tc>
          <w:tcPr>
            <w:tcW w:w="1495" w:type="dxa"/>
          </w:tcPr>
          <w:p>
            <w:pPr>
              <w:tabs>
                <w:tab w:val="left" w:pos="720"/>
                <w:tab w:val="left" w:pos="1440"/>
                <w:tab w:val="left" w:pos="1620"/>
              </w:tabs>
              <w:ind w:right="187"/>
              <w:rPr>
                <w:rFonts w:ascii="宋体" w:hAnsi="宋体"/>
                <w:sz w:val="24"/>
                <w:highlight w:val="none"/>
              </w:rPr>
            </w:pPr>
          </w:p>
        </w:tc>
        <w:tc>
          <w:tcPr>
            <w:tcW w:w="1101" w:type="dxa"/>
          </w:tcPr>
          <w:p>
            <w:pPr>
              <w:tabs>
                <w:tab w:val="left" w:pos="720"/>
                <w:tab w:val="left" w:pos="1440"/>
                <w:tab w:val="left" w:pos="1620"/>
              </w:tabs>
              <w:ind w:right="187"/>
              <w:rPr>
                <w:rFonts w:ascii="宋体" w:hAnsi="宋体"/>
                <w:sz w:val="24"/>
                <w:highlight w:val="none"/>
              </w:rPr>
            </w:pPr>
          </w:p>
        </w:tc>
        <w:tc>
          <w:tcPr>
            <w:tcW w:w="1046" w:type="dxa"/>
          </w:tcPr>
          <w:p>
            <w:pPr>
              <w:tabs>
                <w:tab w:val="left" w:pos="720"/>
                <w:tab w:val="left" w:pos="1440"/>
                <w:tab w:val="left" w:pos="1620"/>
              </w:tabs>
              <w:ind w:right="187"/>
              <w:rPr>
                <w:rFonts w:ascii="宋体" w:hAnsi="宋体"/>
                <w:sz w:val="24"/>
                <w:highlight w:val="none"/>
              </w:rPr>
            </w:pPr>
          </w:p>
        </w:tc>
        <w:tc>
          <w:tcPr>
            <w:tcW w:w="1137" w:type="dxa"/>
          </w:tcPr>
          <w:p>
            <w:pPr>
              <w:tabs>
                <w:tab w:val="left" w:pos="720"/>
                <w:tab w:val="left" w:pos="1440"/>
                <w:tab w:val="left" w:pos="1620"/>
              </w:tabs>
              <w:ind w:right="187"/>
              <w:rPr>
                <w:rFonts w:ascii="宋体" w:hAnsi="宋体"/>
                <w:sz w:val="24"/>
                <w:highlight w:val="none"/>
              </w:rPr>
            </w:pPr>
          </w:p>
        </w:tc>
        <w:tc>
          <w:tcPr>
            <w:tcW w:w="1241" w:type="dxa"/>
          </w:tcPr>
          <w:p>
            <w:pPr>
              <w:tabs>
                <w:tab w:val="left" w:pos="720"/>
                <w:tab w:val="left" w:pos="1440"/>
                <w:tab w:val="left" w:pos="1620"/>
              </w:tabs>
              <w:ind w:right="187"/>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680" w:type="dxa"/>
          </w:tcPr>
          <w:p>
            <w:pPr>
              <w:tabs>
                <w:tab w:val="left" w:pos="720"/>
                <w:tab w:val="left" w:pos="1440"/>
                <w:tab w:val="left" w:pos="1620"/>
              </w:tabs>
              <w:ind w:right="187"/>
              <w:rPr>
                <w:rFonts w:ascii="宋体" w:hAnsi="宋体"/>
                <w:sz w:val="24"/>
                <w:highlight w:val="none"/>
              </w:rPr>
            </w:pPr>
          </w:p>
        </w:tc>
        <w:tc>
          <w:tcPr>
            <w:tcW w:w="1587" w:type="dxa"/>
          </w:tcPr>
          <w:p>
            <w:pPr>
              <w:tabs>
                <w:tab w:val="left" w:pos="720"/>
                <w:tab w:val="left" w:pos="1440"/>
                <w:tab w:val="left" w:pos="1620"/>
              </w:tabs>
              <w:ind w:right="187"/>
              <w:rPr>
                <w:rFonts w:ascii="宋体" w:hAnsi="宋体"/>
                <w:sz w:val="24"/>
                <w:highlight w:val="none"/>
              </w:rPr>
            </w:pPr>
          </w:p>
        </w:tc>
        <w:tc>
          <w:tcPr>
            <w:tcW w:w="1495" w:type="dxa"/>
          </w:tcPr>
          <w:p>
            <w:pPr>
              <w:tabs>
                <w:tab w:val="left" w:pos="720"/>
                <w:tab w:val="left" w:pos="1440"/>
                <w:tab w:val="left" w:pos="1620"/>
              </w:tabs>
              <w:ind w:right="187"/>
              <w:rPr>
                <w:rFonts w:ascii="宋体" w:hAnsi="宋体"/>
                <w:sz w:val="24"/>
                <w:highlight w:val="none"/>
              </w:rPr>
            </w:pPr>
          </w:p>
        </w:tc>
        <w:tc>
          <w:tcPr>
            <w:tcW w:w="1101" w:type="dxa"/>
          </w:tcPr>
          <w:p>
            <w:pPr>
              <w:tabs>
                <w:tab w:val="left" w:pos="720"/>
                <w:tab w:val="left" w:pos="1440"/>
                <w:tab w:val="left" w:pos="1620"/>
              </w:tabs>
              <w:ind w:right="187"/>
              <w:rPr>
                <w:rFonts w:ascii="宋体" w:hAnsi="宋体"/>
                <w:sz w:val="24"/>
                <w:highlight w:val="none"/>
              </w:rPr>
            </w:pPr>
          </w:p>
        </w:tc>
        <w:tc>
          <w:tcPr>
            <w:tcW w:w="1046" w:type="dxa"/>
          </w:tcPr>
          <w:p>
            <w:pPr>
              <w:tabs>
                <w:tab w:val="left" w:pos="720"/>
                <w:tab w:val="left" w:pos="1440"/>
                <w:tab w:val="left" w:pos="1620"/>
              </w:tabs>
              <w:ind w:right="187"/>
              <w:rPr>
                <w:rFonts w:ascii="宋体" w:hAnsi="宋体"/>
                <w:sz w:val="24"/>
                <w:highlight w:val="none"/>
              </w:rPr>
            </w:pPr>
          </w:p>
        </w:tc>
        <w:tc>
          <w:tcPr>
            <w:tcW w:w="1137" w:type="dxa"/>
          </w:tcPr>
          <w:p>
            <w:pPr>
              <w:tabs>
                <w:tab w:val="left" w:pos="720"/>
                <w:tab w:val="left" w:pos="1440"/>
                <w:tab w:val="left" w:pos="1620"/>
              </w:tabs>
              <w:ind w:right="187"/>
              <w:rPr>
                <w:rFonts w:ascii="宋体" w:hAnsi="宋体"/>
                <w:sz w:val="24"/>
                <w:highlight w:val="none"/>
              </w:rPr>
            </w:pPr>
          </w:p>
        </w:tc>
        <w:tc>
          <w:tcPr>
            <w:tcW w:w="1241" w:type="dxa"/>
          </w:tcPr>
          <w:p>
            <w:pPr>
              <w:tabs>
                <w:tab w:val="left" w:pos="720"/>
                <w:tab w:val="left" w:pos="1440"/>
                <w:tab w:val="left" w:pos="1620"/>
              </w:tabs>
              <w:ind w:right="187"/>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680" w:type="dxa"/>
          </w:tcPr>
          <w:p>
            <w:pPr>
              <w:tabs>
                <w:tab w:val="left" w:pos="720"/>
                <w:tab w:val="left" w:pos="1440"/>
                <w:tab w:val="left" w:pos="1620"/>
              </w:tabs>
              <w:ind w:right="187"/>
              <w:rPr>
                <w:rFonts w:ascii="宋体" w:hAnsi="宋体"/>
                <w:sz w:val="24"/>
                <w:highlight w:val="none"/>
              </w:rPr>
            </w:pPr>
          </w:p>
        </w:tc>
        <w:tc>
          <w:tcPr>
            <w:tcW w:w="1587" w:type="dxa"/>
          </w:tcPr>
          <w:p>
            <w:pPr>
              <w:tabs>
                <w:tab w:val="left" w:pos="720"/>
                <w:tab w:val="left" w:pos="1440"/>
                <w:tab w:val="left" w:pos="1620"/>
              </w:tabs>
              <w:ind w:right="187"/>
              <w:rPr>
                <w:rFonts w:ascii="宋体" w:hAnsi="宋体"/>
                <w:sz w:val="24"/>
                <w:highlight w:val="none"/>
              </w:rPr>
            </w:pPr>
          </w:p>
        </w:tc>
        <w:tc>
          <w:tcPr>
            <w:tcW w:w="1495" w:type="dxa"/>
          </w:tcPr>
          <w:p>
            <w:pPr>
              <w:tabs>
                <w:tab w:val="left" w:pos="720"/>
                <w:tab w:val="left" w:pos="1440"/>
                <w:tab w:val="left" w:pos="1620"/>
              </w:tabs>
              <w:ind w:right="187"/>
              <w:rPr>
                <w:rFonts w:ascii="宋体" w:hAnsi="宋体"/>
                <w:sz w:val="24"/>
                <w:highlight w:val="none"/>
              </w:rPr>
            </w:pPr>
          </w:p>
        </w:tc>
        <w:tc>
          <w:tcPr>
            <w:tcW w:w="1101" w:type="dxa"/>
          </w:tcPr>
          <w:p>
            <w:pPr>
              <w:tabs>
                <w:tab w:val="left" w:pos="720"/>
                <w:tab w:val="left" w:pos="1440"/>
                <w:tab w:val="left" w:pos="1620"/>
              </w:tabs>
              <w:ind w:right="187"/>
              <w:rPr>
                <w:rFonts w:ascii="宋体" w:hAnsi="宋体"/>
                <w:sz w:val="24"/>
                <w:highlight w:val="none"/>
              </w:rPr>
            </w:pPr>
          </w:p>
        </w:tc>
        <w:tc>
          <w:tcPr>
            <w:tcW w:w="1046" w:type="dxa"/>
          </w:tcPr>
          <w:p>
            <w:pPr>
              <w:tabs>
                <w:tab w:val="left" w:pos="720"/>
                <w:tab w:val="left" w:pos="1440"/>
                <w:tab w:val="left" w:pos="1620"/>
              </w:tabs>
              <w:ind w:right="187"/>
              <w:rPr>
                <w:rFonts w:ascii="宋体" w:hAnsi="宋体"/>
                <w:sz w:val="24"/>
                <w:highlight w:val="none"/>
              </w:rPr>
            </w:pPr>
          </w:p>
        </w:tc>
        <w:tc>
          <w:tcPr>
            <w:tcW w:w="1137" w:type="dxa"/>
          </w:tcPr>
          <w:p>
            <w:pPr>
              <w:tabs>
                <w:tab w:val="left" w:pos="720"/>
                <w:tab w:val="left" w:pos="1440"/>
                <w:tab w:val="left" w:pos="1620"/>
              </w:tabs>
              <w:ind w:right="187"/>
              <w:rPr>
                <w:rFonts w:ascii="宋体" w:hAnsi="宋体"/>
                <w:sz w:val="24"/>
                <w:highlight w:val="none"/>
              </w:rPr>
            </w:pPr>
          </w:p>
        </w:tc>
        <w:tc>
          <w:tcPr>
            <w:tcW w:w="1241" w:type="dxa"/>
          </w:tcPr>
          <w:p>
            <w:pPr>
              <w:tabs>
                <w:tab w:val="left" w:pos="720"/>
                <w:tab w:val="left" w:pos="1440"/>
                <w:tab w:val="left" w:pos="1620"/>
              </w:tabs>
              <w:ind w:right="187"/>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680" w:type="dxa"/>
          </w:tcPr>
          <w:p>
            <w:pPr>
              <w:tabs>
                <w:tab w:val="left" w:pos="720"/>
                <w:tab w:val="left" w:pos="1440"/>
                <w:tab w:val="left" w:pos="1620"/>
              </w:tabs>
              <w:ind w:right="187"/>
              <w:rPr>
                <w:rFonts w:ascii="宋体" w:hAnsi="宋体"/>
                <w:sz w:val="24"/>
                <w:highlight w:val="none"/>
              </w:rPr>
            </w:pPr>
          </w:p>
        </w:tc>
        <w:tc>
          <w:tcPr>
            <w:tcW w:w="1587" w:type="dxa"/>
          </w:tcPr>
          <w:p>
            <w:pPr>
              <w:tabs>
                <w:tab w:val="left" w:pos="720"/>
                <w:tab w:val="left" w:pos="1440"/>
                <w:tab w:val="left" w:pos="1620"/>
              </w:tabs>
              <w:ind w:right="187"/>
              <w:rPr>
                <w:rFonts w:ascii="宋体" w:hAnsi="宋体"/>
                <w:sz w:val="24"/>
                <w:highlight w:val="none"/>
              </w:rPr>
            </w:pPr>
          </w:p>
        </w:tc>
        <w:tc>
          <w:tcPr>
            <w:tcW w:w="1495" w:type="dxa"/>
          </w:tcPr>
          <w:p>
            <w:pPr>
              <w:tabs>
                <w:tab w:val="left" w:pos="720"/>
                <w:tab w:val="left" w:pos="1440"/>
                <w:tab w:val="left" w:pos="1620"/>
              </w:tabs>
              <w:ind w:right="187"/>
              <w:rPr>
                <w:rFonts w:ascii="宋体" w:hAnsi="宋体"/>
                <w:sz w:val="24"/>
                <w:highlight w:val="none"/>
              </w:rPr>
            </w:pPr>
          </w:p>
        </w:tc>
        <w:tc>
          <w:tcPr>
            <w:tcW w:w="1101" w:type="dxa"/>
          </w:tcPr>
          <w:p>
            <w:pPr>
              <w:tabs>
                <w:tab w:val="left" w:pos="720"/>
                <w:tab w:val="left" w:pos="1440"/>
                <w:tab w:val="left" w:pos="1620"/>
              </w:tabs>
              <w:ind w:right="187"/>
              <w:rPr>
                <w:rFonts w:ascii="宋体" w:hAnsi="宋体"/>
                <w:sz w:val="24"/>
                <w:highlight w:val="none"/>
              </w:rPr>
            </w:pPr>
          </w:p>
        </w:tc>
        <w:tc>
          <w:tcPr>
            <w:tcW w:w="1046" w:type="dxa"/>
          </w:tcPr>
          <w:p>
            <w:pPr>
              <w:tabs>
                <w:tab w:val="left" w:pos="720"/>
                <w:tab w:val="left" w:pos="1440"/>
                <w:tab w:val="left" w:pos="1620"/>
              </w:tabs>
              <w:ind w:right="187"/>
              <w:rPr>
                <w:rFonts w:ascii="宋体" w:hAnsi="宋体"/>
                <w:sz w:val="24"/>
                <w:highlight w:val="none"/>
              </w:rPr>
            </w:pPr>
          </w:p>
        </w:tc>
        <w:tc>
          <w:tcPr>
            <w:tcW w:w="1137" w:type="dxa"/>
          </w:tcPr>
          <w:p>
            <w:pPr>
              <w:tabs>
                <w:tab w:val="left" w:pos="720"/>
                <w:tab w:val="left" w:pos="1440"/>
                <w:tab w:val="left" w:pos="1620"/>
              </w:tabs>
              <w:ind w:right="187"/>
              <w:rPr>
                <w:rFonts w:ascii="宋体" w:hAnsi="宋体"/>
                <w:sz w:val="24"/>
                <w:highlight w:val="none"/>
              </w:rPr>
            </w:pPr>
          </w:p>
        </w:tc>
        <w:tc>
          <w:tcPr>
            <w:tcW w:w="1241" w:type="dxa"/>
          </w:tcPr>
          <w:p>
            <w:pPr>
              <w:tabs>
                <w:tab w:val="left" w:pos="720"/>
                <w:tab w:val="left" w:pos="1440"/>
                <w:tab w:val="left" w:pos="1620"/>
              </w:tabs>
              <w:ind w:right="187"/>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680" w:type="dxa"/>
          </w:tcPr>
          <w:p>
            <w:pPr>
              <w:tabs>
                <w:tab w:val="left" w:pos="720"/>
                <w:tab w:val="left" w:pos="1440"/>
                <w:tab w:val="left" w:pos="1620"/>
              </w:tabs>
              <w:ind w:right="187"/>
              <w:rPr>
                <w:rFonts w:ascii="宋体" w:hAnsi="宋体"/>
                <w:sz w:val="24"/>
                <w:highlight w:val="none"/>
              </w:rPr>
            </w:pPr>
          </w:p>
        </w:tc>
        <w:tc>
          <w:tcPr>
            <w:tcW w:w="1587" w:type="dxa"/>
          </w:tcPr>
          <w:p>
            <w:pPr>
              <w:tabs>
                <w:tab w:val="left" w:pos="720"/>
                <w:tab w:val="left" w:pos="1440"/>
                <w:tab w:val="left" w:pos="1620"/>
              </w:tabs>
              <w:ind w:right="187"/>
              <w:rPr>
                <w:rFonts w:ascii="宋体" w:hAnsi="宋体"/>
                <w:sz w:val="24"/>
                <w:highlight w:val="none"/>
              </w:rPr>
            </w:pPr>
          </w:p>
        </w:tc>
        <w:tc>
          <w:tcPr>
            <w:tcW w:w="1495" w:type="dxa"/>
          </w:tcPr>
          <w:p>
            <w:pPr>
              <w:tabs>
                <w:tab w:val="left" w:pos="720"/>
                <w:tab w:val="left" w:pos="1440"/>
                <w:tab w:val="left" w:pos="1620"/>
              </w:tabs>
              <w:ind w:right="187"/>
              <w:rPr>
                <w:rFonts w:ascii="宋体" w:hAnsi="宋体"/>
                <w:sz w:val="24"/>
                <w:highlight w:val="none"/>
              </w:rPr>
            </w:pPr>
          </w:p>
        </w:tc>
        <w:tc>
          <w:tcPr>
            <w:tcW w:w="1101" w:type="dxa"/>
          </w:tcPr>
          <w:p>
            <w:pPr>
              <w:tabs>
                <w:tab w:val="left" w:pos="720"/>
                <w:tab w:val="left" w:pos="1440"/>
                <w:tab w:val="left" w:pos="1620"/>
              </w:tabs>
              <w:ind w:right="187"/>
              <w:rPr>
                <w:rFonts w:ascii="宋体" w:hAnsi="宋体"/>
                <w:sz w:val="24"/>
                <w:highlight w:val="none"/>
              </w:rPr>
            </w:pPr>
          </w:p>
        </w:tc>
        <w:tc>
          <w:tcPr>
            <w:tcW w:w="1046" w:type="dxa"/>
          </w:tcPr>
          <w:p>
            <w:pPr>
              <w:tabs>
                <w:tab w:val="left" w:pos="720"/>
                <w:tab w:val="left" w:pos="1440"/>
                <w:tab w:val="left" w:pos="1620"/>
              </w:tabs>
              <w:ind w:right="187"/>
              <w:rPr>
                <w:rFonts w:ascii="宋体" w:hAnsi="宋体"/>
                <w:sz w:val="24"/>
                <w:highlight w:val="none"/>
              </w:rPr>
            </w:pPr>
          </w:p>
        </w:tc>
        <w:tc>
          <w:tcPr>
            <w:tcW w:w="1137" w:type="dxa"/>
          </w:tcPr>
          <w:p>
            <w:pPr>
              <w:tabs>
                <w:tab w:val="left" w:pos="720"/>
                <w:tab w:val="left" w:pos="1440"/>
                <w:tab w:val="left" w:pos="1620"/>
              </w:tabs>
              <w:ind w:right="187"/>
              <w:rPr>
                <w:rFonts w:ascii="宋体" w:hAnsi="宋体"/>
                <w:sz w:val="24"/>
                <w:highlight w:val="none"/>
              </w:rPr>
            </w:pPr>
          </w:p>
        </w:tc>
        <w:tc>
          <w:tcPr>
            <w:tcW w:w="1241" w:type="dxa"/>
          </w:tcPr>
          <w:p>
            <w:pPr>
              <w:tabs>
                <w:tab w:val="left" w:pos="720"/>
                <w:tab w:val="left" w:pos="1440"/>
                <w:tab w:val="left" w:pos="1620"/>
              </w:tabs>
              <w:ind w:right="187"/>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680" w:type="dxa"/>
          </w:tcPr>
          <w:p>
            <w:pPr>
              <w:tabs>
                <w:tab w:val="left" w:pos="720"/>
                <w:tab w:val="left" w:pos="1440"/>
                <w:tab w:val="left" w:pos="1620"/>
              </w:tabs>
              <w:ind w:right="187"/>
              <w:rPr>
                <w:rFonts w:ascii="宋体" w:hAnsi="宋体"/>
                <w:sz w:val="24"/>
                <w:highlight w:val="none"/>
              </w:rPr>
            </w:pPr>
          </w:p>
        </w:tc>
        <w:tc>
          <w:tcPr>
            <w:tcW w:w="1587" w:type="dxa"/>
          </w:tcPr>
          <w:p>
            <w:pPr>
              <w:tabs>
                <w:tab w:val="left" w:pos="720"/>
                <w:tab w:val="left" w:pos="1440"/>
                <w:tab w:val="left" w:pos="1620"/>
              </w:tabs>
              <w:ind w:right="187"/>
              <w:rPr>
                <w:rFonts w:ascii="宋体" w:hAnsi="宋体"/>
                <w:sz w:val="24"/>
                <w:highlight w:val="none"/>
              </w:rPr>
            </w:pPr>
          </w:p>
        </w:tc>
        <w:tc>
          <w:tcPr>
            <w:tcW w:w="1495" w:type="dxa"/>
          </w:tcPr>
          <w:p>
            <w:pPr>
              <w:tabs>
                <w:tab w:val="left" w:pos="720"/>
                <w:tab w:val="left" w:pos="1440"/>
                <w:tab w:val="left" w:pos="1620"/>
              </w:tabs>
              <w:ind w:right="187"/>
              <w:rPr>
                <w:rFonts w:ascii="宋体" w:hAnsi="宋体"/>
                <w:sz w:val="24"/>
                <w:highlight w:val="none"/>
              </w:rPr>
            </w:pPr>
          </w:p>
        </w:tc>
        <w:tc>
          <w:tcPr>
            <w:tcW w:w="1101" w:type="dxa"/>
          </w:tcPr>
          <w:p>
            <w:pPr>
              <w:tabs>
                <w:tab w:val="left" w:pos="720"/>
                <w:tab w:val="left" w:pos="1440"/>
                <w:tab w:val="left" w:pos="1620"/>
              </w:tabs>
              <w:ind w:right="187"/>
              <w:rPr>
                <w:rFonts w:ascii="宋体" w:hAnsi="宋体"/>
                <w:sz w:val="24"/>
                <w:highlight w:val="none"/>
              </w:rPr>
            </w:pPr>
          </w:p>
        </w:tc>
        <w:tc>
          <w:tcPr>
            <w:tcW w:w="1046" w:type="dxa"/>
          </w:tcPr>
          <w:p>
            <w:pPr>
              <w:tabs>
                <w:tab w:val="left" w:pos="720"/>
                <w:tab w:val="left" w:pos="1440"/>
                <w:tab w:val="left" w:pos="1620"/>
              </w:tabs>
              <w:ind w:right="187"/>
              <w:rPr>
                <w:rFonts w:ascii="宋体" w:hAnsi="宋体"/>
                <w:sz w:val="24"/>
                <w:highlight w:val="none"/>
              </w:rPr>
            </w:pPr>
          </w:p>
        </w:tc>
        <w:tc>
          <w:tcPr>
            <w:tcW w:w="1137" w:type="dxa"/>
          </w:tcPr>
          <w:p>
            <w:pPr>
              <w:tabs>
                <w:tab w:val="left" w:pos="720"/>
                <w:tab w:val="left" w:pos="1440"/>
                <w:tab w:val="left" w:pos="1620"/>
              </w:tabs>
              <w:ind w:right="187"/>
              <w:rPr>
                <w:rFonts w:ascii="宋体" w:hAnsi="宋体"/>
                <w:sz w:val="24"/>
                <w:highlight w:val="none"/>
              </w:rPr>
            </w:pPr>
          </w:p>
        </w:tc>
        <w:tc>
          <w:tcPr>
            <w:tcW w:w="1241" w:type="dxa"/>
          </w:tcPr>
          <w:p>
            <w:pPr>
              <w:tabs>
                <w:tab w:val="left" w:pos="720"/>
                <w:tab w:val="left" w:pos="1440"/>
                <w:tab w:val="left" w:pos="1620"/>
              </w:tabs>
              <w:ind w:right="187"/>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680" w:type="dxa"/>
          </w:tcPr>
          <w:p>
            <w:pPr>
              <w:tabs>
                <w:tab w:val="left" w:pos="720"/>
                <w:tab w:val="left" w:pos="1440"/>
                <w:tab w:val="left" w:pos="1620"/>
              </w:tabs>
              <w:ind w:right="187"/>
              <w:rPr>
                <w:rFonts w:ascii="宋体" w:hAnsi="宋体"/>
                <w:sz w:val="24"/>
                <w:highlight w:val="none"/>
              </w:rPr>
            </w:pPr>
          </w:p>
        </w:tc>
        <w:tc>
          <w:tcPr>
            <w:tcW w:w="1587" w:type="dxa"/>
          </w:tcPr>
          <w:p>
            <w:pPr>
              <w:tabs>
                <w:tab w:val="left" w:pos="720"/>
                <w:tab w:val="left" w:pos="1440"/>
                <w:tab w:val="left" w:pos="1620"/>
              </w:tabs>
              <w:ind w:right="187"/>
              <w:rPr>
                <w:rFonts w:ascii="宋体" w:hAnsi="宋体"/>
                <w:sz w:val="24"/>
                <w:highlight w:val="none"/>
              </w:rPr>
            </w:pPr>
          </w:p>
        </w:tc>
        <w:tc>
          <w:tcPr>
            <w:tcW w:w="1495" w:type="dxa"/>
          </w:tcPr>
          <w:p>
            <w:pPr>
              <w:tabs>
                <w:tab w:val="left" w:pos="720"/>
                <w:tab w:val="left" w:pos="1440"/>
                <w:tab w:val="left" w:pos="1620"/>
              </w:tabs>
              <w:ind w:right="187"/>
              <w:rPr>
                <w:rFonts w:ascii="宋体" w:hAnsi="宋体"/>
                <w:sz w:val="24"/>
                <w:highlight w:val="none"/>
              </w:rPr>
            </w:pPr>
          </w:p>
        </w:tc>
        <w:tc>
          <w:tcPr>
            <w:tcW w:w="1101" w:type="dxa"/>
          </w:tcPr>
          <w:p>
            <w:pPr>
              <w:tabs>
                <w:tab w:val="left" w:pos="720"/>
                <w:tab w:val="left" w:pos="1440"/>
                <w:tab w:val="left" w:pos="1620"/>
              </w:tabs>
              <w:ind w:right="187"/>
              <w:rPr>
                <w:rFonts w:ascii="宋体" w:hAnsi="宋体"/>
                <w:sz w:val="24"/>
                <w:highlight w:val="none"/>
              </w:rPr>
            </w:pPr>
          </w:p>
        </w:tc>
        <w:tc>
          <w:tcPr>
            <w:tcW w:w="1046" w:type="dxa"/>
          </w:tcPr>
          <w:p>
            <w:pPr>
              <w:tabs>
                <w:tab w:val="left" w:pos="720"/>
                <w:tab w:val="left" w:pos="1440"/>
                <w:tab w:val="left" w:pos="1620"/>
              </w:tabs>
              <w:ind w:right="187"/>
              <w:rPr>
                <w:rFonts w:ascii="宋体" w:hAnsi="宋体"/>
                <w:sz w:val="24"/>
                <w:highlight w:val="none"/>
              </w:rPr>
            </w:pPr>
          </w:p>
        </w:tc>
        <w:tc>
          <w:tcPr>
            <w:tcW w:w="1137" w:type="dxa"/>
          </w:tcPr>
          <w:p>
            <w:pPr>
              <w:tabs>
                <w:tab w:val="left" w:pos="720"/>
                <w:tab w:val="left" w:pos="1440"/>
                <w:tab w:val="left" w:pos="1620"/>
              </w:tabs>
              <w:ind w:right="187"/>
              <w:rPr>
                <w:rFonts w:ascii="宋体" w:hAnsi="宋体"/>
                <w:sz w:val="24"/>
                <w:highlight w:val="none"/>
              </w:rPr>
            </w:pPr>
          </w:p>
        </w:tc>
        <w:tc>
          <w:tcPr>
            <w:tcW w:w="1241" w:type="dxa"/>
          </w:tcPr>
          <w:p>
            <w:pPr>
              <w:tabs>
                <w:tab w:val="left" w:pos="720"/>
                <w:tab w:val="left" w:pos="1440"/>
                <w:tab w:val="left" w:pos="1620"/>
              </w:tabs>
              <w:ind w:right="187"/>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680" w:type="dxa"/>
          </w:tcPr>
          <w:p>
            <w:pPr>
              <w:tabs>
                <w:tab w:val="left" w:pos="720"/>
                <w:tab w:val="left" w:pos="1440"/>
                <w:tab w:val="left" w:pos="1620"/>
              </w:tabs>
              <w:ind w:right="187"/>
              <w:rPr>
                <w:rFonts w:ascii="宋体" w:hAnsi="宋体"/>
                <w:sz w:val="24"/>
                <w:highlight w:val="none"/>
              </w:rPr>
            </w:pPr>
          </w:p>
        </w:tc>
        <w:tc>
          <w:tcPr>
            <w:tcW w:w="1587" w:type="dxa"/>
          </w:tcPr>
          <w:p>
            <w:pPr>
              <w:tabs>
                <w:tab w:val="left" w:pos="720"/>
                <w:tab w:val="left" w:pos="1440"/>
                <w:tab w:val="left" w:pos="1620"/>
              </w:tabs>
              <w:ind w:right="187"/>
              <w:rPr>
                <w:rFonts w:ascii="宋体" w:hAnsi="宋体"/>
                <w:sz w:val="24"/>
                <w:highlight w:val="none"/>
              </w:rPr>
            </w:pPr>
          </w:p>
        </w:tc>
        <w:tc>
          <w:tcPr>
            <w:tcW w:w="1495" w:type="dxa"/>
          </w:tcPr>
          <w:p>
            <w:pPr>
              <w:tabs>
                <w:tab w:val="left" w:pos="720"/>
                <w:tab w:val="left" w:pos="1440"/>
                <w:tab w:val="left" w:pos="1620"/>
              </w:tabs>
              <w:ind w:right="187"/>
              <w:rPr>
                <w:rFonts w:ascii="宋体" w:hAnsi="宋体"/>
                <w:sz w:val="24"/>
                <w:highlight w:val="none"/>
              </w:rPr>
            </w:pPr>
          </w:p>
        </w:tc>
        <w:tc>
          <w:tcPr>
            <w:tcW w:w="1101" w:type="dxa"/>
          </w:tcPr>
          <w:p>
            <w:pPr>
              <w:tabs>
                <w:tab w:val="left" w:pos="720"/>
                <w:tab w:val="left" w:pos="1440"/>
                <w:tab w:val="left" w:pos="1620"/>
              </w:tabs>
              <w:ind w:right="187"/>
              <w:rPr>
                <w:rFonts w:ascii="宋体" w:hAnsi="宋体"/>
                <w:sz w:val="24"/>
                <w:highlight w:val="none"/>
              </w:rPr>
            </w:pPr>
          </w:p>
        </w:tc>
        <w:tc>
          <w:tcPr>
            <w:tcW w:w="1046" w:type="dxa"/>
          </w:tcPr>
          <w:p>
            <w:pPr>
              <w:tabs>
                <w:tab w:val="left" w:pos="720"/>
                <w:tab w:val="left" w:pos="1440"/>
                <w:tab w:val="left" w:pos="1620"/>
              </w:tabs>
              <w:ind w:right="187"/>
              <w:rPr>
                <w:rFonts w:ascii="宋体" w:hAnsi="宋体"/>
                <w:sz w:val="24"/>
                <w:highlight w:val="none"/>
              </w:rPr>
            </w:pPr>
          </w:p>
        </w:tc>
        <w:tc>
          <w:tcPr>
            <w:tcW w:w="1137" w:type="dxa"/>
          </w:tcPr>
          <w:p>
            <w:pPr>
              <w:tabs>
                <w:tab w:val="left" w:pos="720"/>
                <w:tab w:val="left" w:pos="1440"/>
                <w:tab w:val="left" w:pos="1620"/>
              </w:tabs>
              <w:ind w:right="187"/>
              <w:rPr>
                <w:rFonts w:ascii="宋体" w:hAnsi="宋体"/>
                <w:sz w:val="24"/>
                <w:highlight w:val="none"/>
              </w:rPr>
            </w:pPr>
          </w:p>
        </w:tc>
        <w:tc>
          <w:tcPr>
            <w:tcW w:w="1241" w:type="dxa"/>
          </w:tcPr>
          <w:p>
            <w:pPr>
              <w:tabs>
                <w:tab w:val="left" w:pos="720"/>
                <w:tab w:val="left" w:pos="1440"/>
                <w:tab w:val="left" w:pos="1620"/>
              </w:tabs>
              <w:ind w:right="187"/>
              <w:rPr>
                <w:rFonts w:ascii="宋体" w:hAnsi="宋体"/>
                <w:sz w:val="24"/>
                <w:highlight w:val="none"/>
              </w:rPr>
            </w:pPr>
          </w:p>
        </w:tc>
      </w:tr>
    </w:tbl>
    <w:p>
      <w:pPr>
        <w:pStyle w:val="33"/>
        <w:spacing w:line="400" w:lineRule="exact"/>
        <w:ind w:left="0" w:leftChars="0" w:firstLine="0" w:firstLineChars="0"/>
        <w:rPr>
          <w:rFonts w:ascii="宋体" w:hAnsi="宋体"/>
          <w:b/>
          <w:bCs/>
          <w:sz w:val="21"/>
          <w:highlight w:val="none"/>
        </w:rPr>
      </w:pPr>
      <w:r>
        <w:rPr>
          <w:rFonts w:hint="eastAsia" w:ascii="宋体" w:hAnsi="宋体"/>
          <w:b/>
          <w:bCs/>
          <w:sz w:val="21"/>
          <w:highlight w:val="none"/>
        </w:rPr>
        <w:t>请在此表后附合同或其他相关证明材料。具体要求详见评分办法。具体年份详见响应人须知前附表。</w:t>
      </w:r>
    </w:p>
    <w:p>
      <w:pPr>
        <w:spacing w:line="360" w:lineRule="exact"/>
        <w:ind w:right="187"/>
        <w:rPr>
          <w:rFonts w:ascii="宋体" w:hAnsi="宋体"/>
          <w:bCs/>
          <w:sz w:val="24"/>
          <w:highlight w:val="none"/>
        </w:rPr>
      </w:pPr>
    </w:p>
    <w:p>
      <w:pPr>
        <w:spacing w:line="360" w:lineRule="exact"/>
        <w:ind w:right="187"/>
        <w:rPr>
          <w:rFonts w:ascii="宋体" w:hAnsi="宋体"/>
          <w:bCs/>
          <w:sz w:val="24"/>
          <w:highlight w:val="none"/>
          <w:u w:val="single"/>
        </w:rPr>
      </w:pPr>
      <w:r>
        <w:rPr>
          <w:rFonts w:hint="eastAsia" w:ascii="宋体" w:hAnsi="宋体"/>
          <w:sz w:val="24"/>
          <w:highlight w:val="none"/>
        </w:rPr>
        <w:t>响应人单位全称</w:t>
      </w:r>
      <w:r>
        <w:rPr>
          <w:rFonts w:hint="eastAsia" w:ascii="宋体" w:hAnsi="宋体"/>
          <w:bCs/>
          <w:sz w:val="24"/>
          <w:highlight w:val="none"/>
        </w:rPr>
        <w:t>（公章）：</w:t>
      </w:r>
    </w:p>
    <w:p>
      <w:pPr>
        <w:spacing w:line="360" w:lineRule="exact"/>
        <w:ind w:right="187"/>
        <w:rPr>
          <w:rFonts w:ascii="宋体" w:hAnsi="宋体"/>
          <w:bCs/>
          <w:sz w:val="24"/>
          <w:highlight w:val="none"/>
          <w:u w:val="single"/>
        </w:rPr>
      </w:pPr>
    </w:p>
    <w:p>
      <w:pPr>
        <w:spacing w:line="300" w:lineRule="exact"/>
        <w:ind w:right="187"/>
        <w:rPr>
          <w:rFonts w:ascii="宋体" w:hAnsi="宋体"/>
          <w:b/>
          <w:bCs/>
          <w:sz w:val="24"/>
          <w:highlight w:val="none"/>
        </w:rPr>
      </w:pPr>
      <w:r>
        <w:rPr>
          <w:rFonts w:hint="eastAsia" w:ascii="宋体" w:hAnsi="宋体"/>
          <w:bCs/>
          <w:sz w:val="24"/>
          <w:highlight w:val="none"/>
        </w:rPr>
        <w:t>法定代表人或授权代理人</w:t>
      </w:r>
      <w:r>
        <w:rPr>
          <w:rFonts w:hint="eastAsia" w:ascii="宋体" w:hAnsi="宋体"/>
          <w:sz w:val="24"/>
          <w:highlight w:val="none"/>
        </w:rPr>
        <w:t>签字或盖章</w:t>
      </w:r>
      <w:r>
        <w:rPr>
          <w:rFonts w:hint="eastAsia" w:ascii="宋体" w:hAnsi="宋体"/>
          <w:bCs/>
          <w:sz w:val="24"/>
          <w:highlight w:val="none"/>
        </w:rPr>
        <w:t>：</w:t>
      </w:r>
    </w:p>
    <w:p>
      <w:pPr>
        <w:pStyle w:val="33"/>
        <w:spacing w:line="240" w:lineRule="auto"/>
        <w:ind w:left="0" w:leftChars="0" w:firstLine="0" w:firstLineChars="0"/>
        <w:jc w:val="right"/>
        <w:rPr>
          <w:rFonts w:ascii="宋体" w:hAnsi="宋体"/>
          <w:bCs/>
          <w:highlight w:val="none"/>
        </w:rPr>
        <w:sectPr>
          <w:pgSz w:w="11907" w:h="16840"/>
          <w:pgMar w:top="1418" w:right="1418" w:bottom="1418" w:left="1418" w:header="851" w:footer="851" w:gutter="0"/>
          <w:cols w:space="720" w:num="1"/>
          <w:docGrid w:linePitch="290" w:charSpace="-3931"/>
        </w:sectPr>
      </w:pPr>
      <w:r>
        <w:rPr>
          <w:rFonts w:hint="eastAsia" w:ascii="宋体" w:hAnsi="宋体"/>
          <w:bCs/>
          <w:highlight w:val="none"/>
        </w:rPr>
        <w:t>年月日</w:t>
      </w:r>
    </w:p>
    <w:p>
      <w:pPr>
        <w:pStyle w:val="4"/>
        <w:spacing w:before="120" w:after="120" w:line="360" w:lineRule="exact"/>
        <w:rPr>
          <w:rFonts w:ascii="宋体" w:hAnsi="宋体" w:eastAsia="宋体"/>
          <w:sz w:val="24"/>
          <w:szCs w:val="21"/>
          <w:highlight w:val="none"/>
        </w:rPr>
      </w:pPr>
      <w:bookmarkStart w:id="228" w:name="_Toc11176"/>
      <w:bookmarkStart w:id="229" w:name="_Toc30500"/>
      <w:bookmarkStart w:id="230" w:name="_Toc13443"/>
      <w:bookmarkStart w:id="231" w:name="_Toc5695"/>
      <w:bookmarkStart w:id="232" w:name="_Toc60585232"/>
      <w:r>
        <w:rPr>
          <w:rFonts w:hint="eastAsia" w:ascii="宋体" w:hAnsi="宋体" w:eastAsia="宋体"/>
          <w:sz w:val="24"/>
          <w:szCs w:val="21"/>
          <w:highlight w:val="none"/>
        </w:rPr>
        <w:t>格式七：商务情况表</w:t>
      </w:r>
      <w:bookmarkEnd w:id="228"/>
      <w:bookmarkEnd w:id="229"/>
      <w:bookmarkEnd w:id="230"/>
      <w:bookmarkEnd w:id="231"/>
      <w:bookmarkEnd w:id="232"/>
    </w:p>
    <w:p>
      <w:pPr>
        <w:jc w:val="center"/>
        <w:rPr>
          <w:sz w:val="32"/>
          <w:szCs w:val="40"/>
          <w:highlight w:val="none"/>
        </w:rPr>
      </w:pPr>
      <w:bookmarkStart w:id="233" w:name="_Toc6678"/>
      <w:r>
        <w:rPr>
          <w:rFonts w:hint="eastAsia"/>
          <w:sz w:val="32"/>
          <w:szCs w:val="40"/>
          <w:highlight w:val="none"/>
        </w:rPr>
        <w:t>响应人商务情况</w:t>
      </w:r>
      <w:bookmarkEnd w:id="233"/>
      <w:r>
        <w:rPr>
          <w:rFonts w:hint="eastAsia"/>
          <w:sz w:val="32"/>
          <w:szCs w:val="40"/>
          <w:highlight w:val="none"/>
        </w:rPr>
        <w:t>表</w:t>
      </w:r>
    </w:p>
    <w:tbl>
      <w:tblPr>
        <w:tblStyle w:val="7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6"/>
        <w:gridCol w:w="1243"/>
        <w:gridCol w:w="1055"/>
        <w:gridCol w:w="1521"/>
        <w:gridCol w:w="1423"/>
        <w:gridCol w:w="133"/>
        <w:gridCol w:w="878"/>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6" w:type="dxa"/>
            <w:vAlign w:val="center"/>
          </w:tcPr>
          <w:p>
            <w:pPr>
              <w:jc w:val="center"/>
              <w:rPr>
                <w:rFonts w:ascii="宋体" w:hAnsi="宋体" w:cs="宋体"/>
                <w:sz w:val="24"/>
                <w:highlight w:val="none"/>
              </w:rPr>
            </w:pPr>
            <w:r>
              <w:rPr>
                <w:rFonts w:hint="eastAsia" w:ascii="宋体" w:hAnsi="宋体" w:cs="宋体"/>
                <w:sz w:val="24"/>
                <w:highlight w:val="none"/>
              </w:rPr>
              <w:t>响应人名称</w:t>
            </w:r>
          </w:p>
        </w:tc>
        <w:tc>
          <w:tcPr>
            <w:tcW w:w="7572" w:type="dxa"/>
            <w:gridSpan w:val="7"/>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6" w:type="dxa"/>
            <w:vAlign w:val="center"/>
          </w:tcPr>
          <w:p>
            <w:pPr>
              <w:jc w:val="center"/>
              <w:rPr>
                <w:rFonts w:ascii="宋体" w:hAnsi="宋体" w:cs="宋体"/>
                <w:sz w:val="24"/>
                <w:highlight w:val="none"/>
              </w:rPr>
            </w:pPr>
            <w:r>
              <w:rPr>
                <w:rFonts w:hint="eastAsia" w:ascii="宋体" w:hAnsi="宋体" w:cs="宋体"/>
                <w:sz w:val="24"/>
                <w:highlight w:val="none"/>
              </w:rPr>
              <w:t>注册地址</w:t>
            </w:r>
          </w:p>
        </w:tc>
        <w:tc>
          <w:tcPr>
            <w:tcW w:w="3819" w:type="dxa"/>
            <w:gridSpan w:val="3"/>
            <w:vAlign w:val="center"/>
          </w:tcPr>
          <w:p>
            <w:pPr>
              <w:jc w:val="center"/>
              <w:rPr>
                <w:rFonts w:ascii="宋体" w:hAnsi="宋体" w:cs="宋体"/>
                <w:sz w:val="24"/>
                <w:highlight w:val="none"/>
              </w:rPr>
            </w:pPr>
          </w:p>
        </w:tc>
        <w:tc>
          <w:tcPr>
            <w:tcW w:w="1423" w:type="dxa"/>
            <w:vAlign w:val="center"/>
          </w:tcPr>
          <w:p>
            <w:pPr>
              <w:jc w:val="center"/>
              <w:rPr>
                <w:rFonts w:ascii="宋体" w:hAnsi="宋体" w:cs="宋体"/>
                <w:sz w:val="24"/>
                <w:highlight w:val="none"/>
              </w:rPr>
            </w:pPr>
            <w:r>
              <w:rPr>
                <w:rFonts w:hint="eastAsia" w:ascii="宋体" w:hAnsi="宋体" w:cs="宋体"/>
                <w:sz w:val="24"/>
                <w:highlight w:val="none"/>
              </w:rPr>
              <w:t>邮政编码</w:t>
            </w:r>
          </w:p>
        </w:tc>
        <w:tc>
          <w:tcPr>
            <w:tcW w:w="2330" w:type="dxa"/>
            <w:gridSpan w:val="3"/>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6" w:type="dxa"/>
            <w:vMerge w:val="restart"/>
            <w:vAlign w:val="center"/>
          </w:tcPr>
          <w:p>
            <w:pPr>
              <w:jc w:val="center"/>
              <w:rPr>
                <w:rFonts w:ascii="宋体" w:hAnsi="宋体" w:cs="宋体"/>
                <w:sz w:val="24"/>
                <w:highlight w:val="none"/>
              </w:rPr>
            </w:pPr>
            <w:r>
              <w:rPr>
                <w:rFonts w:hint="eastAsia" w:ascii="宋体" w:hAnsi="宋体" w:cs="宋体"/>
                <w:sz w:val="24"/>
                <w:highlight w:val="none"/>
              </w:rPr>
              <w:t>联系方式</w:t>
            </w:r>
          </w:p>
        </w:tc>
        <w:tc>
          <w:tcPr>
            <w:tcW w:w="1243" w:type="dxa"/>
            <w:vAlign w:val="center"/>
          </w:tcPr>
          <w:p>
            <w:pPr>
              <w:jc w:val="center"/>
              <w:rPr>
                <w:rFonts w:ascii="宋体" w:hAnsi="宋体" w:cs="宋体"/>
                <w:sz w:val="24"/>
                <w:highlight w:val="none"/>
              </w:rPr>
            </w:pPr>
            <w:r>
              <w:rPr>
                <w:rFonts w:hint="eastAsia" w:ascii="宋体" w:hAnsi="宋体" w:cs="宋体"/>
                <w:sz w:val="24"/>
                <w:highlight w:val="none"/>
              </w:rPr>
              <w:t>联系人</w:t>
            </w:r>
          </w:p>
        </w:tc>
        <w:tc>
          <w:tcPr>
            <w:tcW w:w="2576" w:type="dxa"/>
            <w:gridSpan w:val="2"/>
            <w:vAlign w:val="center"/>
          </w:tcPr>
          <w:p>
            <w:pPr>
              <w:jc w:val="center"/>
              <w:rPr>
                <w:rFonts w:ascii="宋体" w:hAnsi="宋体" w:cs="宋体"/>
                <w:sz w:val="24"/>
                <w:highlight w:val="none"/>
              </w:rPr>
            </w:pPr>
          </w:p>
        </w:tc>
        <w:tc>
          <w:tcPr>
            <w:tcW w:w="1423" w:type="dxa"/>
            <w:vAlign w:val="center"/>
          </w:tcPr>
          <w:p>
            <w:pPr>
              <w:jc w:val="center"/>
              <w:rPr>
                <w:rFonts w:ascii="宋体" w:hAnsi="宋体" w:cs="宋体"/>
                <w:sz w:val="24"/>
                <w:highlight w:val="none"/>
              </w:rPr>
            </w:pPr>
            <w:r>
              <w:rPr>
                <w:rFonts w:hint="eastAsia" w:ascii="宋体" w:hAnsi="宋体" w:cs="宋体"/>
                <w:sz w:val="24"/>
                <w:highlight w:val="none"/>
              </w:rPr>
              <w:t>电  话</w:t>
            </w:r>
          </w:p>
        </w:tc>
        <w:tc>
          <w:tcPr>
            <w:tcW w:w="2330" w:type="dxa"/>
            <w:gridSpan w:val="3"/>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6" w:type="dxa"/>
            <w:vMerge w:val="continue"/>
            <w:vAlign w:val="center"/>
          </w:tcPr>
          <w:p>
            <w:pPr>
              <w:jc w:val="center"/>
              <w:rPr>
                <w:rFonts w:ascii="宋体" w:hAnsi="宋体" w:cs="宋体"/>
                <w:sz w:val="24"/>
                <w:highlight w:val="none"/>
              </w:rPr>
            </w:pPr>
          </w:p>
        </w:tc>
        <w:tc>
          <w:tcPr>
            <w:tcW w:w="1243" w:type="dxa"/>
            <w:vAlign w:val="center"/>
          </w:tcPr>
          <w:p>
            <w:pPr>
              <w:jc w:val="center"/>
              <w:rPr>
                <w:rFonts w:ascii="宋体" w:hAnsi="宋体" w:cs="宋体"/>
                <w:sz w:val="24"/>
                <w:highlight w:val="none"/>
              </w:rPr>
            </w:pPr>
            <w:r>
              <w:rPr>
                <w:rFonts w:hint="eastAsia" w:ascii="宋体" w:hAnsi="宋体" w:cs="宋体"/>
                <w:sz w:val="24"/>
                <w:highlight w:val="none"/>
              </w:rPr>
              <w:t>传  真</w:t>
            </w:r>
          </w:p>
        </w:tc>
        <w:tc>
          <w:tcPr>
            <w:tcW w:w="2576" w:type="dxa"/>
            <w:gridSpan w:val="2"/>
            <w:vAlign w:val="center"/>
          </w:tcPr>
          <w:p>
            <w:pPr>
              <w:jc w:val="center"/>
              <w:rPr>
                <w:rFonts w:ascii="宋体" w:hAnsi="宋体" w:cs="宋体"/>
                <w:sz w:val="24"/>
                <w:highlight w:val="none"/>
              </w:rPr>
            </w:pPr>
          </w:p>
        </w:tc>
        <w:tc>
          <w:tcPr>
            <w:tcW w:w="1423" w:type="dxa"/>
            <w:vAlign w:val="center"/>
          </w:tcPr>
          <w:p>
            <w:pPr>
              <w:jc w:val="center"/>
              <w:rPr>
                <w:rFonts w:ascii="宋体" w:hAnsi="宋体" w:cs="宋体"/>
                <w:sz w:val="24"/>
                <w:highlight w:val="none"/>
              </w:rPr>
            </w:pPr>
            <w:r>
              <w:rPr>
                <w:rFonts w:hint="eastAsia" w:ascii="宋体" w:hAnsi="宋体" w:cs="宋体"/>
                <w:sz w:val="24"/>
                <w:highlight w:val="none"/>
              </w:rPr>
              <w:t>网  址</w:t>
            </w:r>
          </w:p>
        </w:tc>
        <w:tc>
          <w:tcPr>
            <w:tcW w:w="2330" w:type="dxa"/>
            <w:gridSpan w:val="3"/>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6" w:type="dxa"/>
            <w:vAlign w:val="center"/>
          </w:tcPr>
          <w:p>
            <w:pPr>
              <w:jc w:val="center"/>
              <w:rPr>
                <w:rFonts w:ascii="宋体" w:hAnsi="宋体" w:cs="宋体"/>
                <w:sz w:val="24"/>
                <w:highlight w:val="none"/>
              </w:rPr>
            </w:pPr>
            <w:r>
              <w:rPr>
                <w:rFonts w:hint="eastAsia" w:ascii="宋体" w:hAnsi="宋体" w:cs="宋体"/>
                <w:sz w:val="24"/>
                <w:highlight w:val="none"/>
              </w:rPr>
              <w:t>企业性质</w:t>
            </w:r>
          </w:p>
        </w:tc>
        <w:tc>
          <w:tcPr>
            <w:tcW w:w="7572" w:type="dxa"/>
            <w:gridSpan w:val="7"/>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6" w:type="dxa"/>
            <w:vAlign w:val="center"/>
          </w:tcPr>
          <w:p>
            <w:pPr>
              <w:jc w:val="center"/>
              <w:rPr>
                <w:rFonts w:ascii="宋体" w:hAnsi="宋体" w:cs="宋体"/>
                <w:sz w:val="24"/>
                <w:highlight w:val="none"/>
              </w:rPr>
            </w:pPr>
            <w:r>
              <w:rPr>
                <w:rFonts w:hint="eastAsia" w:ascii="宋体" w:hAnsi="宋体" w:cs="宋体"/>
                <w:sz w:val="24"/>
                <w:highlight w:val="none"/>
              </w:rPr>
              <w:t>法定代表人</w:t>
            </w:r>
          </w:p>
        </w:tc>
        <w:tc>
          <w:tcPr>
            <w:tcW w:w="1243" w:type="dxa"/>
            <w:vAlign w:val="center"/>
          </w:tcPr>
          <w:p>
            <w:pPr>
              <w:jc w:val="center"/>
              <w:rPr>
                <w:rFonts w:ascii="宋体" w:hAnsi="宋体" w:cs="宋体"/>
                <w:sz w:val="24"/>
                <w:highlight w:val="none"/>
              </w:rPr>
            </w:pPr>
            <w:r>
              <w:rPr>
                <w:rFonts w:hint="eastAsia" w:ascii="宋体" w:hAnsi="宋体" w:cs="宋体"/>
                <w:sz w:val="24"/>
                <w:highlight w:val="none"/>
              </w:rPr>
              <w:t>姓名</w:t>
            </w:r>
          </w:p>
        </w:tc>
        <w:tc>
          <w:tcPr>
            <w:tcW w:w="4132" w:type="dxa"/>
            <w:gridSpan w:val="4"/>
            <w:vAlign w:val="center"/>
          </w:tcPr>
          <w:p>
            <w:pPr>
              <w:jc w:val="center"/>
              <w:rPr>
                <w:rFonts w:ascii="宋体" w:hAnsi="宋体" w:cs="宋体"/>
                <w:sz w:val="24"/>
                <w:highlight w:val="none"/>
              </w:rPr>
            </w:pPr>
          </w:p>
        </w:tc>
        <w:tc>
          <w:tcPr>
            <w:tcW w:w="878" w:type="dxa"/>
            <w:vAlign w:val="center"/>
          </w:tcPr>
          <w:p>
            <w:pPr>
              <w:jc w:val="center"/>
              <w:rPr>
                <w:rFonts w:ascii="宋体" w:hAnsi="宋体" w:cs="宋体"/>
                <w:sz w:val="24"/>
                <w:highlight w:val="none"/>
              </w:rPr>
            </w:pPr>
            <w:r>
              <w:rPr>
                <w:rFonts w:hint="eastAsia" w:ascii="宋体" w:hAnsi="宋体" w:cs="宋体"/>
                <w:sz w:val="24"/>
                <w:highlight w:val="none"/>
              </w:rPr>
              <w:t>电话</w:t>
            </w:r>
          </w:p>
        </w:tc>
        <w:tc>
          <w:tcPr>
            <w:tcW w:w="1319" w:type="dxa"/>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6" w:type="dxa"/>
            <w:vAlign w:val="center"/>
          </w:tcPr>
          <w:p>
            <w:pPr>
              <w:jc w:val="center"/>
              <w:rPr>
                <w:rFonts w:ascii="宋体" w:hAnsi="宋体" w:cs="宋体"/>
                <w:sz w:val="24"/>
                <w:highlight w:val="none"/>
              </w:rPr>
            </w:pPr>
            <w:r>
              <w:rPr>
                <w:rFonts w:hint="eastAsia" w:ascii="宋体" w:hAnsi="宋体" w:cs="宋体"/>
                <w:sz w:val="24"/>
                <w:highlight w:val="none"/>
              </w:rPr>
              <w:t>成立时间</w:t>
            </w:r>
          </w:p>
        </w:tc>
        <w:tc>
          <w:tcPr>
            <w:tcW w:w="2298" w:type="dxa"/>
            <w:gridSpan w:val="2"/>
            <w:vAlign w:val="center"/>
          </w:tcPr>
          <w:p>
            <w:pPr>
              <w:jc w:val="center"/>
              <w:rPr>
                <w:rFonts w:ascii="宋体" w:hAnsi="宋体" w:cs="宋体"/>
                <w:sz w:val="24"/>
                <w:highlight w:val="none"/>
              </w:rPr>
            </w:pPr>
          </w:p>
        </w:tc>
        <w:tc>
          <w:tcPr>
            <w:tcW w:w="5274" w:type="dxa"/>
            <w:gridSpan w:val="5"/>
            <w:vAlign w:val="center"/>
          </w:tcPr>
          <w:p>
            <w:pPr>
              <w:jc w:val="center"/>
              <w:rPr>
                <w:rFonts w:ascii="宋体" w:hAnsi="宋体" w:cs="宋体"/>
                <w:sz w:val="24"/>
                <w:highlight w:val="none"/>
              </w:rPr>
            </w:pPr>
            <w:r>
              <w:rPr>
                <w:rFonts w:hint="eastAsia" w:ascii="宋体" w:hAnsi="宋体" w:cs="宋体"/>
                <w:sz w:val="24"/>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jc w:val="center"/>
        </w:trPr>
        <w:tc>
          <w:tcPr>
            <w:tcW w:w="1716" w:type="dxa"/>
            <w:vAlign w:val="center"/>
          </w:tcPr>
          <w:p>
            <w:pPr>
              <w:jc w:val="center"/>
              <w:rPr>
                <w:rFonts w:ascii="宋体" w:hAnsi="宋体" w:cs="宋体"/>
                <w:sz w:val="24"/>
                <w:highlight w:val="none"/>
              </w:rPr>
            </w:pPr>
            <w:r>
              <w:rPr>
                <w:rFonts w:hint="eastAsia" w:ascii="宋体" w:hAnsi="宋体" w:cs="宋体"/>
                <w:sz w:val="24"/>
                <w:highlight w:val="none"/>
              </w:rPr>
              <w:t>经营范围</w:t>
            </w:r>
          </w:p>
        </w:tc>
        <w:tc>
          <w:tcPr>
            <w:tcW w:w="7572" w:type="dxa"/>
            <w:gridSpan w:val="7"/>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jc w:val="center"/>
        </w:trPr>
        <w:tc>
          <w:tcPr>
            <w:tcW w:w="1716" w:type="dxa"/>
            <w:vAlign w:val="center"/>
          </w:tcPr>
          <w:p>
            <w:pPr>
              <w:jc w:val="center"/>
              <w:rPr>
                <w:rFonts w:ascii="宋体" w:hAnsi="宋体" w:cs="宋体"/>
                <w:sz w:val="24"/>
                <w:highlight w:val="none"/>
              </w:rPr>
            </w:pPr>
            <w:r>
              <w:rPr>
                <w:rFonts w:hint="eastAsia" w:ascii="宋体" w:hAnsi="宋体" w:cs="宋体"/>
                <w:sz w:val="24"/>
                <w:highlight w:val="none"/>
              </w:rPr>
              <w:t>企业简介</w:t>
            </w:r>
          </w:p>
        </w:tc>
        <w:tc>
          <w:tcPr>
            <w:tcW w:w="7572" w:type="dxa"/>
            <w:gridSpan w:val="7"/>
            <w:vAlign w:val="center"/>
          </w:tcPr>
          <w:p>
            <w:pPr>
              <w:jc w:val="center"/>
              <w:rPr>
                <w:rFonts w:ascii="宋体" w:hAnsi="宋体" w:cs="宋体"/>
                <w:sz w:val="20"/>
                <w:szCs w:val="22"/>
                <w:highlight w:val="none"/>
              </w:rPr>
            </w:pPr>
          </w:p>
          <w:p>
            <w:pPr>
              <w:pStyle w:val="5"/>
              <w:ind w:firstLine="480"/>
              <w:rPr>
                <w:rFonts w:ascii="宋体" w:hAnsi="宋体" w:cs="宋体"/>
                <w:sz w:val="24"/>
                <w:szCs w:val="24"/>
                <w:highlight w:val="none"/>
              </w:rPr>
            </w:pPr>
          </w:p>
          <w:p>
            <w:pPr>
              <w:pStyle w:val="5"/>
              <w:ind w:firstLine="480"/>
              <w:rPr>
                <w:rFonts w:ascii="宋体" w:hAnsi="宋体" w:cs="宋体"/>
                <w:sz w:val="24"/>
                <w:szCs w:val="24"/>
                <w:highlight w:val="none"/>
              </w:rPr>
            </w:pPr>
          </w:p>
          <w:p>
            <w:pPr>
              <w:pStyle w:val="5"/>
              <w:ind w:firstLine="480"/>
              <w:rPr>
                <w:rFonts w:ascii="宋体" w:hAnsi="宋体" w:cs="宋体"/>
                <w:sz w:val="24"/>
                <w:szCs w:val="24"/>
                <w:highlight w:val="none"/>
              </w:rPr>
            </w:pPr>
          </w:p>
          <w:p>
            <w:pPr>
              <w:pStyle w:val="5"/>
              <w:ind w:firstLine="480"/>
              <w:rPr>
                <w:rFonts w:ascii="宋体" w:hAnsi="宋体" w:cs="宋体"/>
                <w:sz w:val="24"/>
                <w:szCs w:val="24"/>
                <w:highlight w:val="none"/>
              </w:rPr>
            </w:pPr>
          </w:p>
          <w:p>
            <w:pPr>
              <w:pStyle w:val="5"/>
              <w:ind w:firstLine="480"/>
              <w:rPr>
                <w:rFonts w:ascii="宋体" w:hAnsi="宋体" w:cs="宋体"/>
                <w:sz w:val="24"/>
                <w:szCs w:val="24"/>
                <w:highlight w:val="none"/>
              </w:rPr>
            </w:pPr>
          </w:p>
          <w:p>
            <w:pPr>
              <w:pStyle w:val="5"/>
              <w:ind w:firstLine="480"/>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jc w:val="center"/>
        </w:trPr>
        <w:tc>
          <w:tcPr>
            <w:tcW w:w="1716" w:type="dxa"/>
            <w:vAlign w:val="center"/>
          </w:tcPr>
          <w:p>
            <w:pPr>
              <w:jc w:val="center"/>
              <w:rPr>
                <w:rFonts w:ascii="宋体" w:hAnsi="宋体" w:cs="宋体"/>
                <w:sz w:val="24"/>
                <w:highlight w:val="none"/>
              </w:rPr>
            </w:pPr>
            <w:r>
              <w:rPr>
                <w:rFonts w:hint="eastAsia" w:ascii="宋体" w:hAnsi="宋体" w:cs="宋体"/>
                <w:sz w:val="24"/>
                <w:highlight w:val="none"/>
              </w:rPr>
              <w:t>备注</w:t>
            </w:r>
          </w:p>
        </w:tc>
        <w:tc>
          <w:tcPr>
            <w:tcW w:w="7572" w:type="dxa"/>
            <w:gridSpan w:val="7"/>
            <w:vAlign w:val="center"/>
          </w:tcPr>
          <w:p>
            <w:pPr>
              <w:jc w:val="center"/>
              <w:rPr>
                <w:rFonts w:ascii="宋体" w:hAnsi="宋体" w:cs="宋体"/>
                <w:sz w:val="24"/>
                <w:highlight w:val="none"/>
              </w:rPr>
            </w:pPr>
          </w:p>
        </w:tc>
      </w:tr>
    </w:tbl>
    <w:p>
      <w:pPr>
        <w:pStyle w:val="6"/>
        <w:rPr>
          <w:rFonts w:ascii="宋体" w:hAnsi="宋体"/>
          <w:b w:val="0"/>
          <w:sz w:val="24"/>
          <w:szCs w:val="21"/>
          <w:highlight w:val="none"/>
        </w:rPr>
      </w:pPr>
      <w:r>
        <w:rPr>
          <w:rFonts w:hint="eastAsia" w:ascii="宋体" w:hAnsi="宋体"/>
          <w:b w:val="0"/>
          <w:bCs w:val="0"/>
          <w:sz w:val="24"/>
          <w:szCs w:val="21"/>
          <w:highlight w:val="none"/>
        </w:rPr>
        <w:br w:type="page"/>
      </w:r>
      <w:r>
        <w:rPr>
          <w:rFonts w:hint="eastAsia" w:ascii="宋体" w:hAnsi="宋体"/>
          <w:sz w:val="24"/>
          <w:szCs w:val="21"/>
          <w:highlight w:val="none"/>
        </w:rPr>
        <w:t>格式八:中小企业声明函（如有）</w:t>
      </w:r>
    </w:p>
    <w:p>
      <w:pPr>
        <w:jc w:val="center"/>
        <w:rPr>
          <w:rFonts w:ascii="宋体" w:hAnsi="宋体"/>
          <w:kern w:val="0"/>
          <w:sz w:val="32"/>
          <w:szCs w:val="22"/>
          <w:highlight w:val="none"/>
        </w:rPr>
      </w:pPr>
      <w:r>
        <w:rPr>
          <w:rFonts w:hint="eastAsia" w:ascii="宋体" w:hAnsi="宋体"/>
          <w:b/>
          <w:spacing w:val="1"/>
          <w:kern w:val="0"/>
          <w:sz w:val="32"/>
          <w:szCs w:val="22"/>
          <w:highlight w:val="none"/>
        </w:rPr>
        <w:t>中小企业声明函</w:t>
      </w:r>
    </w:p>
    <w:p>
      <w:pPr>
        <w:kinsoku w:val="0"/>
        <w:overflowPunct w:val="0"/>
        <w:autoSpaceDE w:val="0"/>
        <w:autoSpaceDN w:val="0"/>
        <w:adjustRightInd w:val="0"/>
        <w:spacing w:line="360" w:lineRule="auto"/>
        <w:ind w:left="120" w:right="116" w:firstLine="640"/>
        <w:jc w:val="left"/>
        <w:rPr>
          <w:rFonts w:ascii="宋体" w:hAnsi="宋体"/>
          <w:kern w:val="0"/>
          <w:sz w:val="24"/>
          <w:highlight w:val="none"/>
        </w:rPr>
      </w:pPr>
      <w:r>
        <w:rPr>
          <w:rFonts w:hint="eastAsia" w:ascii="宋体" w:hAnsi="宋体"/>
          <w:kern w:val="0"/>
          <w:sz w:val="24"/>
          <w:highlight w:val="none"/>
        </w:rPr>
        <w:t>本公司（联合体）郑重声明，根据《政府采购促进中小企业发展管理办法》（财库﹝</w:t>
      </w:r>
      <w:r>
        <w:rPr>
          <w:rFonts w:ascii="宋体" w:hAnsi="宋体"/>
          <w:kern w:val="0"/>
          <w:sz w:val="24"/>
          <w:highlight w:val="none"/>
        </w:rPr>
        <w:t>2020</w:t>
      </w:r>
      <w:r>
        <w:rPr>
          <w:rFonts w:hint="eastAsia" w:ascii="宋体" w:hAnsi="宋体"/>
          <w:kern w:val="0"/>
          <w:sz w:val="24"/>
          <w:highlight w:val="none"/>
        </w:rPr>
        <w:t>﹞</w:t>
      </w:r>
      <w:r>
        <w:rPr>
          <w:rFonts w:ascii="宋体" w:hAnsi="宋体"/>
          <w:kern w:val="0"/>
          <w:sz w:val="24"/>
          <w:highlight w:val="none"/>
        </w:rPr>
        <w:t>46</w:t>
      </w:r>
      <w:r>
        <w:rPr>
          <w:rFonts w:hint="eastAsia" w:ascii="宋体" w:hAnsi="宋体"/>
          <w:kern w:val="0"/>
          <w:sz w:val="24"/>
          <w:highlight w:val="none"/>
        </w:rPr>
        <w:t>号）的规定，本公司参加</w:t>
      </w:r>
      <w:r>
        <w:rPr>
          <w:rFonts w:hint="eastAsia" w:ascii="宋体" w:hAnsi="宋体"/>
          <w:i/>
          <w:kern w:val="0"/>
          <w:sz w:val="24"/>
          <w:highlight w:val="none"/>
          <w:u w:val="single"/>
        </w:rPr>
        <w:t>（单位名称）</w:t>
      </w:r>
      <w:r>
        <w:rPr>
          <w:rFonts w:hint="eastAsia" w:ascii="宋体" w:hAnsi="宋体"/>
          <w:kern w:val="0"/>
          <w:sz w:val="24"/>
          <w:highlight w:val="none"/>
        </w:rPr>
        <w:t>的</w:t>
      </w:r>
      <w:r>
        <w:rPr>
          <w:rFonts w:hint="eastAsia" w:ascii="宋体" w:hAnsi="宋体"/>
          <w:i/>
          <w:kern w:val="0"/>
          <w:sz w:val="24"/>
          <w:highlight w:val="none"/>
          <w:u w:val="single"/>
        </w:rPr>
        <w:t>（项目名称）</w:t>
      </w:r>
      <w:r>
        <w:rPr>
          <w:rFonts w:hint="eastAsia" w:ascii="宋体" w:hAnsi="宋体"/>
          <w:kern w:val="0"/>
          <w:sz w:val="24"/>
          <w:highlight w:val="none"/>
        </w:rPr>
        <w:t>采购活动，服务全部由符合政策要求的中小企业承接。相关企业的具体情况如下：</w:t>
      </w:r>
    </w:p>
    <w:p>
      <w:pPr>
        <w:tabs>
          <w:tab w:val="left" w:pos="1706"/>
          <w:tab w:val="left" w:pos="4185"/>
          <w:tab w:val="left" w:pos="7193"/>
        </w:tabs>
        <w:kinsoku w:val="0"/>
        <w:overflowPunct w:val="0"/>
        <w:autoSpaceDE w:val="0"/>
        <w:autoSpaceDN w:val="0"/>
        <w:adjustRightInd w:val="0"/>
        <w:spacing w:before="11" w:line="360" w:lineRule="auto"/>
        <w:ind w:left="105" w:right="116" w:firstLine="655"/>
        <w:jc w:val="left"/>
        <w:rPr>
          <w:rFonts w:ascii="宋体" w:hAnsi="宋体"/>
          <w:kern w:val="0"/>
          <w:sz w:val="24"/>
          <w:highlight w:val="none"/>
        </w:rPr>
      </w:pPr>
      <w:r>
        <w:rPr>
          <w:rFonts w:ascii="宋体" w:hAnsi="宋体"/>
          <w:kern w:val="0"/>
          <w:sz w:val="24"/>
          <w:highlight w:val="none"/>
        </w:rPr>
        <w:t xml:space="preserve">1. </w:t>
      </w:r>
      <w:r>
        <w:rPr>
          <w:rFonts w:hint="eastAsia" w:ascii="宋体" w:hAnsi="宋体"/>
          <w:i/>
          <w:kern w:val="0"/>
          <w:sz w:val="24"/>
          <w:highlight w:val="none"/>
          <w:u w:val="single"/>
        </w:rPr>
        <w:t>（标的名称）</w:t>
      </w:r>
      <w:r>
        <w:rPr>
          <w:rFonts w:hint="eastAsia" w:ascii="宋体" w:hAnsi="宋体"/>
          <w:kern w:val="0"/>
          <w:sz w:val="24"/>
          <w:highlight w:val="none"/>
        </w:rPr>
        <w:t>，属于</w:t>
      </w:r>
      <w:r>
        <w:rPr>
          <w:rFonts w:hint="eastAsia" w:ascii="宋体" w:hAnsi="宋体"/>
          <w:i/>
          <w:kern w:val="0"/>
          <w:sz w:val="24"/>
          <w:highlight w:val="none"/>
          <w:u w:val="single"/>
        </w:rPr>
        <w:t>（采购文件中明确的所属行业）</w:t>
      </w:r>
      <w:r>
        <w:rPr>
          <w:rFonts w:hint="eastAsia" w:ascii="宋体" w:hAnsi="宋体"/>
          <w:kern w:val="0"/>
          <w:sz w:val="24"/>
          <w:highlight w:val="none"/>
        </w:rPr>
        <w:t>；承建（承接）企业为</w:t>
      </w:r>
      <w:r>
        <w:rPr>
          <w:rFonts w:hint="eastAsia" w:ascii="宋体" w:hAnsi="宋体"/>
          <w:i/>
          <w:kern w:val="0"/>
          <w:sz w:val="24"/>
          <w:highlight w:val="none"/>
          <w:u w:val="single"/>
        </w:rPr>
        <w:t>（企业名称）</w:t>
      </w:r>
      <w:r>
        <w:rPr>
          <w:rFonts w:hint="eastAsia" w:ascii="宋体" w:hAnsi="宋体"/>
          <w:kern w:val="0"/>
          <w:sz w:val="24"/>
          <w:highlight w:val="none"/>
        </w:rPr>
        <w:t>，从业人员</w:t>
      </w:r>
      <w:r>
        <w:rPr>
          <w:rFonts w:ascii="宋体" w:hAnsi="宋体"/>
          <w:kern w:val="0"/>
          <w:sz w:val="24"/>
          <w:highlight w:val="none"/>
          <w:u w:val="single"/>
        </w:rPr>
        <w:tab/>
      </w:r>
      <w:r>
        <w:rPr>
          <w:rFonts w:hint="eastAsia" w:ascii="宋体" w:hAnsi="宋体"/>
          <w:kern w:val="0"/>
          <w:sz w:val="24"/>
          <w:highlight w:val="none"/>
        </w:rPr>
        <w:t>人，营业收入为</w:t>
      </w:r>
      <w:r>
        <w:rPr>
          <w:rFonts w:ascii="宋体" w:hAnsi="宋体"/>
          <w:kern w:val="0"/>
          <w:sz w:val="24"/>
          <w:highlight w:val="none"/>
          <w:u w:val="single"/>
        </w:rPr>
        <w:tab/>
      </w:r>
      <w:r>
        <w:rPr>
          <w:rFonts w:hint="eastAsia" w:ascii="宋体" w:hAnsi="宋体"/>
          <w:kern w:val="0"/>
          <w:sz w:val="24"/>
          <w:highlight w:val="none"/>
        </w:rPr>
        <w:t>万元，资产总额为</w:t>
      </w:r>
      <w:r>
        <w:rPr>
          <w:rFonts w:ascii="宋体" w:hAnsi="宋体"/>
          <w:kern w:val="0"/>
          <w:sz w:val="24"/>
          <w:highlight w:val="none"/>
          <w:u w:val="single"/>
        </w:rPr>
        <w:tab/>
      </w:r>
      <w:r>
        <w:rPr>
          <w:rFonts w:hint="eastAsia" w:ascii="宋体" w:hAnsi="宋体"/>
          <w:kern w:val="0"/>
          <w:sz w:val="24"/>
          <w:highlight w:val="none"/>
        </w:rPr>
        <w:t>万元，属于</w:t>
      </w:r>
      <w:r>
        <w:rPr>
          <w:rFonts w:hint="eastAsia" w:ascii="宋体" w:hAnsi="宋体"/>
          <w:i/>
          <w:kern w:val="0"/>
          <w:sz w:val="24"/>
          <w:highlight w:val="none"/>
          <w:u w:val="single"/>
        </w:rPr>
        <w:t>（中型企业、小型企业、微型企业）</w:t>
      </w:r>
      <w:r>
        <w:rPr>
          <w:rFonts w:hint="eastAsia" w:ascii="宋体" w:hAnsi="宋体"/>
          <w:kern w:val="0"/>
          <w:sz w:val="24"/>
          <w:highlight w:val="none"/>
        </w:rPr>
        <w:t>；</w:t>
      </w:r>
    </w:p>
    <w:p>
      <w:pPr>
        <w:tabs>
          <w:tab w:val="left" w:pos="1706"/>
          <w:tab w:val="left" w:pos="4905"/>
          <w:tab w:val="left" w:pos="7193"/>
        </w:tabs>
        <w:kinsoku w:val="0"/>
        <w:overflowPunct w:val="0"/>
        <w:autoSpaceDE w:val="0"/>
        <w:autoSpaceDN w:val="0"/>
        <w:adjustRightInd w:val="0"/>
        <w:spacing w:before="21" w:line="360" w:lineRule="auto"/>
        <w:ind w:left="105" w:right="138" w:firstLine="655"/>
        <w:jc w:val="left"/>
        <w:rPr>
          <w:rFonts w:ascii="宋体" w:hAnsi="宋体"/>
          <w:kern w:val="0"/>
          <w:sz w:val="24"/>
          <w:highlight w:val="none"/>
        </w:rPr>
      </w:pPr>
      <w:r>
        <w:rPr>
          <w:rFonts w:ascii="宋体" w:hAnsi="宋体"/>
          <w:kern w:val="0"/>
          <w:sz w:val="24"/>
          <w:highlight w:val="none"/>
        </w:rPr>
        <w:t xml:space="preserve">2. </w:t>
      </w:r>
      <w:r>
        <w:rPr>
          <w:rFonts w:hint="eastAsia" w:ascii="宋体" w:hAnsi="宋体"/>
          <w:i/>
          <w:kern w:val="0"/>
          <w:sz w:val="24"/>
          <w:highlight w:val="none"/>
          <w:u w:val="single"/>
        </w:rPr>
        <w:t>（标的名称）</w:t>
      </w:r>
      <w:r>
        <w:rPr>
          <w:rFonts w:hint="eastAsia" w:ascii="宋体" w:hAnsi="宋体"/>
          <w:kern w:val="0"/>
          <w:sz w:val="24"/>
          <w:highlight w:val="none"/>
        </w:rPr>
        <w:t>，属于</w:t>
      </w:r>
      <w:r>
        <w:rPr>
          <w:rFonts w:hint="eastAsia" w:ascii="宋体" w:hAnsi="宋体"/>
          <w:i/>
          <w:kern w:val="0"/>
          <w:sz w:val="24"/>
          <w:highlight w:val="none"/>
          <w:u w:val="single"/>
        </w:rPr>
        <w:t>（采购文件中明确的所属行业）</w:t>
      </w:r>
      <w:r>
        <w:rPr>
          <w:rFonts w:hint="eastAsia" w:ascii="宋体" w:hAnsi="宋体"/>
          <w:kern w:val="0"/>
          <w:sz w:val="24"/>
          <w:highlight w:val="none"/>
        </w:rPr>
        <w:t>；承建（承接）企业为</w:t>
      </w:r>
      <w:r>
        <w:rPr>
          <w:rFonts w:hint="eastAsia" w:ascii="宋体" w:hAnsi="宋体"/>
          <w:i/>
          <w:kern w:val="0"/>
          <w:sz w:val="24"/>
          <w:highlight w:val="none"/>
          <w:u w:val="single"/>
        </w:rPr>
        <w:t>（企业名称）</w:t>
      </w:r>
      <w:r>
        <w:rPr>
          <w:rFonts w:hint="eastAsia" w:ascii="宋体" w:hAnsi="宋体"/>
          <w:kern w:val="0"/>
          <w:sz w:val="24"/>
          <w:highlight w:val="none"/>
        </w:rPr>
        <w:t>，从业人员</w:t>
      </w:r>
      <w:r>
        <w:rPr>
          <w:rFonts w:ascii="宋体" w:hAnsi="宋体"/>
          <w:kern w:val="0"/>
          <w:sz w:val="24"/>
          <w:highlight w:val="none"/>
          <w:u w:val="single"/>
        </w:rPr>
        <w:tab/>
      </w:r>
      <w:r>
        <w:rPr>
          <w:rFonts w:hint="eastAsia" w:ascii="宋体" w:hAnsi="宋体"/>
          <w:kern w:val="0"/>
          <w:sz w:val="24"/>
          <w:highlight w:val="none"/>
        </w:rPr>
        <w:t>人，营业收入为</w:t>
      </w:r>
      <w:r>
        <w:rPr>
          <w:rFonts w:ascii="宋体" w:hAnsi="宋体"/>
          <w:kern w:val="0"/>
          <w:sz w:val="24"/>
          <w:highlight w:val="none"/>
          <w:u w:val="single"/>
        </w:rPr>
        <w:tab/>
      </w:r>
      <w:r>
        <w:rPr>
          <w:rFonts w:hint="eastAsia" w:ascii="宋体" w:hAnsi="宋体"/>
          <w:kern w:val="0"/>
          <w:sz w:val="24"/>
          <w:highlight w:val="none"/>
        </w:rPr>
        <w:t>万元，资产总额为</w:t>
      </w:r>
      <w:r>
        <w:rPr>
          <w:rFonts w:ascii="宋体" w:hAnsi="宋体"/>
          <w:kern w:val="0"/>
          <w:sz w:val="24"/>
          <w:highlight w:val="none"/>
          <w:u w:val="single"/>
        </w:rPr>
        <w:tab/>
      </w:r>
      <w:r>
        <w:rPr>
          <w:rFonts w:hint="eastAsia" w:ascii="宋体" w:hAnsi="宋体"/>
          <w:kern w:val="0"/>
          <w:sz w:val="24"/>
          <w:highlight w:val="none"/>
        </w:rPr>
        <w:t>万元，属于</w:t>
      </w:r>
      <w:r>
        <w:rPr>
          <w:rFonts w:hint="eastAsia" w:ascii="宋体" w:hAnsi="宋体"/>
          <w:i/>
          <w:kern w:val="0"/>
          <w:sz w:val="24"/>
          <w:highlight w:val="none"/>
          <w:u w:val="single"/>
        </w:rPr>
        <w:t>（中型企业、小型企业、微型企业）</w:t>
      </w:r>
      <w:r>
        <w:rPr>
          <w:rFonts w:hint="eastAsia" w:ascii="宋体" w:hAnsi="宋体"/>
          <w:kern w:val="0"/>
          <w:sz w:val="24"/>
          <w:highlight w:val="none"/>
        </w:rPr>
        <w:t>；</w:t>
      </w:r>
    </w:p>
    <w:p>
      <w:pPr>
        <w:kinsoku w:val="0"/>
        <w:overflowPunct w:val="0"/>
        <w:autoSpaceDE w:val="0"/>
        <w:autoSpaceDN w:val="0"/>
        <w:adjustRightInd w:val="0"/>
        <w:spacing w:before="33" w:line="360" w:lineRule="auto"/>
        <w:ind w:left="765" w:right="116" w:hanging="5"/>
        <w:jc w:val="left"/>
        <w:rPr>
          <w:rFonts w:ascii="宋体" w:hAnsi="宋体"/>
          <w:kern w:val="0"/>
          <w:sz w:val="24"/>
          <w:highlight w:val="none"/>
        </w:rPr>
      </w:pPr>
      <w:r>
        <w:rPr>
          <w:rFonts w:hint="eastAsia" w:ascii="宋体" w:hAnsi="宋体"/>
          <w:kern w:val="0"/>
          <w:sz w:val="24"/>
          <w:highlight w:val="none"/>
        </w:rPr>
        <w:t>……以上企业，不属于大企业的分支机构，不存在控股股东</w:t>
      </w:r>
    </w:p>
    <w:p>
      <w:pPr>
        <w:kinsoku w:val="0"/>
        <w:overflowPunct w:val="0"/>
        <w:autoSpaceDE w:val="0"/>
        <w:autoSpaceDN w:val="0"/>
        <w:adjustRightInd w:val="0"/>
        <w:spacing w:before="26" w:line="360" w:lineRule="auto"/>
        <w:ind w:left="120" w:right="297"/>
        <w:rPr>
          <w:rFonts w:ascii="宋体" w:hAnsi="宋体"/>
          <w:kern w:val="0"/>
          <w:sz w:val="24"/>
          <w:highlight w:val="none"/>
        </w:rPr>
      </w:pPr>
      <w:r>
        <w:rPr>
          <w:rFonts w:hint="eastAsia" w:ascii="宋体" w:hAnsi="宋体"/>
          <w:kern w:val="0"/>
          <w:sz w:val="24"/>
          <w:highlight w:val="none"/>
        </w:rPr>
        <w:t>为大企业的情形，也不存在与大企业的负责人为同一人的情形。</w:t>
      </w:r>
    </w:p>
    <w:p>
      <w:pPr>
        <w:kinsoku w:val="0"/>
        <w:overflowPunct w:val="0"/>
        <w:autoSpaceDE w:val="0"/>
        <w:autoSpaceDN w:val="0"/>
        <w:adjustRightInd w:val="0"/>
        <w:spacing w:before="21" w:line="360" w:lineRule="auto"/>
        <w:ind w:left="120" w:right="116" w:firstLine="640"/>
        <w:jc w:val="left"/>
        <w:rPr>
          <w:rFonts w:ascii="宋体" w:hAnsi="宋体"/>
          <w:kern w:val="0"/>
          <w:sz w:val="32"/>
          <w:highlight w:val="none"/>
        </w:rPr>
      </w:pPr>
      <w:r>
        <w:rPr>
          <w:rFonts w:hint="eastAsia" w:ascii="宋体" w:hAnsi="宋体"/>
          <w:kern w:val="0"/>
          <w:sz w:val="24"/>
          <w:highlight w:val="none"/>
        </w:rPr>
        <w:t>本企业对上述声明内容的真实性负责。如有虚假，将依法承担相应责任。</w:t>
      </w:r>
    </w:p>
    <w:p>
      <w:pPr>
        <w:spacing w:line="360" w:lineRule="auto"/>
        <w:ind w:firstLine="6120" w:firstLineChars="2550"/>
        <w:rPr>
          <w:rFonts w:ascii="宋体" w:hAnsi="宋体"/>
          <w:kern w:val="0"/>
          <w:sz w:val="24"/>
          <w:highlight w:val="none"/>
        </w:rPr>
      </w:pPr>
      <w:r>
        <w:rPr>
          <w:rFonts w:hint="eastAsia" w:ascii="宋体" w:hAnsi="宋体"/>
          <w:kern w:val="0"/>
          <w:sz w:val="24"/>
          <w:highlight w:val="none"/>
        </w:rPr>
        <w:t>企业名称（盖章）：</w:t>
      </w:r>
    </w:p>
    <w:p>
      <w:pPr>
        <w:spacing w:line="360" w:lineRule="auto"/>
        <w:ind w:firstLine="6120" w:firstLineChars="2550"/>
        <w:rPr>
          <w:rFonts w:ascii="宋体" w:hAnsi="宋体"/>
          <w:kern w:val="0"/>
          <w:sz w:val="24"/>
          <w:highlight w:val="none"/>
        </w:rPr>
      </w:pPr>
      <w:r>
        <w:rPr>
          <w:rFonts w:hint="eastAsia" w:ascii="宋体" w:hAnsi="宋体"/>
          <w:kern w:val="0"/>
          <w:sz w:val="24"/>
          <w:highlight w:val="none"/>
        </w:rPr>
        <w:t>日期：</w:t>
      </w:r>
    </w:p>
    <w:p>
      <w:pPr>
        <w:spacing w:line="360" w:lineRule="exact"/>
        <w:ind w:right="187"/>
        <w:jc w:val="center"/>
        <w:rPr>
          <w:rFonts w:ascii="宋体" w:hAnsi="宋体"/>
          <w:b/>
          <w:bCs/>
          <w:sz w:val="24"/>
          <w:highlight w:val="none"/>
        </w:rPr>
      </w:pPr>
    </w:p>
    <w:p>
      <w:pPr>
        <w:pStyle w:val="138"/>
        <w:spacing w:line="360" w:lineRule="auto"/>
        <w:ind w:firstLine="482" w:firstLineChars="200"/>
        <w:rPr>
          <w:color w:val="auto"/>
          <w:highlight w:val="none"/>
        </w:rPr>
      </w:pPr>
      <w:r>
        <w:rPr>
          <w:rFonts w:hint="eastAsia"/>
          <w:b/>
          <w:bCs/>
          <w:color w:val="auto"/>
          <w:highlight w:val="none"/>
        </w:rPr>
        <w:t>注：</w:t>
      </w:r>
      <w:r>
        <w:rPr>
          <w:rFonts w:hint="eastAsia"/>
          <w:color w:val="auto"/>
          <w:highlight w:val="none"/>
        </w:rPr>
        <w:t>1、从业人员、营业收入、资产总额填报上一年度数据，无上一年度数据的新成立企业可不填报。</w:t>
      </w:r>
    </w:p>
    <w:p>
      <w:pPr>
        <w:spacing w:line="360" w:lineRule="exact"/>
        <w:ind w:right="187" w:firstLine="964" w:firstLineChars="400"/>
        <w:rPr>
          <w:rFonts w:ascii="宋体" w:hAnsi="宋体"/>
          <w:b/>
          <w:bCs/>
          <w:sz w:val="24"/>
          <w:highlight w:val="none"/>
        </w:rPr>
      </w:pPr>
      <w:r>
        <w:rPr>
          <w:rFonts w:hint="eastAsia"/>
          <w:b/>
          <w:bCs/>
          <w:sz w:val="24"/>
          <w:highlight w:val="none"/>
        </w:rPr>
        <w:t>2、不符合相应条件的响应人无需提供。</w:t>
      </w:r>
    </w:p>
    <w:p>
      <w:pPr>
        <w:spacing w:line="360" w:lineRule="exact"/>
        <w:ind w:right="187"/>
        <w:rPr>
          <w:rFonts w:ascii="宋体" w:hAnsi="宋体"/>
          <w:b/>
          <w:bCs/>
          <w:sz w:val="24"/>
          <w:highlight w:val="none"/>
        </w:rPr>
      </w:pPr>
    </w:p>
    <w:p>
      <w:pPr>
        <w:spacing w:line="360" w:lineRule="exact"/>
        <w:ind w:right="187"/>
        <w:rPr>
          <w:rFonts w:ascii="宋体" w:hAnsi="宋体"/>
          <w:b/>
          <w:bCs/>
          <w:sz w:val="24"/>
          <w:szCs w:val="21"/>
          <w:highlight w:val="none"/>
        </w:rPr>
      </w:pPr>
      <w:r>
        <w:rPr>
          <w:rFonts w:ascii="宋体" w:hAnsi="宋体"/>
          <w:b/>
          <w:bCs/>
          <w:sz w:val="24"/>
          <w:highlight w:val="none"/>
        </w:rPr>
        <w:br w:type="page"/>
      </w:r>
      <w:bookmarkStart w:id="234" w:name="_Toc11493"/>
      <w:bookmarkStart w:id="235" w:name="_Toc13178"/>
      <w:bookmarkStart w:id="236" w:name="_Toc12053254"/>
      <w:bookmarkStart w:id="237" w:name="_Toc60585233"/>
      <w:bookmarkStart w:id="238" w:name="_Toc529786933"/>
      <w:bookmarkStart w:id="239" w:name="_Toc12475699"/>
      <w:r>
        <w:rPr>
          <w:rFonts w:hint="eastAsia" w:ascii="宋体" w:hAnsi="宋体"/>
          <w:b/>
          <w:bCs/>
          <w:sz w:val="24"/>
          <w:szCs w:val="21"/>
          <w:highlight w:val="none"/>
        </w:rPr>
        <w:t>格式九:残疾人福利性单位声明函</w:t>
      </w:r>
      <w:bookmarkEnd w:id="234"/>
      <w:bookmarkEnd w:id="235"/>
      <w:bookmarkEnd w:id="236"/>
      <w:bookmarkEnd w:id="237"/>
      <w:bookmarkEnd w:id="238"/>
      <w:bookmarkEnd w:id="239"/>
      <w:r>
        <w:rPr>
          <w:rFonts w:hint="eastAsia" w:ascii="宋体" w:hAnsi="宋体"/>
          <w:b/>
          <w:bCs/>
          <w:sz w:val="24"/>
          <w:szCs w:val="21"/>
          <w:highlight w:val="none"/>
        </w:rPr>
        <w:t>（如有）</w:t>
      </w:r>
    </w:p>
    <w:p>
      <w:pPr>
        <w:spacing w:line="588" w:lineRule="exact"/>
        <w:jc w:val="center"/>
        <w:rPr>
          <w:rFonts w:ascii="宋体" w:hAnsi="宋体" w:cs="宋体"/>
          <w:b/>
          <w:spacing w:val="6"/>
          <w:sz w:val="30"/>
          <w:szCs w:val="30"/>
          <w:highlight w:val="none"/>
        </w:rPr>
      </w:pPr>
    </w:p>
    <w:p>
      <w:pPr>
        <w:spacing w:line="588" w:lineRule="exact"/>
        <w:jc w:val="center"/>
        <w:rPr>
          <w:rFonts w:ascii="宋体" w:hAnsi="宋体" w:cs="宋体"/>
          <w:b/>
          <w:spacing w:val="6"/>
          <w:sz w:val="32"/>
          <w:szCs w:val="32"/>
          <w:highlight w:val="none"/>
        </w:rPr>
      </w:pPr>
      <w:r>
        <w:rPr>
          <w:rFonts w:hint="eastAsia" w:ascii="宋体" w:hAnsi="宋体" w:cs="宋体"/>
          <w:b/>
          <w:spacing w:val="6"/>
          <w:sz w:val="32"/>
          <w:szCs w:val="32"/>
          <w:highlight w:val="none"/>
        </w:rPr>
        <w:t>残疾人福利性单位声明函</w:t>
      </w:r>
    </w:p>
    <w:p>
      <w:pPr>
        <w:spacing w:line="588" w:lineRule="exact"/>
        <w:ind w:firstLine="504" w:firstLineChars="200"/>
        <w:rPr>
          <w:rFonts w:ascii="宋体" w:hAnsi="宋体" w:cs="宋体"/>
          <w:spacing w:val="6"/>
          <w:sz w:val="24"/>
          <w:highlight w:val="none"/>
        </w:rPr>
      </w:pPr>
      <w:r>
        <w:rPr>
          <w:rFonts w:hint="eastAsia" w:ascii="宋体" w:hAnsi="宋体" w:cs="宋体"/>
          <w:spacing w:val="6"/>
          <w:sz w:val="24"/>
          <w:highlight w:val="none"/>
        </w:rPr>
        <w:t>本单位郑重声明，根据《财政部 民政部 中国残疾人联合会关于促进残疾人就业政府采购政策的通知》（财库</w:t>
      </w:r>
      <w:r>
        <w:rPr>
          <w:rFonts w:hint="eastAsia" w:ascii="宋体" w:hAnsi="宋体" w:cs="宋体"/>
          <w:sz w:val="24"/>
          <w:highlight w:val="none"/>
        </w:rPr>
        <w:t>〔2017〕 141</w:t>
      </w:r>
      <w:r>
        <w:rPr>
          <w:rFonts w:hint="eastAsia" w:ascii="宋体" w:hAnsi="宋体" w:cs="宋体"/>
          <w:spacing w:val="6"/>
          <w:sz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spacing w:val="6"/>
          <w:sz w:val="24"/>
          <w:highlight w:val="none"/>
        </w:rPr>
      </w:pPr>
      <w:r>
        <w:rPr>
          <w:rFonts w:hint="eastAsia" w:ascii="宋体" w:hAnsi="宋体" w:cs="宋体"/>
          <w:spacing w:val="6"/>
          <w:sz w:val="24"/>
          <w:highlight w:val="none"/>
        </w:rPr>
        <w:t>本单位对上述声明的真实性负责。如有虚假，将依法承担相应责任。</w:t>
      </w:r>
    </w:p>
    <w:p>
      <w:pPr>
        <w:spacing w:line="588" w:lineRule="exact"/>
        <w:ind w:firstLine="504" w:firstLineChars="200"/>
        <w:rPr>
          <w:rFonts w:ascii="宋体" w:hAnsi="宋体" w:cs="宋体"/>
          <w:spacing w:val="6"/>
          <w:sz w:val="24"/>
          <w:highlight w:val="none"/>
        </w:rPr>
      </w:pPr>
    </w:p>
    <w:p>
      <w:pPr>
        <w:spacing w:line="588" w:lineRule="exact"/>
        <w:ind w:firstLine="504" w:firstLineChars="200"/>
        <w:rPr>
          <w:rFonts w:ascii="宋体" w:hAnsi="宋体" w:cs="宋体"/>
          <w:spacing w:val="6"/>
          <w:sz w:val="24"/>
          <w:highlight w:val="none"/>
        </w:rPr>
      </w:pPr>
    </w:p>
    <w:p>
      <w:pPr>
        <w:tabs>
          <w:tab w:val="left" w:pos="4860"/>
        </w:tabs>
        <w:spacing w:line="588" w:lineRule="exact"/>
        <w:ind w:right="1560" w:firstLine="504" w:firstLineChars="200"/>
        <w:jc w:val="center"/>
        <w:rPr>
          <w:rFonts w:ascii="宋体" w:hAnsi="宋体" w:cs="宋体"/>
          <w:spacing w:val="6"/>
          <w:sz w:val="24"/>
          <w:highlight w:val="none"/>
        </w:rPr>
      </w:pPr>
      <w:r>
        <w:rPr>
          <w:rFonts w:hint="eastAsia" w:ascii="宋体" w:hAnsi="宋体" w:cs="宋体"/>
          <w:spacing w:val="6"/>
          <w:sz w:val="24"/>
          <w:highlight w:val="none"/>
        </w:rPr>
        <w:t xml:space="preserve">               单位名称（盖章）：</w:t>
      </w:r>
    </w:p>
    <w:p>
      <w:pPr>
        <w:tabs>
          <w:tab w:val="left" w:pos="4860"/>
        </w:tabs>
        <w:spacing w:line="588" w:lineRule="exact"/>
        <w:ind w:right="1560" w:firstLine="504" w:firstLineChars="200"/>
        <w:jc w:val="center"/>
        <w:rPr>
          <w:rFonts w:ascii="宋体" w:hAnsi="宋体" w:cs="宋体"/>
          <w:spacing w:val="6"/>
          <w:sz w:val="24"/>
          <w:highlight w:val="none"/>
        </w:rPr>
      </w:pPr>
      <w:r>
        <w:rPr>
          <w:rFonts w:hint="eastAsia" w:ascii="宋体" w:hAnsi="宋体" w:cs="宋体"/>
          <w:spacing w:val="6"/>
          <w:sz w:val="24"/>
          <w:highlight w:val="none"/>
        </w:rPr>
        <w:t xml:space="preserve">       日  期：</w:t>
      </w:r>
    </w:p>
    <w:p>
      <w:pPr>
        <w:pStyle w:val="48"/>
        <w:spacing w:line="560" w:lineRule="exact"/>
        <w:ind w:left="1747" w:firstLine="0" w:firstLineChars="0"/>
        <w:rPr>
          <w:rFonts w:ascii="宋体" w:hAnsi="宋体"/>
          <w:highlight w:val="none"/>
        </w:rPr>
      </w:pPr>
    </w:p>
    <w:p>
      <w:pPr>
        <w:pStyle w:val="48"/>
        <w:spacing w:line="560" w:lineRule="exact"/>
        <w:ind w:firstLine="0" w:firstLineChars="0"/>
        <w:rPr>
          <w:rFonts w:ascii="宋体" w:hAnsi="宋体"/>
          <w:bCs/>
          <w:snapToGrid w:val="0"/>
          <w:sz w:val="24"/>
          <w:highlight w:val="none"/>
        </w:rPr>
      </w:pPr>
      <w:r>
        <w:rPr>
          <w:rFonts w:hint="eastAsia"/>
          <w:b/>
          <w:bCs/>
          <w:sz w:val="24"/>
          <w:highlight w:val="none"/>
        </w:rPr>
        <w:t>注：不符合相应条件的响应人无需提供。</w:t>
      </w:r>
      <w:r>
        <w:rPr>
          <w:rFonts w:hint="eastAsia" w:ascii="宋体" w:hAnsi="宋体"/>
          <w:b/>
          <w:bCs/>
          <w:highlight w:val="none"/>
        </w:rPr>
        <w:br w:type="page"/>
      </w:r>
      <w:bookmarkStart w:id="240" w:name="_Toc60570624"/>
      <w:r>
        <w:rPr>
          <w:rFonts w:hint="eastAsia" w:ascii="宋体" w:hAnsi="宋体"/>
          <w:b/>
          <w:snapToGrid w:val="0"/>
          <w:sz w:val="24"/>
          <w:highlight w:val="none"/>
        </w:rPr>
        <w:t>格式十：省级以上监狱管理局、戒毒管理局（含新疆生产建设兵团）出具的属于监狱企业的证明文件（如有）</w:t>
      </w:r>
    </w:p>
    <w:p>
      <w:pPr>
        <w:pStyle w:val="4"/>
        <w:spacing w:before="120" w:after="120" w:line="360" w:lineRule="exact"/>
        <w:rPr>
          <w:rFonts w:ascii="宋体" w:hAnsi="宋体"/>
          <w:highlight w:val="none"/>
        </w:rPr>
      </w:pPr>
    </w:p>
    <w:p>
      <w:pPr>
        <w:pStyle w:val="48"/>
        <w:spacing w:line="560" w:lineRule="exact"/>
        <w:ind w:firstLine="0" w:firstLineChars="0"/>
        <w:rPr>
          <w:rFonts w:ascii="宋体" w:hAnsi="宋体"/>
          <w:snapToGrid w:val="0"/>
          <w:sz w:val="24"/>
          <w:highlight w:val="none"/>
        </w:rPr>
      </w:pPr>
      <w:r>
        <w:rPr>
          <w:rStyle w:val="141"/>
          <w:rFonts w:hint="eastAsia"/>
          <w:b w:val="0"/>
          <w:bCs w:val="0"/>
          <w:sz w:val="24"/>
          <w:highlight w:val="none"/>
        </w:rPr>
        <w:br w:type="page"/>
      </w:r>
      <w:r>
        <w:rPr>
          <w:rStyle w:val="141"/>
          <w:rFonts w:hint="eastAsia"/>
          <w:sz w:val="24"/>
          <w:highlight w:val="none"/>
        </w:rPr>
        <w:t>格式十一、资格证明材料格式（参考）</w:t>
      </w:r>
      <w:bookmarkEnd w:id="240"/>
    </w:p>
    <w:p>
      <w:pPr>
        <w:pStyle w:val="31"/>
        <w:numPr>
          <w:ilvl w:val="0"/>
          <w:numId w:val="2"/>
        </w:numPr>
        <w:rPr>
          <w:rFonts w:hAnsi="宋体"/>
          <w:highlight w:val="none"/>
        </w:rPr>
      </w:pPr>
      <w:r>
        <w:rPr>
          <w:rFonts w:hint="eastAsia" w:hAnsi="宋体"/>
          <w:highlight w:val="none"/>
        </w:rPr>
        <w:t>法人或者其他组织的营业执照等证明文件或自然人的身份证明</w:t>
      </w:r>
    </w:p>
    <w:p>
      <w:pPr>
        <w:pStyle w:val="31"/>
        <w:numPr>
          <w:ilvl w:val="0"/>
          <w:numId w:val="2"/>
        </w:numPr>
        <w:rPr>
          <w:rFonts w:ascii="宋体" w:hAnsi="宋体" w:cs="宋体"/>
          <w:snapToGrid w:val="0"/>
          <w:highlight w:val="none"/>
        </w:rPr>
      </w:pPr>
      <w:r>
        <w:rPr>
          <w:rFonts w:hint="eastAsia" w:hAnsi="宋体"/>
          <w:highlight w:val="none"/>
        </w:rPr>
        <w:br w:type="page"/>
      </w:r>
      <w:r>
        <w:rPr>
          <w:rFonts w:hint="eastAsia" w:ascii="宋体" w:hAnsi="宋体" w:cs="宋体"/>
          <w:snapToGrid w:val="0"/>
          <w:highlight w:val="none"/>
        </w:rPr>
        <w:t>具有良好的商业信誉和健全的财务会计制度的证明材料</w:t>
      </w:r>
    </w:p>
    <w:p>
      <w:pPr>
        <w:pStyle w:val="31"/>
        <w:numPr>
          <w:ilvl w:val="0"/>
          <w:numId w:val="2"/>
        </w:numPr>
        <w:rPr>
          <w:rFonts w:ascii="宋体" w:hAnsi="宋体" w:cs="宋体"/>
          <w:snapToGrid w:val="0"/>
          <w:highlight w:val="none"/>
        </w:rPr>
      </w:pPr>
      <w:r>
        <w:rPr>
          <w:rFonts w:hint="eastAsia" w:ascii="宋体" w:hAnsi="宋体" w:cs="宋体"/>
          <w:snapToGrid w:val="0"/>
          <w:highlight w:val="none"/>
        </w:rPr>
        <w:br w:type="page"/>
      </w:r>
      <w:r>
        <w:rPr>
          <w:rFonts w:hint="eastAsia" w:ascii="宋体" w:hAnsi="宋体" w:cs="宋体"/>
          <w:snapToGrid w:val="0"/>
          <w:highlight w:val="none"/>
        </w:rPr>
        <w:t>具有履行合同所必需的设备和专业技术能力的证明材料或书面声明</w:t>
      </w:r>
    </w:p>
    <w:p>
      <w:pPr>
        <w:pStyle w:val="31"/>
        <w:numPr>
          <w:ilvl w:val="0"/>
          <w:numId w:val="2"/>
        </w:numPr>
        <w:rPr>
          <w:rFonts w:ascii="宋体" w:hAnsi="宋体" w:cs="宋体"/>
          <w:snapToGrid w:val="0"/>
          <w:highlight w:val="none"/>
        </w:rPr>
      </w:pPr>
      <w:r>
        <w:rPr>
          <w:rFonts w:hint="eastAsia" w:ascii="宋体" w:hAnsi="宋体" w:cs="宋体"/>
          <w:snapToGrid w:val="0"/>
          <w:highlight w:val="none"/>
        </w:rPr>
        <w:br w:type="page"/>
      </w:r>
      <w:r>
        <w:rPr>
          <w:rFonts w:hint="eastAsia" w:ascii="宋体" w:hAnsi="宋体" w:cs="宋体"/>
          <w:snapToGrid w:val="0"/>
          <w:highlight w:val="none"/>
        </w:rPr>
        <w:t>具有依法缴纳税收和社会保障资金的良好记录的证明材料</w:t>
      </w:r>
    </w:p>
    <w:p>
      <w:pPr>
        <w:pStyle w:val="31"/>
        <w:numPr>
          <w:ilvl w:val="0"/>
          <w:numId w:val="2"/>
        </w:numPr>
        <w:rPr>
          <w:rFonts w:ascii="宋体" w:hAnsi="宋体" w:cs="宋体"/>
          <w:snapToGrid w:val="0"/>
          <w:highlight w:val="none"/>
        </w:rPr>
      </w:pPr>
      <w:r>
        <w:rPr>
          <w:rFonts w:hint="eastAsia" w:ascii="宋体" w:hAnsi="宋体" w:cs="宋体"/>
          <w:snapToGrid w:val="0"/>
          <w:highlight w:val="none"/>
        </w:rPr>
        <w:br w:type="page"/>
      </w:r>
      <w:r>
        <w:rPr>
          <w:rFonts w:hint="eastAsia" w:hAnsi="宋体"/>
          <w:highlight w:val="none"/>
        </w:rPr>
        <w:t>参加政府采购活动前3年内</w:t>
      </w:r>
      <w:bookmarkStart w:id="241" w:name="_Toc518923113"/>
      <w:r>
        <w:rPr>
          <w:rFonts w:hint="eastAsia" w:hAnsi="宋体"/>
          <w:highlight w:val="none"/>
        </w:rPr>
        <w:t>在经营活动中没有重大违法记录的</w:t>
      </w:r>
      <w:bookmarkEnd w:id="241"/>
      <w:r>
        <w:rPr>
          <w:rFonts w:hint="eastAsia" w:hAnsi="宋体"/>
          <w:highlight w:val="none"/>
        </w:rPr>
        <w:t>书面声明</w:t>
      </w:r>
    </w:p>
    <w:p>
      <w:pPr>
        <w:spacing w:line="360" w:lineRule="exact"/>
        <w:ind w:right="187"/>
        <w:rPr>
          <w:rFonts w:ascii="宋体" w:hAnsi="宋体"/>
          <w:bCs/>
          <w:snapToGrid w:val="0"/>
          <w:kern w:val="0"/>
          <w:sz w:val="24"/>
          <w:highlight w:val="none"/>
        </w:rPr>
      </w:pPr>
    </w:p>
    <w:p>
      <w:pPr>
        <w:pStyle w:val="31"/>
        <w:spacing w:after="0" w:line="460" w:lineRule="exact"/>
        <w:jc w:val="center"/>
        <w:rPr>
          <w:rFonts w:ascii="宋体" w:hAnsi="宋体"/>
          <w:b/>
          <w:snapToGrid w:val="0"/>
          <w:sz w:val="32"/>
          <w:highlight w:val="none"/>
        </w:rPr>
      </w:pPr>
      <w:r>
        <w:rPr>
          <w:rFonts w:hint="eastAsia" w:ascii="宋体" w:hAnsi="宋体"/>
          <w:b/>
          <w:snapToGrid w:val="0"/>
          <w:sz w:val="32"/>
          <w:highlight w:val="none"/>
        </w:rPr>
        <w:t>参加政府采购活动前三年内，在经营活动中没有</w:t>
      </w:r>
    </w:p>
    <w:p>
      <w:pPr>
        <w:pStyle w:val="31"/>
        <w:spacing w:after="0" w:line="460" w:lineRule="exact"/>
        <w:jc w:val="center"/>
        <w:rPr>
          <w:rFonts w:ascii="宋体" w:hAnsi="宋体"/>
          <w:b/>
          <w:snapToGrid w:val="0"/>
          <w:sz w:val="32"/>
          <w:highlight w:val="none"/>
        </w:rPr>
      </w:pPr>
      <w:r>
        <w:rPr>
          <w:rFonts w:hint="eastAsia" w:ascii="宋体" w:hAnsi="宋体"/>
          <w:b/>
          <w:snapToGrid w:val="0"/>
          <w:sz w:val="32"/>
          <w:highlight w:val="none"/>
        </w:rPr>
        <w:t>重大违法记录的书面声明</w:t>
      </w:r>
    </w:p>
    <w:p>
      <w:pPr>
        <w:spacing w:line="360" w:lineRule="exact"/>
        <w:jc w:val="left"/>
        <w:rPr>
          <w:rFonts w:ascii="宋体" w:hAnsi="宋体"/>
          <w:snapToGrid w:val="0"/>
          <w:kern w:val="0"/>
          <w:sz w:val="24"/>
          <w:highlight w:val="none"/>
          <w:u w:val="single"/>
        </w:rPr>
      </w:pPr>
    </w:p>
    <w:p>
      <w:pPr>
        <w:spacing w:line="360" w:lineRule="exact"/>
        <w:jc w:val="left"/>
        <w:rPr>
          <w:rFonts w:ascii="宋体" w:hAnsi="宋体"/>
          <w:snapToGrid w:val="0"/>
          <w:kern w:val="0"/>
          <w:sz w:val="24"/>
          <w:highlight w:val="none"/>
        </w:rPr>
      </w:pPr>
      <w:r>
        <w:rPr>
          <w:rFonts w:hint="eastAsia" w:ascii="宋体" w:hAnsi="宋体"/>
          <w:snapToGrid w:val="0"/>
          <w:kern w:val="0"/>
          <w:sz w:val="24"/>
          <w:highlight w:val="none"/>
        </w:rPr>
        <w:t>（采购人名称）：</w:t>
      </w:r>
    </w:p>
    <w:p>
      <w:pPr>
        <w:spacing w:line="500" w:lineRule="exact"/>
        <w:ind w:firstLine="480" w:firstLineChars="200"/>
        <w:jc w:val="left"/>
        <w:rPr>
          <w:rFonts w:ascii="宋体" w:hAnsi="宋体"/>
          <w:snapToGrid w:val="0"/>
          <w:kern w:val="0"/>
          <w:sz w:val="24"/>
          <w:highlight w:val="none"/>
        </w:rPr>
      </w:pPr>
    </w:p>
    <w:p>
      <w:pPr>
        <w:spacing w:line="500" w:lineRule="exact"/>
        <w:ind w:firstLine="480" w:firstLineChars="200"/>
        <w:jc w:val="left"/>
        <w:rPr>
          <w:rFonts w:ascii="宋体" w:hAnsi="宋体"/>
          <w:snapToGrid w:val="0"/>
          <w:kern w:val="0"/>
          <w:sz w:val="24"/>
          <w:highlight w:val="none"/>
        </w:rPr>
      </w:pPr>
      <w:r>
        <w:rPr>
          <w:rFonts w:hint="eastAsia" w:ascii="宋体" w:hAnsi="宋体"/>
          <w:snapToGrid w:val="0"/>
          <w:kern w:val="0"/>
          <w:sz w:val="24"/>
          <w:highlight w:val="none"/>
        </w:rPr>
        <w:t>我单位郑重声明：自本项目开标之日起向前追溯三年，我单位没有以下重大违法记录：因违法经营受到刑事处罚或者责令停产停业、吊销许可证或者执照、较大数额罚款等行政处罚。</w:t>
      </w:r>
    </w:p>
    <w:p>
      <w:pPr>
        <w:spacing w:line="500" w:lineRule="exact"/>
        <w:ind w:firstLine="480" w:firstLineChars="200"/>
        <w:jc w:val="left"/>
        <w:rPr>
          <w:rFonts w:ascii="宋体" w:hAnsi="宋体"/>
          <w:snapToGrid w:val="0"/>
          <w:kern w:val="0"/>
          <w:sz w:val="24"/>
          <w:highlight w:val="none"/>
        </w:rPr>
      </w:pPr>
    </w:p>
    <w:p>
      <w:pPr>
        <w:spacing w:line="500" w:lineRule="exact"/>
        <w:ind w:firstLine="480" w:firstLineChars="200"/>
        <w:jc w:val="left"/>
        <w:rPr>
          <w:rFonts w:ascii="宋体" w:hAnsi="宋体"/>
          <w:snapToGrid w:val="0"/>
          <w:kern w:val="0"/>
          <w:sz w:val="24"/>
          <w:highlight w:val="none"/>
        </w:rPr>
      </w:pPr>
      <w:r>
        <w:rPr>
          <w:rFonts w:hint="eastAsia" w:ascii="宋体" w:hAnsi="宋体"/>
          <w:snapToGrid w:val="0"/>
          <w:kern w:val="0"/>
          <w:sz w:val="24"/>
          <w:highlight w:val="none"/>
        </w:rPr>
        <w:t>注：</w:t>
      </w:r>
    </w:p>
    <w:p>
      <w:pPr>
        <w:spacing w:line="500" w:lineRule="exact"/>
        <w:ind w:firstLine="482" w:firstLineChars="200"/>
        <w:jc w:val="left"/>
        <w:rPr>
          <w:rFonts w:ascii="宋体" w:hAnsi="宋体"/>
          <w:b/>
          <w:snapToGrid w:val="0"/>
          <w:kern w:val="0"/>
          <w:sz w:val="24"/>
          <w:highlight w:val="none"/>
        </w:rPr>
      </w:pPr>
      <w:r>
        <w:rPr>
          <w:rFonts w:ascii="宋体" w:hAnsi="宋体"/>
          <w:b/>
          <w:snapToGrid w:val="0"/>
          <w:kern w:val="0"/>
          <w:sz w:val="24"/>
          <w:highlight w:val="none"/>
        </w:rPr>
        <w:t>1.</w:t>
      </w:r>
      <w:r>
        <w:rPr>
          <w:rFonts w:hint="eastAsia" w:ascii="宋体" w:hAnsi="宋体"/>
          <w:b/>
          <w:snapToGrid w:val="0"/>
          <w:kern w:val="0"/>
          <w:sz w:val="24"/>
          <w:highlight w:val="none"/>
        </w:rPr>
        <w:t>如不提供本声明函，将作无效报价处理。</w:t>
      </w:r>
    </w:p>
    <w:p>
      <w:pPr>
        <w:spacing w:line="500" w:lineRule="exact"/>
        <w:ind w:firstLine="480" w:firstLineChars="200"/>
        <w:jc w:val="left"/>
        <w:rPr>
          <w:rFonts w:ascii="宋体" w:hAnsi="宋体"/>
          <w:snapToGrid w:val="0"/>
          <w:kern w:val="0"/>
          <w:sz w:val="24"/>
          <w:highlight w:val="none"/>
        </w:rPr>
      </w:pPr>
      <w:r>
        <w:rPr>
          <w:rFonts w:ascii="宋体" w:hAnsi="宋体"/>
          <w:snapToGrid w:val="0"/>
          <w:kern w:val="0"/>
          <w:sz w:val="24"/>
          <w:highlight w:val="none"/>
        </w:rPr>
        <w:t>2.</w:t>
      </w:r>
      <w:r>
        <w:rPr>
          <w:rFonts w:hint="eastAsia" w:ascii="宋体" w:hAnsi="宋体"/>
          <w:snapToGrid w:val="0"/>
          <w:kern w:val="0"/>
          <w:sz w:val="24"/>
          <w:highlight w:val="none"/>
        </w:rPr>
        <w:t>响应人对其所声明内容的真实性负责。如响应人所声明内容不真实，则应承担相应的法律责任。</w:t>
      </w:r>
    </w:p>
    <w:p>
      <w:pPr>
        <w:rPr>
          <w:rFonts w:ascii="宋体" w:hAnsi="宋体"/>
          <w:snapToGrid w:val="0"/>
          <w:kern w:val="0"/>
          <w:sz w:val="24"/>
          <w:highlight w:val="none"/>
        </w:rPr>
      </w:pPr>
    </w:p>
    <w:p>
      <w:pPr>
        <w:rPr>
          <w:rFonts w:ascii="宋体" w:hAnsi="宋体"/>
          <w:snapToGrid w:val="0"/>
          <w:kern w:val="0"/>
          <w:sz w:val="24"/>
          <w:highlight w:val="none"/>
        </w:rPr>
      </w:pPr>
    </w:p>
    <w:p>
      <w:pPr>
        <w:rPr>
          <w:rFonts w:ascii="宋体" w:hAnsi="宋体"/>
          <w:snapToGrid w:val="0"/>
          <w:kern w:val="0"/>
          <w:sz w:val="24"/>
          <w:highlight w:val="none"/>
        </w:rPr>
      </w:pPr>
    </w:p>
    <w:p>
      <w:pPr>
        <w:tabs>
          <w:tab w:val="left" w:pos="2977"/>
          <w:tab w:val="left" w:pos="3261"/>
        </w:tabs>
        <w:spacing w:line="360" w:lineRule="auto"/>
        <w:jc w:val="left"/>
        <w:rPr>
          <w:rFonts w:ascii="宋体" w:hAnsi="宋体"/>
          <w:snapToGrid w:val="0"/>
          <w:kern w:val="0"/>
          <w:sz w:val="24"/>
          <w:highlight w:val="none"/>
        </w:rPr>
      </w:pPr>
      <w:r>
        <w:rPr>
          <w:rFonts w:hint="eastAsia" w:ascii="宋体" w:hAnsi="宋体"/>
          <w:snapToGrid w:val="0"/>
          <w:kern w:val="0"/>
          <w:sz w:val="24"/>
          <w:highlight w:val="none"/>
        </w:rPr>
        <w:t>响应人名称：（公章）</w:t>
      </w:r>
    </w:p>
    <w:p>
      <w:pPr>
        <w:spacing w:line="360" w:lineRule="auto"/>
        <w:jc w:val="left"/>
        <w:rPr>
          <w:rFonts w:ascii="宋体" w:hAnsi="宋体"/>
          <w:snapToGrid w:val="0"/>
          <w:kern w:val="0"/>
          <w:sz w:val="24"/>
          <w:highlight w:val="none"/>
        </w:rPr>
      </w:pPr>
      <w:r>
        <w:rPr>
          <w:rFonts w:hint="eastAsia" w:ascii="宋体" w:hAnsi="宋体"/>
          <w:snapToGrid w:val="0"/>
          <w:kern w:val="0"/>
          <w:sz w:val="24"/>
          <w:highlight w:val="none"/>
        </w:rPr>
        <w:t>法定代表人或其委托代理人签字或盖章：</w:t>
      </w:r>
    </w:p>
    <w:p>
      <w:pPr>
        <w:spacing w:line="360" w:lineRule="exact"/>
        <w:jc w:val="left"/>
        <w:rPr>
          <w:rFonts w:ascii="宋体" w:hAnsi="宋体"/>
          <w:snapToGrid w:val="0"/>
          <w:kern w:val="0"/>
          <w:sz w:val="24"/>
          <w:highlight w:val="none"/>
        </w:rPr>
      </w:pPr>
    </w:p>
    <w:p>
      <w:pPr>
        <w:spacing w:line="360" w:lineRule="auto"/>
        <w:jc w:val="right"/>
        <w:rPr>
          <w:rFonts w:ascii="宋体" w:hAnsi="宋体" w:cs="宋体"/>
          <w:snapToGrid w:val="0"/>
          <w:kern w:val="0"/>
          <w:sz w:val="24"/>
          <w:highlight w:val="none"/>
        </w:rPr>
      </w:pPr>
      <w:r>
        <w:rPr>
          <w:rFonts w:hint="eastAsia" w:ascii="宋体" w:hAnsi="宋体"/>
          <w:snapToGrid w:val="0"/>
          <w:kern w:val="0"/>
          <w:sz w:val="24"/>
          <w:highlight w:val="none"/>
        </w:rPr>
        <w:t>年 月 日</w:t>
      </w:r>
    </w:p>
    <w:p>
      <w:pPr>
        <w:rPr>
          <w:rFonts w:hint="eastAsia" w:hAnsi="宋体"/>
          <w:highlight w:val="none"/>
        </w:rPr>
      </w:pPr>
      <w:r>
        <w:rPr>
          <w:rFonts w:hint="eastAsia" w:hAnsi="宋体"/>
          <w:highlight w:val="none"/>
        </w:rPr>
        <w:br w:type="page"/>
      </w:r>
      <w:r>
        <w:rPr>
          <w:rFonts w:hint="eastAsia" w:hAnsi="宋体"/>
          <w:highlight w:val="none"/>
        </w:rPr>
        <w:t>6、中国合格评定国家认可委员会（CNAS）的实验室认可有效证书</w:t>
      </w:r>
      <w:r>
        <w:rPr>
          <w:rFonts w:hint="eastAsia" w:hAnsi="宋体"/>
          <w:highlight w:val="none"/>
        </w:rPr>
        <w:br w:type="page"/>
      </w:r>
    </w:p>
    <w:p>
      <w:pPr>
        <w:rPr>
          <w:rFonts w:ascii="宋体" w:hAnsi="宋体"/>
          <w:b/>
          <w:bCs/>
          <w:sz w:val="24"/>
          <w:szCs w:val="21"/>
          <w:highlight w:val="none"/>
        </w:rPr>
      </w:pPr>
      <w:r>
        <w:rPr>
          <w:rFonts w:hint="eastAsia" w:hAnsi="宋体"/>
          <w:bCs/>
          <w:snapToGrid w:val="0"/>
          <w:highlight w:val="none"/>
          <w:lang w:val="en-US" w:eastAsia="zh-CN"/>
        </w:rPr>
        <w:t>7、</w:t>
      </w:r>
      <w:r>
        <w:rPr>
          <w:rFonts w:hint="eastAsia" w:hAnsi="宋体"/>
          <w:bCs/>
          <w:snapToGrid w:val="0"/>
          <w:highlight w:val="none"/>
        </w:rPr>
        <w:t>磋商文件要求的其他资格证明文件（如有）</w:t>
      </w:r>
    </w:p>
    <w:p>
      <w:pPr>
        <w:widowControl/>
        <w:jc w:val="left"/>
        <w:outlineLvl w:val="1"/>
        <w:rPr>
          <w:rFonts w:ascii="宋体" w:hAnsi="宋体"/>
          <w:kern w:val="0"/>
          <w:sz w:val="24"/>
          <w:szCs w:val="21"/>
          <w:highlight w:val="none"/>
        </w:rPr>
      </w:pPr>
      <w:bookmarkStart w:id="242" w:name="_Toc60585235"/>
      <w:r>
        <w:rPr>
          <w:rFonts w:hint="eastAsia" w:ascii="宋体" w:hAnsi="宋体"/>
          <w:b/>
          <w:bCs/>
          <w:sz w:val="24"/>
          <w:szCs w:val="21"/>
          <w:highlight w:val="none"/>
        </w:rPr>
        <w:br w:type="page"/>
      </w:r>
      <w:bookmarkEnd w:id="242"/>
      <w:bookmarkStart w:id="243" w:name="_Toc13080"/>
      <w:bookmarkStart w:id="244" w:name="_Toc10363"/>
      <w:bookmarkStart w:id="245" w:name="_Toc22785"/>
      <w:bookmarkStart w:id="246" w:name="_Toc60585236"/>
      <w:bookmarkStart w:id="247" w:name="_Toc27753"/>
      <w:r>
        <w:rPr>
          <w:rFonts w:hint="eastAsia" w:ascii="宋体" w:hAnsi="宋体"/>
          <w:b/>
          <w:bCs/>
          <w:kern w:val="0"/>
          <w:sz w:val="24"/>
          <w:szCs w:val="21"/>
          <w:highlight w:val="none"/>
        </w:rPr>
        <w:t>格式十二：响应文件封套标记参考格式</w:t>
      </w:r>
      <w:bookmarkEnd w:id="243"/>
      <w:bookmarkEnd w:id="244"/>
      <w:bookmarkEnd w:id="245"/>
      <w:bookmarkEnd w:id="246"/>
      <w:bookmarkEnd w:id="247"/>
    </w:p>
    <w:p>
      <w:pPr>
        <w:pStyle w:val="33"/>
        <w:spacing w:line="240" w:lineRule="auto"/>
        <w:ind w:left="0" w:leftChars="0" w:firstLine="0" w:firstLineChars="0"/>
        <w:jc w:val="center"/>
        <w:rPr>
          <w:rFonts w:ascii="宋体" w:hAnsi="宋体"/>
          <w:sz w:val="32"/>
          <w:szCs w:val="32"/>
          <w:highlight w:val="none"/>
        </w:rPr>
      </w:pPr>
      <w:r>
        <w:rPr>
          <w:rFonts w:hint="eastAsia" w:ascii="宋体" w:hAnsi="宋体"/>
          <w:sz w:val="32"/>
          <w:szCs w:val="32"/>
          <w:highlight w:val="none"/>
        </w:rPr>
        <w:t>响应文件封套标记参考格式</w:t>
      </w:r>
    </w:p>
    <w:tbl>
      <w:tblPr>
        <w:tblStyle w:val="76"/>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5"/>
        <w:gridCol w:w="4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0" w:hRule="atLeast"/>
        </w:trPr>
        <w:tc>
          <w:tcPr>
            <w:tcW w:w="4285" w:type="dxa"/>
          </w:tcPr>
          <w:p>
            <w:pPr>
              <w:pStyle w:val="33"/>
              <w:spacing w:line="240" w:lineRule="auto"/>
              <w:ind w:left="0" w:leftChars="0" w:firstLine="0" w:firstLineChars="0"/>
              <w:jc w:val="left"/>
              <w:rPr>
                <w:rFonts w:ascii="宋体" w:hAnsi="宋体"/>
                <w:b/>
                <w:kern w:val="2"/>
                <w:sz w:val="30"/>
                <w:highlight w:val="none"/>
              </w:rPr>
            </w:pPr>
            <w:r>
              <w:rPr>
                <w:rFonts w:hint="eastAsia" w:ascii="宋体" w:hAnsi="宋体"/>
                <w:b/>
                <w:kern w:val="2"/>
                <w:sz w:val="30"/>
                <w:highlight w:val="none"/>
              </w:rPr>
              <w:t>响应文件</w:t>
            </w:r>
          </w:p>
          <w:p>
            <w:pPr>
              <w:pStyle w:val="33"/>
              <w:spacing w:line="240" w:lineRule="auto"/>
              <w:ind w:left="0" w:leftChars="0" w:firstLine="0" w:firstLineChars="0"/>
              <w:jc w:val="left"/>
              <w:rPr>
                <w:rFonts w:ascii="宋体" w:hAnsi="宋体"/>
                <w:kern w:val="2"/>
                <w:sz w:val="30"/>
                <w:highlight w:val="none"/>
              </w:rPr>
            </w:pPr>
            <w:r>
              <w:rPr>
                <w:rFonts w:hint="eastAsia" w:ascii="宋体" w:hAnsi="宋体"/>
                <w:b/>
                <w:kern w:val="2"/>
                <w:sz w:val="30"/>
                <w:highlight w:val="none"/>
              </w:rPr>
              <w:t>（正本）</w:t>
            </w:r>
          </w:p>
          <w:p>
            <w:pPr>
              <w:pStyle w:val="33"/>
              <w:spacing w:line="240" w:lineRule="auto"/>
              <w:ind w:left="1747" w:firstLine="353"/>
              <w:jc w:val="left"/>
              <w:rPr>
                <w:rFonts w:ascii="宋体" w:hAnsi="宋体"/>
                <w:kern w:val="2"/>
                <w:sz w:val="18"/>
                <w:highlight w:val="none"/>
              </w:rPr>
            </w:pPr>
          </w:p>
          <w:p>
            <w:pPr>
              <w:pStyle w:val="33"/>
              <w:spacing w:line="400" w:lineRule="exact"/>
              <w:ind w:left="0" w:leftChars="0" w:firstLine="0" w:firstLineChars="0"/>
              <w:jc w:val="left"/>
              <w:rPr>
                <w:rFonts w:ascii="宋体" w:hAnsi="宋体"/>
                <w:kern w:val="2"/>
                <w:sz w:val="24"/>
                <w:highlight w:val="none"/>
              </w:rPr>
            </w:pPr>
            <w:r>
              <w:rPr>
                <w:rFonts w:hint="eastAsia" w:ascii="宋体" w:hAnsi="宋体"/>
                <w:kern w:val="2"/>
                <w:sz w:val="24"/>
                <w:highlight w:val="none"/>
              </w:rPr>
              <w:t>项目编号：</w:t>
            </w:r>
          </w:p>
          <w:p>
            <w:pPr>
              <w:pStyle w:val="33"/>
              <w:spacing w:line="400" w:lineRule="exact"/>
              <w:ind w:left="0" w:leftChars="0" w:firstLine="0" w:firstLineChars="0"/>
              <w:jc w:val="left"/>
              <w:rPr>
                <w:rFonts w:hint="eastAsia" w:ascii="宋体" w:hAnsi="宋体"/>
                <w:kern w:val="2"/>
                <w:sz w:val="24"/>
                <w:highlight w:val="none"/>
                <w:u w:val="none"/>
              </w:rPr>
            </w:pPr>
            <w:r>
              <w:rPr>
                <w:rFonts w:hint="eastAsia" w:ascii="宋体" w:hAnsi="宋体"/>
                <w:kern w:val="2"/>
                <w:sz w:val="24"/>
                <w:highlight w:val="none"/>
              </w:rPr>
              <w:t>项目</w:t>
            </w:r>
            <w:r>
              <w:rPr>
                <w:rFonts w:hint="eastAsia" w:ascii="宋体" w:hAnsi="宋体"/>
                <w:kern w:val="2"/>
                <w:sz w:val="24"/>
                <w:highlight w:val="none"/>
                <w:u w:val="none"/>
              </w:rPr>
              <w:t>名称：</w:t>
            </w:r>
          </w:p>
          <w:p>
            <w:pPr>
              <w:pStyle w:val="33"/>
              <w:spacing w:line="400" w:lineRule="exact"/>
              <w:ind w:left="0" w:leftChars="0" w:firstLine="0" w:firstLineChars="0"/>
              <w:jc w:val="left"/>
              <w:rPr>
                <w:rFonts w:hint="eastAsia" w:ascii="宋体" w:hAnsi="宋体"/>
                <w:kern w:val="2"/>
                <w:sz w:val="24"/>
                <w:highlight w:val="none"/>
                <w:u w:val="none"/>
              </w:rPr>
            </w:pPr>
            <w:r>
              <w:rPr>
                <w:rFonts w:hint="eastAsia" w:ascii="宋体" w:hAnsi="宋体"/>
                <w:kern w:val="2"/>
                <w:sz w:val="24"/>
                <w:highlight w:val="none"/>
                <w:u w:val="none"/>
                <w:lang w:val="en-US" w:eastAsia="zh-CN"/>
              </w:rPr>
              <w:t>包号</w:t>
            </w:r>
            <w:r>
              <w:rPr>
                <w:rFonts w:hint="eastAsia" w:ascii="宋体" w:hAnsi="宋体"/>
                <w:kern w:val="2"/>
                <w:sz w:val="24"/>
                <w:highlight w:val="none"/>
                <w:u w:val="none"/>
              </w:rPr>
              <w:t>：</w:t>
            </w:r>
          </w:p>
          <w:p>
            <w:pPr>
              <w:pStyle w:val="33"/>
              <w:spacing w:line="400" w:lineRule="exact"/>
              <w:ind w:left="0" w:leftChars="0" w:firstLine="0" w:firstLineChars="0"/>
              <w:jc w:val="left"/>
              <w:rPr>
                <w:rFonts w:ascii="宋体" w:hAnsi="宋体"/>
                <w:kern w:val="2"/>
                <w:sz w:val="24"/>
                <w:highlight w:val="none"/>
              </w:rPr>
            </w:pPr>
            <w:r>
              <w:rPr>
                <w:rFonts w:hint="eastAsia" w:ascii="宋体" w:hAnsi="宋体"/>
                <w:kern w:val="2"/>
                <w:sz w:val="24"/>
                <w:highlight w:val="none"/>
              </w:rPr>
              <w:t>响应人名称（公章）：</w:t>
            </w:r>
          </w:p>
          <w:p>
            <w:pPr>
              <w:pStyle w:val="33"/>
              <w:spacing w:line="400" w:lineRule="exact"/>
              <w:ind w:left="0" w:leftChars="0" w:firstLine="0" w:firstLineChars="0"/>
              <w:jc w:val="left"/>
              <w:rPr>
                <w:rFonts w:ascii="宋体" w:hAnsi="宋体"/>
                <w:kern w:val="2"/>
                <w:sz w:val="24"/>
                <w:highlight w:val="none"/>
              </w:rPr>
            </w:pPr>
            <w:r>
              <w:rPr>
                <w:rFonts w:hint="eastAsia" w:ascii="宋体" w:hAnsi="宋体"/>
                <w:kern w:val="2"/>
                <w:sz w:val="24"/>
                <w:highlight w:val="none"/>
              </w:rPr>
              <w:t>地址：</w:t>
            </w:r>
          </w:p>
          <w:p>
            <w:pPr>
              <w:pStyle w:val="33"/>
              <w:spacing w:line="400" w:lineRule="exact"/>
              <w:ind w:left="0" w:leftChars="0" w:firstLine="0" w:firstLineChars="0"/>
              <w:jc w:val="left"/>
              <w:rPr>
                <w:rFonts w:ascii="宋体" w:hAnsi="宋体"/>
                <w:kern w:val="2"/>
                <w:sz w:val="24"/>
                <w:highlight w:val="none"/>
              </w:rPr>
            </w:pPr>
            <w:r>
              <w:rPr>
                <w:rFonts w:hint="eastAsia" w:ascii="宋体" w:hAnsi="宋体"/>
                <w:kern w:val="2"/>
                <w:sz w:val="24"/>
                <w:highlight w:val="none"/>
              </w:rPr>
              <w:t>电话：</w:t>
            </w:r>
          </w:p>
          <w:p>
            <w:pPr>
              <w:pStyle w:val="33"/>
              <w:spacing w:line="400" w:lineRule="exact"/>
              <w:ind w:left="0" w:leftChars="0" w:firstLine="0" w:firstLineChars="0"/>
              <w:jc w:val="left"/>
              <w:rPr>
                <w:rFonts w:ascii="宋体" w:hAnsi="宋体"/>
                <w:kern w:val="2"/>
                <w:sz w:val="24"/>
                <w:highlight w:val="none"/>
              </w:rPr>
            </w:pPr>
            <w:r>
              <w:rPr>
                <w:rFonts w:hint="eastAsia" w:ascii="宋体" w:hAnsi="宋体"/>
                <w:kern w:val="2"/>
                <w:sz w:val="24"/>
                <w:highlight w:val="none"/>
              </w:rPr>
              <w:t>传真：</w:t>
            </w:r>
          </w:p>
          <w:p>
            <w:pPr>
              <w:pStyle w:val="33"/>
              <w:spacing w:line="400" w:lineRule="exact"/>
              <w:ind w:left="0" w:leftChars="0" w:firstLine="0" w:firstLineChars="0"/>
              <w:jc w:val="left"/>
              <w:rPr>
                <w:rFonts w:ascii="宋体" w:hAnsi="宋体"/>
                <w:kern w:val="2"/>
                <w:sz w:val="24"/>
                <w:highlight w:val="none"/>
              </w:rPr>
            </w:pPr>
            <w:r>
              <w:rPr>
                <w:rFonts w:hint="eastAsia" w:ascii="宋体" w:hAnsi="宋体"/>
                <w:kern w:val="2"/>
                <w:sz w:val="24"/>
                <w:highlight w:val="none"/>
              </w:rPr>
              <w:t>邮编：</w:t>
            </w:r>
          </w:p>
        </w:tc>
        <w:tc>
          <w:tcPr>
            <w:tcW w:w="4775" w:type="dxa"/>
          </w:tcPr>
          <w:p>
            <w:pPr>
              <w:pStyle w:val="33"/>
              <w:spacing w:line="240" w:lineRule="auto"/>
              <w:ind w:left="0" w:leftChars="0" w:firstLine="0" w:firstLineChars="0"/>
              <w:jc w:val="left"/>
              <w:rPr>
                <w:rFonts w:ascii="宋体" w:hAnsi="宋体"/>
                <w:b/>
                <w:kern w:val="2"/>
                <w:sz w:val="30"/>
                <w:highlight w:val="none"/>
              </w:rPr>
            </w:pPr>
            <w:r>
              <w:rPr>
                <w:rFonts w:hint="eastAsia" w:ascii="宋体" w:hAnsi="宋体"/>
                <w:b/>
                <w:kern w:val="2"/>
                <w:sz w:val="30"/>
                <w:highlight w:val="none"/>
              </w:rPr>
              <w:t>响应文件</w:t>
            </w:r>
          </w:p>
          <w:p>
            <w:pPr>
              <w:pStyle w:val="33"/>
              <w:spacing w:line="240" w:lineRule="auto"/>
              <w:ind w:left="0" w:leftChars="0" w:firstLine="0" w:firstLineChars="0"/>
              <w:jc w:val="left"/>
              <w:rPr>
                <w:rFonts w:ascii="宋体" w:hAnsi="宋体"/>
                <w:kern w:val="2"/>
                <w:sz w:val="30"/>
                <w:highlight w:val="none"/>
              </w:rPr>
            </w:pPr>
            <w:r>
              <w:rPr>
                <w:rFonts w:hint="eastAsia" w:ascii="宋体" w:hAnsi="宋体"/>
                <w:b/>
                <w:kern w:val="2"/>
                <w:sz w:val="30"/>
                <w:highlight w:val="none"/>
              </w:rPr>
              <w:t>（副本）</w:t>
            </w:r>
          </w:p>
          <w:p>
            <w:pPr>
              <w:pStyle w:val="33"/>
              <w:spacing w:line="240" w:lineRule="auto"/>
              <w:ind w:left="1747" w:firstLine="353"/>
              <w:jc w:val="left"/>
              <w:rPr>
                <w:rFonts w:ascii="宋体" w:hAnsi="宋体"/>
                <w:kern w:val="2"/>
                <w:sz w:val="18"/>
                <w:highlight w:val="none"/>
              </w:rPr>
            </w:pPr>
          </w:p>
          <w:p>
            <w:pPr>
              <w:pStyle w:val="33"/>
              <w:spacing w:line="400" w:lineRule="exact"/>
              <w:ind w:left="0" w:leftChars="0" w:firstLine="0" w:firstLineChars="0"/>
              <w:jc w:val="left"/>
              <w:rPr>
                <w:rFonts w:ascii="宋体" w:hAnsi="宋体"/>
                <w:kern w:val="2"/>
                <w:sz w:val="24"/>
                <w:highlight w:val="none"/>
              </w:rPr>
            </w:pPr>
            <w:r>
              <w:rPr>
                <w:rFonts w:hint="eastAsia" w:ascii="宋体" w:hAnsi="宋体"/>
                <w:kern w:val="2"/>
                <w:sz w:val="24"/>
                <w:highlight w:val="none"/>
              </w:rPr>
              <w:t>项目编号：</w:t>
            </w:r>
          </w:p>
          <w:p>
            <w:pPr>
              <w:pStyle w:val="33"/>
              <w:spacing w:line="400" w:lineRule="exact"/>
              <w:ind w:left="0" w:leftChars="0" w:firstLine="0" w:firstLineChars="0"/>
              <w:rPr>
                <w:rFonts w:ascii="宋体" w:hAnsi="宋体"/>
                <w:kern w:val="2"/>
                <w:sz w:val="24"/>
                <w:highlight w:val="none"/>
              </w:rPr>
            </w:pPr>
            <w:r>
              <w:rPr>
                <w:rFonts w:hint="eastAsia" w:ascii="宋体" w:hAnsi="宋体"/>
                <w:kern w:val="2"/>
                <w:sz w:val="24"/>
                <w:highlight w:val="none"/>
              </w:rPr>
              <w:t>项目名称：</w:t>
            </w:r>
          </w:p>
          <w:p>
            <w:pPr>
              <w:pStyle w:val="33"/>
              <w:spacing w:line="400" w:lineRule="exact"/>
              <w:ind w:left="0" w:leftChars="0" w:firstLine="0" w:firstLineChars="0"/>
              <w:jc w:val="left"/>
              <w:rPr>
                <w:rFonts w:hint="eastAsia" w:ascii="宋体" w:hAnsi="宋体"/>
                <w:kern w:val="2"/>
                <w:sz w:val="24"/>
                <w:highlight w:val="none"/>
                <w:u w:val="none"/>
              </w:rPr>
            </w:pPr>
            <w:r>
              <w:rPr>
                <w:rFonts w:hint="eastAsia" w:ascii="宋体" w:hAnsi="宋体"/>
                <w:kern w:val="2"/>
                <w:sz w:val="24"/>
                <w:highlight w:val="none"/>
                <w:u w:val="none"/>
                <w:lang w:val="en-US" w:eastAsia="zh-CN"/>
              </w:rPr>
              <w:t>包号</w:t>
            </w:r>
            <w:r>
              <w:rPr>
                <w:rFonts w:hint="eastAsia" w:ascii="宋体" w:hAnsi="宋体"/>
                <w:kern w:val="2"/>
                <w:sz w:val="24"/>
                <w:highlight w:val="none"/>
                <w:u w:val="none"/>
              </w:rPr>
              <w:t>：</w:t>
            </w:r>
          </w:p>
          <w:p>
            <w:pPr>
              <w:pStyle w:val="33"/>
              <w:spacing w:line="400" w:lineRule="exact"/>
              <w:ind w:left="0" w:leftChars="0" w:firstLine="0" w:firstLineChars="0"/>
              <w:jc w:val="left"/>
              <w:rPr>
                <w:rFonts w:ascii="宋体" w:hAnsi="宋体"/>
                <w:kern w:val="2"/>
                <w:sz w:val="24"/>
                <w:highlight w:val="none"/>
              </w:rPr>
            </w:pPr>
            <w:r>
              <w:rPr>
                <w:rFonts w:hint="eastAsia" w:ascii="宋体" w:hAnsi="宋体"/>
                <w:kern w:val="2"/>
                <w:sz w:val="24"/>
                <w:highlight w:val="none"/>
              </w:rPr>
              <w:t>响应人名称（公章）：</w:t>
            </w:r>
          </w:p>
          <w:p>
            <w:pPr>
              <w:pStyle w:val="33"/>
              <w:spacing w:line="400" w:lineRule="exact"/>
              <w:ind w:left="0" w:leftChars="0" w:firstLine="0" w:firstLineChars="0"/>
              <w:jc w:val="left"/>
              <w:rPr>
                <w:rFonts w:ascii="宋体" w:hAnsi="宋体"/>
                <w:kern w:val="2"/>
                <w:sz w:val="24"/>
                <w:highlight w:val="none"/>
              </w:rPr>
            </w:pPr>
            <w:r>
              <w:rPr>
                <w:rFonts w:hint="eastAsia" w:ascii="宋体" w:hAnsi="宋体"/>
                <w:kern w:val="2"/>
                <w:sz w:val="24"/>
                <w:highlight w:val="none"/>
              </w:rPr>
              <w:t>地址：</w:t>
            </w:r>
          </w:p>
          <w:p>
            <w:pPr>
              <w:pStyle w:val="33"/>
              <w:spacing w:line="400" w:lineRule="exact"/>
              <w:ind w:left="0" w:leftChars="0" w:firstLine="0" w:firstLineChars="0"/>
              <w:jc w:val="left"/>
              <w:rPr>
                <w:rFonts w:ascii="宋体" w:hAnsi="宋体"/>
                <w:kern w:val="2"/>
                <w:sz w:val="24"/>
                <w:highlight w:val="none"/>
              </w:rPr>
            </w:pPr>
            <w:r>
              <w:rPr>
                <w:rFonts w:hint="eastAsia" w:ascii="宋体" w:hAnsi="宋体"/>
                <w:kern w:val="2"/>
                <w:sz w:val="24"/>
                <w:highlight w:val="none"/>
              </w:rPr>
              <w:t>电话：</w:t>
            </w:r>
          </w:p>
          <w:p>
            <w:pPr>
              <w:pStyle w:val="33"/>
              <w:spacing w:line="400" w:lineRule="exact"/>
              <w:ind w:left="0" w:leftChars="0" w:firstLine="0" w:firstLineChars="0"/>
              <w:jc w:val="left"/>
              <w:rPr>
                <w:rFonts w:ascii="宋体" w:hAnsi="宋体"/>
                <w:kern w:val="2"/>
                <w:sz w:val="24"/>
                <w:highlight w:val="none"/>
              </w:rPr>
            </w:pPr>
            <w:r>
              <w:rPr>
                <w:rFonts w:hint="eastAsia" w:ascii="宋体" w:hAnsi="宋体"/>
                <w:kern w:val="2"/>
                <w:sz w:val="24"/>
                <w:highlight w:val="none"/>
              </w:rPr>
              <w:t>传真：</w:t>
            </w:r>
          </w:p>
          <w:p>
            <w:pPr>
              <w:pStyle w:val="33"/>
              <w:spacing w:line="400" w:lineRule="exact"/>
              <w:ind w:left="0" w:leftChars="0" w:firstLine="0" w:firstLineChars="0"/>
              <w:jc w:val="left"/>
              <w:rPr>
                <w:rFonts w:ascii="宋体" w:hAnsi="宋体"/>
                <w:kern w:val="2"/>
                <w:sz w:val="24"/>
                <w:highlight w:val="none"/>
              </w:rPr>
            </w:pPr>
            <w:r>
              <w:rPr>
                <w:rFonts w:hint="eastAsia" w:ascii="宋体" w:hAnsi="宋体"/>
                <w:kern w:val="2"/>
                <w:sz w:val="24"/>
                <w:highlight w:val="none"/>
              </w:rPr>
              <w:t>邮编：</w:t>
            </w:r>
          </w:p>
        </w:tc>
      </w:tr>
    </w:tbl>
    <w:p>
      <w:pPr>
        <w:pStyle w:val="33"/>
        <w:spacing w:line="240" w:lineRule="auto"/>
        <w:ind w:left="1747" w:firstLine="392"/>
        <w:rPr>
          <w:rFonts w:ascii="宋体" w:hAnsi="宋体"/>
          <w:highlight w:val="none"/>
        </w:rPr>
      </w:pPr>
    </w:p>
    <w:tbl>
      <w:tblPr>
        <w:tblStyle w:val="76"/>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5"/>
        <w:gridCol w:w="4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0" w:hRule="atLeast"/>
        </w:trPr>
        <w:tc>
          <w:tcPr>
            <w:tcW w:w="4285" w:type="dxa"/>
          </w:tcPr>
          <w:p>
            <w:pPr>
              <w:pStyle w:val="33"/>
              <w:spacing w:line="400" w:lineRule="exact"/>
              <w:ind w:left="0" w:leftChars="0" w:firstLine="0" w:firstLineChars="0"/>
              <w:jc w:val="left"/>
              <w:rPr>
                <w:rFonts w:ascii="宋体" w:hAnsi="宋体"/>
                <w:kern w:val="2"/>
                <w:sz w:val="24"/>
                <w:highlight w:val="none"/>
              </w:rPr>
            </w:pPr>
          </w:p>
          <w:p>
            <w:pPr>
              <w:pStyle w:val="33"/>
              <w:spacing w:line="400" w:lineRule="exact"/>
              <w:ind w:left="0" w:leftChars="0" w:firstLine="0" w:firstLineChars="0"/>
              <w:jc w:val="left"/>
              <w:rPr>
                <w:rFonts w:ascii="宋体" w:hAnsi="宋体"/>
                <w:b/>
                <w:kern w:val="2"/>
                <w:sz w:val="24"/>
                <w:highlight w:val="none"/>
              </w:rPr>
            </w:pPr>
            <w:r>
              <w:rPr>
                <w:rFonts w:hint="eastAsia" w:ascii="宋体" w:hAnsi="宋体"/>
                <w:b/>
                <w:kern w:val="2"/>
                <w:sz w:val="32"/>
                <w:highlight w:val="none"/>
              </w:rPr>
              <w:t>首轮报价一览表</w:t>
            </w:r>
          </w:p>
          <w:p>
            <w:pPr>
              <w:pStyle w:val="33"/>
              <w:spacing w:line="400" w:lineRule="exact"/>
              <w:ind w:left="0" w:leftChars="0" w:firstLine="0" w:firstLineChars="0"/>
              <w:jc w:val="left"/>
              <w:rPr>
                <w:rFonts w:ascii="宋体" w:hAnsi="宋体"/>
                <w:kern w:val="2"/>
                <w:sz w:val="24"/>
                <w:highlight w:val="none"/>
              </w:rPr>
            </w:pPr>
          </w:p>
          <w:p>
            <w:pPr>
              <w:pStyle w:val="33"/>
              <w:spacing w:line="400" w:lineRule="exact"/>
              <w:ind w:left="0" w:leftChars="0" w:firstLine="0" w:firstLineChars="0"/>
              <w:jc w:val="left"/>
              <w:rPr>
                <w:rFonts w:ascii="宋体" w:hAnsi="宋体"/>
                <w:kern w:val="2"/>
                <w:sz w:val="24"/>
                <w:highlight w:val="none"/>
              </w:rPr>
            </w:pPr>
            <w:r>
              <w:rPr>
                <w:rFonts w:hint="eastAsia" w:ascii="宋体" w:hAnsi="宋体"/>
                <w:kern w:val="2"/>
                <w:sz w:val="24"/>
                <w:highlight w:val="none"/>
              </w:rPr>
              <w:t>项目编号：</w:t>
            </w:r>
          </w:p>
          <w:p>
            <w:pPr>
              <w:pStyle w:val="33"/>
              <w:spacing w:line="400" w:lineRule="exact"/>
              <w:ind w:left="0" w:leftChars="0" w:firstLine="0" w:firstLineChars="0"/>
              <w:jc w:val="left"/>
              <w:rPr>
                <w:rFonts w:ascii="宋体" w:hAnsi="宋体"/>
                <w:kern w:val="2"/>
                <w:sz w:val="24"/>
                <w:highlight w:val="none"/>
              </w:rPr>
            </w:pPr>
            <w:r>
              <w:rPr>
                <w:rFonts w:hint="eastAsia" w:ascii="宋体" w:hAnsi="宋体"/>
                <w:kern w:val="2"/>
                <w:sz w:val="24"/>
                <w:highlight w:val="none"/>
              </w:rPr>
              <w:t>项目名称：</w:t>
            </w:r>
          </w:p>
          <w:p>
            <w:pPr>
              <w:pStyle w:val="33"/>
              <w:spacing w:line="400" w:lineRule="exact"/>
              <w:ind w:left="0" w:leftChars="0" w:firstLine="0" w:firstLineChars="0"/>
              <w:jc w:val="left"/>
              <w:rPr>
                <w:rFonts w:hint="eastAsia" w:ascii="宋体" w:hAnsi="宋体"/>
                <w:kern w:val="2"/>
                <w:sz w:val="24"/>
                <w:highlight w:val="none"/>
                <w:u w:val="none"/>
              </w:rPr>
            </w:pPr>
            <w:r>
              <w:rPr>
                <w:rFonts w:hint="eastAsia" w:ascii="宋体" w:hAnsi="宋体"/>
                <w:kern w:val="2"/>
                <w:sz w:val="24"/>
                <w:highlight w:val="none"/>
                <w:u w:val="none"/>
                <w:lang w:val="en-US" w:eastAsia="zh-CN"/>
              </w:rPr>
              <w:t>包号</w:t>
            </w:r>
            <w:r>
              <w:rPr>
                <w:rFonts w:hint="eastAsia" w:ascii="宋体" w:hAnsi="宋体"/>
                <w:kern w:val="2"/>
                <w:sz w:val="24"/>
                <w:highlight w:val="none"/>
                <w:u w:val="none"/>
              </w:rPr>
              <w:t>：</w:t>
            </w:r>
          </w:p>
          <w:p>
            <w:pPr>
              <w:pStyle w:val="33"/>
              <w:spacing w:line="400" w:lineRule="exact"/>
              <w:ind w:left="0" w:leftChars="0" w:firstLine="0" w:firstLineChars="0"/>
              <w:jc w:val="left"/>
              <w:rPr>
                <w:rFonts w:ascii="宋体" w:hAnsi="宋体"/>
                <w:kern w:val="2"/>
                <w:sz w:val="24"/>
                <w:highlight w:val="none"/>
              </w:rPr>
            </w:pPr>
            <w:r>
              <w:rPr>
                <w:rFonts w:hint="eastAsia" w:ascii="宋体" w:hAnsi="宋体"/>
                <w:kern w:val="2"/>
                <w:sz w:val="24"/>
                <w:highlight w:val="none"/>
              </w:rPr>
              <w:t>响应人名称（公章）：</w:t>
            </w:r>
          </w:p>
          <w:p>
            <w:pPr>
              <w:pStyle w:val="33"/>
              <w:spacing w:line="400" w:lineRule="exact"/>
              <w:ind w:left="0" w:leftChars="0" w:firstLine="0" w:firstLineChars="0"/>
              <w:jc w:val="left"/>
              <w:rPr>
                <w:rFonts w:ascii="宋体" w:hAnsi="宋体"/>
                <w:kern w:val="2"/>
                <w:sz w:val="24"/>
                <w:highlight w:val="none"/>
              </w:rPr>
            </w:pPr>
            <w:r>
              <w:rPr>
                <w:rFonts w:hint="eastAsia" w:ascii="宋体" w:hAnsi="宋体"/>
                <w:kern w:val="2"/>
                <w:sz w:val="24"/>
                <w:highlight w:val="none"/>
              </w:rPr>
              <w:t>地址：</w:t>
            </w:r>
          </w:p>
          <w:p>
            <w:pPr>
              <w:pStyle w:val="33"/>
              <w:spacing w:line="400" w:lineRule="exact"/>
              <w:ind w:left="0" w:leftChars="0" w:firstLine="0" w:firstLineChars="0"/>
              <w:jc w:val="left"/>
              <w:rPr>
                <w:rFonts w:ascii="宋体" w:hAnsi="宋体"/>
                <w:kern w:val="2"/>
                <w:sz w:val="24"/>
                <w:highlight w:val="none"/>
              </w:rPr>
            </w:pPr>
            <w:r>
              <w:rPr>
                <w:rFonts w:hint="eastAsia" w:ascii="宋体" w:hAnsi="宋体"/>
                <w:kern w:val="2"/>
                <w:sz w:val="24"/>
                <w:highlight w:val="none"/>
              </w:rPr>
              <w:t>电话：</w:t>
            </w:r>
          </w:p>
          <w:p>
            <w:pPr>
              <w:pStyle w:val="33"/>
              <w:spacing w:line="400" w:lineRule="exact"/>
              <w:ind w:left="0" w:leftChars="0" w:firstLine="0" w:firstLineChars="0"/>
              <w:jc w:val="left"/>
              <w:rPr>
                <w:rFonts w:ascii="宋体" w:hAnsi="宋体"/>
                <w:kern w:val="2"/>
                <w:sz w:val="24"/>
                <w:highlight w:val="none"/>
              </w:rPr>
            </w:pPr>
            <w:r>
              <w:rPr>
                <w:rFonts w:hint="eastAsia" w:ascii="宋体" w:hAnsi="宋体"/>
                <w:kern w:val="2"/>
                <w:sz w:val="24"/>
                <w:highlight w:val="none"/>
              </w:rPr>
              <w:t>传真：</w:t>
            </w:r>
          </w:p>
          <w:p>
            <w:pPr>
              <w:pStyle w:val="33"/>
              <w:spacing w:line="400" w:lineRule="exact"/>
              <w:ind w:left="0" w:leftChars="0" w:firstLine="0" w:firstLineChars="0"/>
              <w:jc w:val="left"/>
              <w:rPr>
                <w:rFonts w:ascii="宋体" w:hAnsi="宋体"/>
                <w:kern w:val="2"/>
                <w:sz w:val="24"/>
                <w:highlight w:val="none"/>
              </w:rPr>
            </w:pPr>
            <w:r>
              <w:rPr>
                <w:rFonts w:hint="eastAsia" w:ascii="宋体" w:hAnsi="宋体"/>
                <w:kern w:val="2"/>
                <w:sz w:val="24"/>
                <w:highlight w:val="none"/>
              </w:rPr>
              <w:t>邮编：</w:t>
            </w:r>
          </w:p>
          <w:p>
            <w:pPr>
              <w:pStyle w:val="33"/>
              <w:spacing w:line="400" w:lineRule="exact"/>
              <w:ind w:left="0" w:leftChars="0" w:firstLine="0" w:firstLineChars="0"/>
              <w:jc w:val="left"/>
              <w:rPr>
                <w:rFonts w:ascii="宋体" w:hAnsi="宋体"/>
                <w:kern w:val="2"/>
                <w:sz w:val="24"/>
                <w:highlight w:val="none"/>
              </w:rPr>
            </w:pPr>
          </w:p>
        </w:tc>
        <w:tc>
          <w:tcPr>
            <w:tcW w:w="4775" w:type="dxa"/>
          </w:tcPr>
          <w:p>
            <w:pPr>
              <w:pStyle w:val="33"/>
              <w:spacing w:line="400" w:lineRule="exact"/>
              <w:ind w:left="0" w:leftChars="0" w:firstLine="0" w:firstLineChars="0"/>
              <w:jc w:val="left"/>
              <w:rPr>
                <w:rFonts w:ascii="宋体" w:hAnsi="宋体"/>
                <w:b/>
                <w:kern w:val="2"/>
                <w:sz w:val="32"/>
                <w:highlight w:val="none"/>
              </w:rPr>
            </w:pPr>
          </w:p>
          <w:p>
            <w:pPr>
              <w:pStyle w:val="33"/>
              <w:spacing w:line="400" w:lineRule="exact"/>
              <w:ind w:left="0" w:leftChars="0" w:firstLine="0" w:firstLineChars="0"/>
              <w:jc w:val="left"/>
              <w:rPr>
                <w:rFonts w:ascii="宋体" w:hAnsi="宋体"/>
                <w:b/>
                <w:kern w:val="2"/>
                <w:sz w:val="32"/>
                <w:highlight w:val="none"/>
              </w:rPr>
            </w:pPr>
            <w:r>
              <w:rPr>
                <w:rFonts w:hint="eastAsia" w:ascii="宋体" w:hAnsi="宋体"/>
                <w:b/>
                <w:kern w:val="2"/>
                <w:sz w:val="32"/>
                <w:highlight w:val="none"/>
              </w:rPr>
              <w:t>响应文件电子文档</w:t>
            </w:r>
          </w:p>
          <w:p>
            <w:pPr>
              <w:pStyle w:val="33"/>
              <w:spacing w:line="400" w:lineRule="exact"/>
              <w:ind w:left="0" w:leftChars="0" w:firstLine="0" w:firstLineChars="0"/>
              <w:jc w:val="left"/>
              <w:rPr>
                <w:rFonts w:ascii="宋体" w:hAnsi="宋体"/>
                <w:kern w:val="2"/>
                <w:sz w:val="24"/>
                <w:highlight w:val="none"/>
              </w:rPr>
            </w:pPr>
          </w:p>
          <w:p>
            <w:pPr>
              <w:pStyle w:val="33"/>
              <w:spacing w:line="400" w:lineRule="exact"/>
              <w:ind w:left="0" w:leftChars="0" w:firstLine="0" w:firstLineChars="0"/>
              <w:jc w:val="left"/>
              <w:rPr>
                <w:rFonts w:ascii="宋体" w:hAnsi="宋体"/>
                <w:kern w:val="2"/>
                <w:sz w:val="24"/>
                <w:highlight w:val="none"/>
              </w:rPr>
            </w:pPr>
            <w:r>
              <w:rPr>
                <w:rFonts w:hint="eastAsia" w:ascii="宋体" w:hAnsi="宋体"/>
                <w:kern w:val="2"/>
                <w:sz w:val="24"/>
                <w:highlight w:val="none"/>
              </w:rPr>
              <w:t>项目编号：</w:t>
            </w:r>
          </w:p>
          <w:p>
            <w:pPr>
              <w:pStyle w:val="33"/>
              <w:spacing w:line="400" w:lineRule="exact"/>
              <w:ind w:left="0" w:leftChars="0" w:firstLine="0" w:firstLineChars="0"/>
              <w:jc w:val="left"/>
              <w:rPr>
                <w:rFonts w:ascii="宋体" w:hAnsi="宋体"/>
                <w:kern w:val="2"/>
                <w:sz w:val="24"/>
                <w:highlight w:val="none"/>
              </w:rPr>
            </w:pPr>
            <w:r>
              <w:rPr>
                <w:rFonts w:hint="eastAsia" w:ascii="宋体" w:hAnsi="宋体"/>
                <w:kern w:val="2"/>
                <w:sz w:val="24"/>
                <w:highlight w:val="none"/>
              </w:rPr>
              <w:t>项目名称：</w:t>
            </w:r>
          </w:p>
          <w:p>
            <w:pPr>
              <w:pStyle w:val="33"/>
              <w:spacing w:line="400" w:lineRule="exact"/>
              <w:ind w:left="0" w:leftChars="0" w:firstLine="0" w:firstLineChars="0"/>
              <w:jc w:val="left"/>
              <w:rPr>
                <w:rFonts w:hint="eastAsia" w:ascii="宋体" w:hAnsi="宋体"/>
                <w:kern w:val="2"/>
                <w:sz w:val="24"/>
                <w:highlight w:val="none"/>
                <w:u w:val="none"/>
              </w:rPr>
            </w:pPr>
            <w:r>
              <w:rPr>
                <w:rFonts w:hint="eastAsia" w:ascii="宋体" w:hAnsi="宋体"/>
                <w:kern w:val="2"/>
                <w:sz w:val="24"/>
                <w:highlight w:val="none"/>
                <w:u w:val="none"/>
                <w:lang w:val="en-US" w:eastAsia="zh-CN"/>
              </w:rPr>
              <w:t>包号</w:t>
            </w:r>
            <w:r>
              <w:rPr>
                <w:rFonts w:hint="eastAsia" w:ascii="宋体" w:hAnsi="宋体"/>
                <w:kern w:val="2"/>
                <w:sz w:val="24"/>
                <w:highlight w:val="none"/>
                <w:u w:val="none"/>
              </w:rPr>
              <w:t>：</w:t>
            </w:r>
          </w:p>
          <w:p>
            <w:pPr>
              <w:pStyle w:val="33"/>
              <w:spacing w:line="400" w:lineRule="exact"/>
              <w:ind w:left="0" w:leftChars="0" w:firstLine="0" w:firstLineChars="0"/>
              <w:jc w:val="left"/>
              <w:rPr>
                <w:rFonts w:ascii="宋体" w:hAnsi="宋体"/>
                <w:kern w:val="2"/>
                <w:sz w:val="24"/>
                <w:highlight w:val="none"/>
              </w:rPr>
            </w:pPr>
            <w:r>
              <w:rPr>
                <w:rFonts w:hint="eastAsia" w:ascii="宋体" w:hAnsi="宋体"/>
                <w:kern w:val="2"/>
                <w:sz w:val="24"/>
                <w:highlight w:val="none"/>
              </w:rPr>
              <w:t>响应人名称（公章）：</w:t>
            </w:r>
          </w:p>
          <w:p>
            <w:pPr>
              <w:pStyle w:val="33"/>
              <w:spacing w:line="400" w:lineRule="exact"/>
              <w:ind w:left="0" w:leftChars="0" w:firstLine="0" w:firstLineChars="0"/>
              <w:jc w:val="left"/>
              <w:rPr>
                <w:rFonts w:ascii="宋体" w:hAnsi="宋体"/>
                <w:kern w:val="2"/>
                <w:sz w:val="24"/>
                <w:highlight w:val="none"/>
              </w:rPr>
            </w:pPr>
            <w:r>
              <w:rPr>
                <w:rFonts w:hint="eastAsia" w:ascii="宋体" w:hAnsi="宋体"/>
                <w:kern w:val="2"/>
                <w:sz w:val="24"/>
                <w:highlight w:val="none"/>
              </w:rPr>
              <w:t>地址：</w:t>
            </w:r>
          </w:p>
          <w:p>
            <w:pPr>
              <w:pStyle w:val="33"/>
              <w:spacing w:line="400" w:lineRule="exact"/>
              <w:ind w:left="0" w:leftChars="0" w:firstLine="0" w:firstLineChars="0"/>
              <w:jc w:val="left"/>
              <w:rPr>
                <w:rFonts w:ascii="宋体" w:hAnsi="宋体"/>
                <w:kern w:val="2"/>
                <w:sz w:val="24"/>
                <w:highlight w:val="none"/>
              </w:rPr>
            </w:pPr>
            <w:r>
              <w:rPr>
                <w:rFonts w:hint="eastAsia" w:ascii="宋体" w:hAnsi="宋体"/>
                <w:kern w:val="2"/>
                <w:sz w:val="24"/>
                <w:highlight w:val="none"/>
              </w:rPr>
              <w:t>电话：</w:t>
            </w:r>
          </w:p>
          <w:p>
            <w:pPr>
              <w:pStyle w:val="33"/>
              <w:spacing w:line="400" w:lineRule="exact"/>
              <w:ind w:left="0" w:leftChars="0" w:firstLine="0" w:firstLineChars="0"/>
              <w:jc w:val="left"/>
              <w:rPr>
                <w:rFonts w:ascii="宋体" w:hAnsi="宋体"/>
                <w:kern w:val="2"/>
                <w:sz w:val="24"/>
                <w:highlight w:val="none"/>
              </w:rPr>
            </w:pPr>
            <w:r>
              <w:rPr>
                <w:rFonts w:hint="eastAsia" w:ascii="宋体" w:hAnsi="宋体"/>
                <w:kern w:val="2"/>
                <w:sz w:val="24"/>
                <w:highlight w:val="none"/>
              </w:rPr>
              <w:t>传真：</w:t>
            </w:r>
          </w:p>
          <w:p>
            <w:pPr>
              <w:pStyle w:val="33"/>
              <w:spacing w:line="400" w:lineRule="exact"/>
              <w:ind w:left="0" w:leftChars="0" w:firstLine="0" w:firstLineChars="0"/>
              <w:jc w:val="left"/>
              <w:rPr>
                <w:rFonts w:ascii="宋体" w:hAnsi="宋体"/>
                <w:kern w:val="2"/>
                <w:sz w:val="24"/>
                <w:highlight w:val="none"/>
              </w:rPr>
            </w:pPr>
            <w:r>
              <w:rPr>
                <w:rFonts w:hint="eastAsia" w:ascii="宋体" w:hAnsi="宋体"/>
                <w:kern w:val="2"/>
                <w:sz w:val="24"/>
                <w:highlight w:val="none"/>
              </w:rPr>
              <w:t>邮编：</w:t>
            </w:r>
          </w:p>
          <w:p>
            <w:pPr>
              <w:pStyle w:val="33"/>
              <w:spacing w:line="400" w:lineRule="exact"/>
              <w:ind w:left="0" w:leftChars="0" w:firstLine="0" w:firstLineChars="0"/>
              <w:jc w:val="left"/>
              <w:rPr>
                <w:rFonts w:ascii="宋体" w:hAnsi="宋体"/>
                <w:kern w:val="2"/>
                <w:sz w:val="24"/>
                <w:highlight w:val="none"/>
              </w:rPr>
            </w:pPr>
          </w:p>
        </w:tc>
      </w:tr>
    </w:tbl>
    <w:p>
      <w:pPr>
        <w:pStyle w:val="33"/>
        <w:spacing w:line="240" w:lineRule="auto"/>
        <w:ind w:left="1747" w:firstLine="392"/>
        <w:rPr>
          <w:rFonts w:ascii="宋体" w:hAnsi="宋体"/>
          <w:highlight w:val="none"/>
        </w:rPr>
      </w:pPr>
    </w:p>
    <w:p>
      <w:pPr>
        <w:pStyle w:val="33"/>
        <w:spacing w:line="240" w:lineRule="auto"/>
        <w:ind w:left="0" w:leftChars="0" w:firstLine="0" w:firstLineChars="0"/>
        <w:rPr>
          <w:rFonts w:ascii="宋体" w:hAnsi="宋体"/>
          <w:b/>
          <w:bCs/>
          <w:sz w:val="32"/>
          <w:highlight w:val="none"/>
        </w:rPr>
      </w:pPr>
      <w:r>
        <w:rPr>
          <w:rFonts w:hint="eastAsia" w:ascii="宋体" w:hAnsi="宋体"/>
          <w:b/>
          <w:bCs/>
          <w:sz w:val="32"/>
          <w:highlight w:val="none"/>
        </w:rPr>
        <w:t>封口格式：</w:t>
      </w:r>
    </w:p>
    <w:tbl>
      <w:tblPr>
        <w:tblStyle w:val="76"/>
        <w:tblW w:w="91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vAlign w:val="center"/>
          </w:tcPr>
          <w:p>
            <w:pPr>
              <w:pStyle w:val="33"/>
              <w:spacing w:line="240" w:lineRule="auto"/>
              <w:ind w:left="0" w:leftChars="0" w:firstLine="0" w:firstLineChars="0"/>
              <w:rPr>
                <w:rFonts w:ascii="宋体" w:hAnsi="宋体"/>
                <w:kern w:val="2"/>
                <w:sz w:val="24"/>
                <w:highlight w:val="none"/>
              </w:rPr>
            </w:pPr>
            <w:r>
              <w:rPr>
                <w:rFonts w:hint="eastAsia" w:ascii="宋体" w:hAnsi="宋体"/>
                <w:kern w:val="2"/>
                <w:sz w:val="24"/>
                <w:highlight w:val="none"/>
              </w:rPr>
              <w:t>……………………</w:t>
            </w:r>
            <w:r>
              <w:rPr>
                <w:rFonts w:hint="eastAsia" w:ascii="宋体" w:hAnsi="宋体"/>
                <w:sz w:val="24"/>
                <w:highlight w:val="none"/>
              </w:rPr>
              <w:t>响应文件递交截止时间前不准启封</w:t>
            </w:r>
            <w:r>
              <w:rPr>
                <w:rFonts w:hint="eastAsia" w:ascii="宋体" w:hAnsi="宋体"/>
                <w:kern w:val="2"/>
                <w:sz w:val="24"/>
                <w:highlight w:val="none"/>
              </w:rPr>
              <w:t>（公章）…………………</w:t>
            </w:r>
          </w:p>
        </w:tc>
      </w:tr>
    </w:tbl>
    <w:p>
      <w:pPr>
        <w:pStyle w:val="138"/>
        <w:rPr>
          <w:highlight w:val="none"/>
        </w:rPr>
      </w:pPr>
    </w:p>
    <w:sectPr>
      <w:headerReference r:id="rId8" w:type="default"/>
      <w:pgSz w:w="11907" w:h="16840"/>
      <w:pgMar w:top="1230" w:right="1418" w:bottom="1134" w:left="1418" w:header="851" w:footer="851" w:gutter="0"/>
      <w:cols w:space="720" w:num="1"/>
      <w:docGrid w:type="lines" w:linePitch="290" w:charSpace="-39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10"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framePr w:wrap="around" w:vAnchor="text" w:hAnchor="margin" w:xAlign="center" w:y="1"/>
      <w:rPr>
        <w:rStyle w:val="123"/>
      </w:rPr>
    </w:pPr>
    <w:r>
      <w:fldChar w:fldCharType="begin"/>
    </w:r>
    <w:r>
      <w:rPr>
        <w:rStyle w:val="123"/>
      </w:rPr>
      <w:instrText xml:space="preserve">PAGE  </w:instrText>
    </w:r>
    <w:r>
      <w:fldChar w:fldCharType="end"/>
    </w:r>
  </w:p>
  <w:p>
    <w:pPr>
      <w:pStyle w:val="5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7" name="文本框 2"/>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a:effectLst/>
                    </wps:spPr>
                    <wps:txbx>
                      <w:txbxContent>
                        <w:p>
                          <w:pPr>
                            <w:pStyle w:val="51"/>
                            <w:rPr>
                              <w:rStyle w:val="123"/>
                            </w:rPr>
                          </w:pPr>
                          <w:r>
                            <w:fldChar w:fldCharType="begin"/>
                          </w:r>
                          <w:r>
                            <w:rPr>
                              <w:rStyle w:val="123"/>
                            </w:rPr>
                            <w:instrText xml:space="preserve">PAGE  </w:instrText>
                          </w:r>
                          <w:r>
                            <w:fldChar w:fldCharType="separate"/>
                          </w:r>
                          <w:r>
                            <w:rPr>
                              <w:rStyle w:val="123"/>
                            </w:rPr>
                            <w:t>36</w:t>
                          </w:r>
                          <w: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4vdRNAAAAACAQAADwAAAAAAAAABACAAAAAiAAAAZHJz&#10;L2Rvd25yZXYueG1sUEsBAhQAFAAAAAgAh07iQOIXNvbTAQAApAMAAA4AAAAAAAAAAQAgAAAAHwEA&#10;AGRycy9lMm9Eb2MueG1sUEsFBgAAAAAGAAYAWQEAAGQFAAAAAA==&#10;">
              <v:fill on="f" focussize="0,0"/>
              <v:stroke on="f"/>
              <v:imagedata o:title=""/>
              <o:lock v:ext="edit" aspectratio="f"/>
              <v:textbox inset="0mm,0mm,0mm,0mm" style="mso-fit-shape-to-text:t;">
                <w:txbxContent>
                  <w:p>
                    <w:pPr>
                      <w:pStyle w:val="51"/>
                      <w:rPr>
                        <w:rStyle w:val="123"/>
                      </w:rPr>
                    </w:pPr>
                    <w:r>
                      <w:fldChar w:fldCharType="begin"/>
                    </w:r>
                    <w:r>
                      <w:rPr>
                        <w:rStyle w:val="123"/>
                      </w:rPr>
                      <w:instrText xml:space="preserve">PAGE  </w:instrText>
                    </w:r>
                    <w:r>
                      <w:fldChar w:fldCharType="separate"/>
                    </w:r>
                    <w:r>
                      <w:rPr>
                        <w:rStyle w:val="123"/>
                      </w:rPr>
                      <w:t>36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jc w:val="both"/>
      <w:rPr>
        <w:rFonts w:ascii="宋体" w:hAnsi="宋体"/>
        <w:b/>
        <w:sz w:val="21"/>
        <w:szCs w:val="21"/>
      </w:rPr>
    </w:pPr>
    <w:r>
      <w:rPr>
        <w:rFonts w:ascii="宋体" w:cs="宋体"/>
        <w:b/>
        <w:sz w:val="52"/>
      </w:rPr>
      <w:drawing>
        <wp:anchor distT="0" distB="0" distL="114300" distR="114300" simplePos="0" relativeHeight="251661312" behindDoc="0" locked="0" layoutInCell="1" allowOverlap="1">
          <wp:simplePos x="0" y="0"/>
          <wp:positionH relativeFrom="column">
            <wp:posOffset>-24130</wp:posOffset>
          </wp:positionH>
          <wp:positionV relativeFrom="paragraph">
            <wp:posOffset>-159385</wp:posOffset>
          </wp:positionV>
          <wp:extent cx="399415" cy="428625"/>
          <wp:effectExtent l="0" t="0" r="635" b="9525"/>
          <wp:wrapNone/>
          <wp:docPr id="4" name="图片 4" descr="海逸恒安LOGO最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海逸恒安LOGO最新"/>
                  <pic:cNvPicPr>
                    <a:picLocks noChangeAspect="1" noChangeArrowheads="1"/>
                  </pic:cNvPicPr>
                </pic:nvPicPr>
                <pic:blipFill>
                  <a:blip r:embed="rId1"/>
                  <a:srcRect l="16122" t="4205" r="6996" b="6627"/>
                  <a:stretch>
                    <a:fillRect/>
                  </a:stretch>
                </pic:blipFill>
                <pic:spPr>
                  <a:xfrm>
                    <a:off x="0" y="0"/>
                    <a:ext cx="399415" cy="428625"/>
                  </a:xfrm>
                  <a:prstGeom prst="rect">
                    <a:avLst/>
                  </a:prstGeom>
                  <a:noFill/>
                  <a:ln w="9525" cmpd="sng">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jc w:val="both"/>
      <w:rPr>
        <w:rFonts w:ascii="宋体" w:hAnsi="宋体"/>
        <w:b/>
        <w:sz w:val="21"/>
        <w:szCs w:val="21"/>
      </w:rPr>
    </w:pPr>
    <w:r>
      <w:rPr>
        <w:rFonts w:ascii="宋体" w:cs="宋体"/>
        <w:b/>
        <w:sz w:val="52"/>
      </w:rPr>
      <w:drawing>
        <wp:anchor distT="0" distB="0" distL="114300" distR="114300" simplePos="0" relativeHeight="251659264" behindDoc="0" locked="0" layoutInCell="1" allowOverlap="1">
          <wp:simplePos x="0" y="0"/>
          <wp:positionH relativeFrom="column">
            <wp:posOffset>-24130</wp:posOffset>
          </wp:positionH>
          <wp:positionV relativeFrom="paragraph">
            <wp:posOffset>-159385</wp:posOffset>
          </wp:positionV>
          <wp:extent cx="399415" cy="428625"/>
          <wp:effectExtent l="19050" t="0" r="635" b="0"/>
          <wp:wrapNone/>
          <wp:docPr id="1" name="图片 1" descr="海逸恒安LOGO最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海逸恒安LOGO最新"/>
                  <pic:cNvPicPr>
                    <a:picLocks noChangeAspect="1" noChangeArrowheads="1"/>
                  </pic:cNvPicPr>
                </pic:nvPicPr>
                <pic:blipFill>
                  <a:blip r:embed="rId1"/>
                  <a:srcRect l="16122" t="4205" r="6996" b="6627"/>
                  <a:stretch>
                    <a:fillRect/>
                  </a:stretch>
                </pic:blipFill>
                <pic:spPr>
                  <a:xfrm>
                    <a:off x="0" y="0"/>
                    <a:ext cx="399415" cy="428625"/>
                  </a:xfrm>
                  <a:prstGeom prst="rect">
                    <a:avLst/>
                  </a:prstGeom>
                  <a:noFill/>
                  <a:ln w="9525" cmpd="sng">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9F5DE5"/>
    <w:multiLevelType w:val="multilevel"/>
    <w:tmpl w:val="229F5DE5"/>
    <w:lvl w:ilvl="0" w:tentative="0">
      <w:start w:val="3"/>
      <w:numFmt w:val="decimal"/>
      <w:pStyle w:val="45"/>
      <w:lvlText w:val="%1．"/>
      <w:lvlJc w:val="left"/>
      <w:pPr>
        <w:tabs>
          <w:tab w:val="left" w:pos="360"/>
        </w:tabs>
        <w:ind w:left="360" w:hanging="360"/>
      </w:pPr>
      <w:rPr>
        <w:rFonts w:hint="default" w:cs="Times New Roman"/>
      </w:rPr>
    </w:lvl>
    <w:lvl w:ilvl="1" w:tentative="0">
      <w:start w:val="1"/>
      <w:numFmt w:val="lowerLetter"/>
      <w:pStyle w:val="237"/>
      <w:lvlText w:val="%2)"/>
      <w:lvlJc w:val="left"/>
      <w:pPr>
        <w:tabs>
          <w:tab w:val="left" w:pos="840"/>
        </w:tabs>
        <w:ind w:left="840" w:hanging="420"/>
      </w:pPr>
      <w:rPr>
        <w:rFonts w:cs="Times New Roman"/>
      </w:rPr>
    </w:lvl>
    <w:lvl w:ilvl="2" w:tentative="0">
      <w:start w:val="1"/>
      <w:numFmt w:val="lowerRoman"/>
      <w:pStyle w:val="281"/>
      <w:lvlText w:val="%3."/>
      <w:lvlJc w:val="right"/>
      <w:pPr>
        <w:tabs>
          <w:tab w:val="left" w:pos="1260"/>
        </w:tabs>
        <w:ind w:left="1260" w:hanging="420"/>
      </w:pPr>
      <w:rPr>
        <w:rFonts w:cs="Times New Roman"/>
      </w:rPr>
    </w:lvl>
    <w:lvl w:ilvl="3" w:tentative="0">
      <w:start w:val="1"/>
      <w:numFmt w:val="decimal"/>
      <w:pStyle w:val="217"/>
      <w:lvlText w:val="%4."/>
      <w:lvlJc w:val="left"/>
      <w:pPr>
        <w:tabs>
          <w:tab w:val="left" w:pos="1680"/>
        </w:tabs>
        <w:ind w:left="1680" w:hanging="420"/>
      </w:pPr>
      <w:rPr>
        <w:rFonts w:cs="Times New Roman"/>
      </w:rPr>
    </w:lvl>
    <w:lvl w:ilvl="4" w:tentative="0">
      <w:start w:val="1"/>
      <w:numFmt w:val="lowerLetter"/>
      <w:pStyle w:val="216"/>
      <w:lvlText w:val="%5)"/>
      <w:lvlJc w:val="left"/>
      <w:pPr>
        <w:tabs>
          <w:tab w:val="left" w:pos="2100"/>
        </w:tabs>
        <w:ind w:left="2100" w:hanging="420"/>
      </w:pPr>
      <w:rPr>
        <w:rFonts w:cs="Times New Roman"/>
      </w:rPr>
    </w:lvl>
    <w:lvl w:ilvl="5" w:tentative="0">
      <w:start w:val="1"/>
      <w:numFmt w:val="lowerRoman"/>
      <w:pStyle w:val="261"/>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5AA75E1B"/>
    <w:multiLevelType w:val="singleLevel"/>
    <w:tmpl w:val="5AA75E1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trackRevisions w:val="1"/>
  <w:documentProtection w:enforcement="0"/>
  <w:defaultTabStop w:val="0"/>
  <w:drawingGridHorizontalSpacing w:val="191"/>
  <w:drawingGridVerticalSpacing w:val="145"/>
  <w:displayHorizontalDrawingGridEvery w:val="1"/>
  <w:displayVerticalDrawingGridEvery w:val="1"/>
  <w:noPunctuationKerning w:val="1"/>
  <w:characterSpacingControl w:val="compressPunctuation"/>
  <w:doNotValidateAgainstSchema/>
  <w:doNotDemarcateInvalidXml/>
  <w:hdrShapeDefaults>
    <o:shapelayout v:ext="edit">
      <o:idmap v:ext="edit" data="4"/>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1NTNmZWZhNjU2ZmM2NDU4NjM1MmQ2NjJhODk4MmQifQ=="/>
  </w:docVars>
  <w:rsids>
    <w:rsidRoot w:val="00B9162F"/>
    <w:rsid w:val="000009EA"/>
    <w:rsid w:val="00001570"/>
    <w:rsid w:val="00001B37"/>
    <w:rsid w:val="00002344"/>
    <w:rsid w:val="00002350"/>
    <w:rsid w:val="000026C3"/>
    <w:rsid w:val="000027CE"/>
    <w:rsid w:val="00003971"/>
    <w:rsid w:val="000043B0"/>
    <w:rsid w:val="00005A6F"/>
    <w:rsid w:val="00005CE6"/>
    <w:rsid w:val="00007080"/>
    <w:rsid w:val="000071C5"/>
    <w:rsid w:val="00007867"/>
    <w:rsid w:val="00007958"/>
    <w:rsid w:val="0001010F"/>
    <w:rsid w:val="000107DF"/>
    <w:rsid w:val="000108A7"/>
    <w:rsid w:val="00011230"/>
    <w:rsid w:val="00011CCF"/>
    <w:rsid w:val="00012AD5"/>
    <w:rsid w:val="0001316F"/>
    <w:rsid w:val="000132D4"/>
    <w:rsid w:val="00013F12"/>
    <w:rsid w:val="00013F6C"/>
    <w:rsid w:val="000142C2"/>
    <w:rsid w:val="0001467B"/>
    <w:rsid w:val="000146C2"/>
    <w:rsid w:val="000148D8"/>
    <w:rsid w:val="00015085"/>
    <w:rsid w:val="00015188"/>
    <w:rsid w:val="000154D7"/>
    <w:rsid w:val="00015E1A"/>
    <w:rsid w:val="00016B7F"/>
    <w:rsid w:val="00016FFA"/>
    <w:rsid w:val="00017221"/>
    <w:rsid w:val="0001728C"/>
    <w:rsid w:val="00017880"/>
    <w:rsid w:val="0002169C"/>
    <w:rsid w:val="00022410"/>
    <w:rsid w:val="000227C5"/>
    <w:rsid w:val="00022FFB"/>
    <w:rsid w:val="00023ED5"/>
    <w:rsid w:val="00024146"/>
    <w:rsid w:val="0002456C"/>
    <w:rsid w:val="00024AB5"/>
    <w:rsid w:val="00024EE4"/>
    <w:rsid w:val="00026173"/>
    <w:rsid w:val="00027FCE"/>
    <w:rsid w:val="00031311"/>
    <w:rsid w:val="000318B5"/>
    <w:rsid w:val="000318DF"/>
    <w:rsid w:val="000319A9"/>
    <w:rsid w:val="00031F00"/>
    <w:rsid w:val="000329A4"/>
    <w:rsid w:val="00032B55"/>
    <w:rsid w:val="00032BAF"/>
    <w:rsid w:val="000332A8"/>
    <w:rsid w:val="0003473D"/>
    <w:rsid w:val="00034D65"/>
    <w:rsid w:val="00034DD1"/>
    <w:rsid w:val="000350C2"/>
    <w:rsid w:val="000352BA"/>
    <w:rsid w:val="00035833"/>
    <w:rsid w:val="00035C18"/>
    <w:rsid w:val="00035CEB"/>
    <w:rsid w:val="00036624"/>
    <w:rsid w:val="00036707"/>
    <w:rsid w:val="0003772C"/>
    <w:rsid w:val="00040F52"/>
    <w:rsid w:val="00041806"/>
    <w:rsid w:val="00041C7D"/>
    <w:rsid w:val="00042234"/>
    <w:rsid w:val="000426F9"/>
    <w:rsid w:val="00042704"/>
    <w:rsid w:val="00042716"/>
    <w:rsid w:val="00042F7C"/>
    <w:rsid w:val="000434AA"/>
    <w:rsid w:val="00043E23"/>
    <w:rsid w:val="00043EA2"/>
    <w:rsid w:val="00043F53"/>
    <w:rsid w:val="000441C2"/>
    <w:rsid w:val="0004529F"/>
    <w:rsid w:val="00045404"/>
    <w:rsid w:val="000456CE"/>
    <w:rsid w:val="00045774"/>
    <w:rsid w:val="00046208"/>
    <w:rsid w:val="00046A50"/>
    <w:rsid w:val="00046F00"/>
    <w:rsid w:val="0004719A"/>
    <w:rsid w:val="000471EC"/>
    <w:rsid w:val="00047B68"/>
    <w:rsid w:val="00047D84"/>
    <w:rsid w:val="000503C1"/>
    <w:rsid w:val="0005094B"/>
    <w:rsid w:val="00050C78"/>
    <w:rsid w:val="000525EB"/>
    <w:rsid w:val="00052AAC"/>
    <w:rsid w:val="000533A2"/>
    <w:rsid w:val="000539E5"/>
    <w:rsid w:val="00054386"/>
    <w:rsid w:val="000544A9"/>
    <w:rsid w:val="000546B1"/>
    <w:rsid w:val="00054E7E"/>
    <w:rsid w:val="00055043"/>
    <w:rsid w:val="000557E4"/>
    <w:rsid w:val="000559CF"/>
    <w:rsid w:val="00055BF8"/>
    <w:rsid w:val="000561BD"/>
    <w:rsid w:val="00056BAC"/>
    <w:rsid w:val="00056D5B"/>
    <w:rsid w:val="00060555"/>
    <w:rsid w:val="00060576"/>
    <w:rsid w:val="000608FC"/>
    <w:rsid w:val="0006100D"/>
    <w:rsid w:val="00061097"/>
    <w:rsid w:val="000611BB"/>
    <w:rsid w:val="0006144D"/>
    <w:rsid w:val="00062007"/>
    <w:rsid w:val="0006264A"/>
    <w:rsid w:val="00062A55"/>
    <w:rsid w:val="00062ADB"/>
    <w:rsid w:val="00064100"/>
    <w:rsid w:val="00064C64"/>
    <w:rsid w:val="00065ED1"/>
    <w:rsid w:val="00066261"/>
    <w:rsid w:val="000663CA"/>
    <w:rsid w:val="000668CA"/>
    <w:rsid w:val="00066DEF"/>
    <w:rsid w:val="00070205"/>
    <w:rsid w:val="00070D6B"/>
    <w:rsid w:val="000713A3"/>
    <w:rsid w:val="00071A6C"/>
    <w:rsid w:val="000722C8"/>
    <w:rsid w:val="00072497"/>
    <w:rsid w:val="0007255D"/>
    <w:rsid w:val="00072965"/>
    <w:rsid w:val="0007345D"/>
    <w:rsid w:val="0007367F"/>
    <w:rsid w:val="000757D2"/>
    <w:rsid w:val="0007590B"/>
    <w:rsid w:val="00076424"/>
    <w:rsid w:val="0007642E"/>
    <w:rsid w:val="0007697F"/>
    <w:rsid w:val="00076C5A"/>
    <w:rsid w:val="00077566"/>
    <w:rsid w:val="0007764A"/>
    <w:rsid w:val="0007775E"/>
    <w:rsid w:val="00077888"/>
    <w:rsid w:val="0008005E"/>
    <w:rsid w:val="000812BB"/>
    <w:rsid w:val="00081462"/>
    <w:rsid w:val="00081F45"/>
    <w:rsid w:val="00081F56"/>
    <w:rsid w:val="00081FE6"/>
    <w:rsid w:val="00082354"/>
    <w:rsid w:val="00082719"/>
    <w:rsid w:val="000827EC"/>
    <w:rsid w:val="000829AD"/>
    <w:rsid w:val="00082A06"/>
    <w:rsid w:val="0008312C"/>
    <w:rsid w:val="0008346A"/>
    <w:rsid w:val="000835DC"/>
    <w:rsid w:val="00083B66"/>
    <w:rsid w:val="00083E13"/>
    <w:rsid w:val="00083F41"/>
    <w:rsid w:val="00084395"/>
    <w:rsid w:val="0008495C"/>
    <w:rsid w:val="00084D53"/>
    <w:rsid w:val="00085A7F"/>
    <w:rsid w:val="00085C6C"/>
    <w:rsid w:val="00087790"/>
    <w:rsid w:val="00087A0D"/>
    <w:rsid w:val="0009000E"/>
    <w:rsid w:val="000915DF"/>
    <w:rsid w:val="000925D9"/>
    <w:rsid w:val="000934DD"/>
    <w:rsid w:val="00093A61"/>
    <w:rsid w:val="0009481E"/>
    <w:rsid w:val="00094F8C"/>
    <w:rsid w:val="00094FD8"/>
    <w:rsid w:val="000955F3"/>
    <w:rsid w:val="000956EC"/>
    <w:rsid w:val="00097043"/>
    <w:rsid w:val="0009798F"/>
    <w:rsid w:val="00097BF6"/>
    <w:rsid w:val="000A0DE6"/>
    <w:rsid w:val="000A1162"/>
    <w:rsid w:val="000A11F7"/>
    <w:rsid w:val="000A1957"/>
    <w:rsid w:val="000A1D61"/>
    <w:rsid w:val="000A39DF"/>
    <w:rsid w:val="000A4204"/>
    <w:rsid w:val="000A4279"/>
    <w:rsid w:val="000A4969"/>
    <w:rsid w:val="000A4BC8"/>
    <w:rsid w:val="000A4E21"/>
    <w:rsid w:val="000A5966"/>
    <w:rsid w:val="000A5B54"/>
    <w:rsid w:val="000A5FCE"/>
    <w:rsid w:val="000A609F"/>
    <w:rsid w:val="000A6D07"/>
    <w:rsid w:val="000A738D"/>
    <w:rsid w:val="000A7500"/>
    <w:rsid w:val="000A7A27"/>
    <w:rsid w:val="000B0837"/>
    <w:rsid w:val="000B0DC1"/>
    <w:rsid w:val="000B15E3"/>
    <w:rsid w:val="000B1AE1"/>
    <w:rsid w:val="000B1B03"/>
    <w:rsid w:val="000B1E71"/>
    <w:rsid w:val="000B235B"/>
    <w:rsid w:val="000B27A1"/>
    <w:rsid w:val="000B2D0E"/>
    <w:rsid w:val="000B31E3"/>
    <w:rsid w:val="000B32ED"/>
    <w:rsid w:val="000B3C69"/>
    <w:rsid w:val="000B403D"/>
    <w:rsid w:val="000B4653"/>
    <w:rsid w:val="000B46A8"/>
    <w:rsid w:val="000B47E5"/>
    <w:rsid w:val="000B5380"/>
    <w:rsid w:val="000B5F78"/>
    <w:rsid w:val="000B68A8"/>
    <w:rsid w:val="000B6CFE"/>
    <w:rsid w:val="000B6F17"/>
    <w:rsid w:val="000B7111"/>
    <w:rsid w:val="000B796D"/>
    <w:rsid w:val="000C0035"/>
    <w:rsid w:val="000C1482"/>
    <w:rsid w:val="000C1F84"/>
    <w:rsid w:val="000C26DA"/>
    <w:rsid w:val="000C2810"/>
    <w:rsid w:val="000C290D"/>
    <w:rsid w:val="000C29D9"/>
    <w:rsid w:val="000C4FDF"/>
    <w:rsid w:val="000C52AD"/>
    <w:rsid w:val="000C570B"/>
    <w:rsid w:val="000C625C"/>
    <w:rsid w:val="000C6631"/>
    <w:rsid w:val="000C722B"/>
    <w:rsid w:val="000C7332"/>
    <w:rsid w:val="000C7362"/>
    <w:rsid w:val="000C749A"/>
    <w:rsid w:val="000C771F"/>
    <w:rsid w:val="000C7C1F"/>
    <w:rsid w:val="000C7D3D"/>
    <w:rsid w:val="000C7D67"/>
    <w:rsid w:val="000C7E61"/>
    <w:rsid w:val="000D00B5"/>
    <w:rsid w:val="000D05AB"/>
    <w:rsid w:val="000D2114"/>
    <w:rsid w:val="000D2284"/>
    <w:rsid w:val="000D28B9"/>
    <w:rsid w:val="000D2D73"/>
    <w:rsid w:val="000D36D7"/>
    <w:rsid w:val="000D3AF8"/>
    <w:rsid w:val="000D568C"/>
    <w:rsid w:val="000D574D"/>
    <w:rsid w:val="000D58DE"/>
    <w:rsid w:val="000D5938"/>
    <w:rsid w:val="000D6999"/>
    <w:rsid w:val="000D6B0B"/>
    <w:rsid w:val="000D7987"/>
    <w:rsid w:val="000E0391"/>
    <w:rsid w:val="000E0831"/>
    <w:rsid w:val="000E0BC0"/>
    <w:rsid w:val="000E0C71"/>
    <w:rsid w:val="000E3179"/>
    <w:rsid w:val="000E3DCB"/>
    <w:rsid w:val="000E41B2"/>
    <w:rsid w:val="000E4631"/>
    <w:rsid w:val="000E60B9"/>
    <w:rsid w:val="000E62A5"/>
    <w:rsid w:val="000E63C7"/>
    <w:rsid w:val="000E6715"/>
    <w:rsid w:val="000E6C2C"/>
    <w:rsid w:val="000E7082"/>
    <w:rsid w:val="000E72F4"/>
    <w:rsid w:val="000E7DB6"/>
    <w:rsid w:val="000E7FBA"/>
    <w:rsid w:val="000E7FED"/>
    <w:rsid w:val="000F12D9"/>
    <w:rsid w:val="000F2C66"/>
    <w:rsid w:val="000F2CDB"/>
    <w:rsid w:val="000F38E4"/>
    <w:rsid w:val="000F3D42"/>
    <w:rsid w:val="000F4A24"/>
    <w:rsid w:val="000F4FD5"/>
    <w:rsid w:val="000F5110"/>
    <w:rsid w:val="000F5767"/>
    <w:rsid w:val="000F5887"/>
    <w:rsid w:val="000F5DB7"/>
    <w:rsid w:val="000F70F6"/>
    <w:rsid w:val="000F7AF9"/>
    <w:rsid w:val="000F7D31"/>
    <w:rsid w:val="000F7E96"/>
    <w:rsid w:val="00100395"/>
    <w:rsid w:val="00100C4E"/>
    <w:rsid w:val="0010134B"/>
    <w:rsid w:val="001018C3"/>
    <w:rsid w:val="0010249F"/>
    <w:rsid w:val="0010473F"/>
    <w:rsid w:val="00105030"/>
    <w:rsid w:val="00105DFD"/>
    <w:rsid w:val="00107485"/>
    <w:rsid w:val="00107FF5"/>
    <w:rsid w:val="001100D4"/>
    <w:rsid w:val="0011018F"/>
    <w:rsid w:val="00110694"/>
    <w:rsid w:val="001106DD"/>
    <w:rsid w:val="001108BA"/>
    <w:rsid w:val="00110C5A"/>
    <w:rsid w:val="00111282"/>
    <w:rsid w:val="001115A4"/>
    <w:rsid w:val="00111CE0"/>
    <w:rsid w:val="00111FC7"/>
    <w:rsid w:val="001123B3"/>
    <w:rsid w:val="001125DB"/>
    <w:rsid w:val="00113B8A"/>
    <w:rsid w:val="00113F6B"/>
    <w:rsid w:val="0011569D"/>
    <w:rsid w:val="001164AC"/>
    <w:rsid w:val="00116743"/>
    <w:rsid w:val="0011740B"/>
    <w:rsid w:val="00117982"/>
    <w:rsid w:val="00117DC0"/>
    <w:rsid w:val="001209B4"/>
    <w:rsid w:val="00120B4D"/>
    <w:rsid w:val="00120FD8"/>
    <w:rsid w:val="001218A2"/>
    <w:rsid w:val="001221B5"/>
    <w:rsid w:val="0012352F"/>
    <w:rsid w:val="00123851"/>
    <w:rsid w:val="00123868"/>
    <w:rsid w:val="00123DEE"/>
    <w:rsid w:val="0012413C"/>
    <w:rsid w:val="0012418E"/>
    <w:rsid w:val="00124649"/>
    <w:rsid w:val="001246EC"/>
    <w:rsid w:val="00124BA4"/>
    <w:rsid w:val="00125724"/>
    <w:rsid w:val="00125778"/>
    <w:rsid w:val="00125E44"/>
    <w:rsid w:val="001261B5"/>
    <w:rsid w:val="001261C1"/>
    <w:rsid w:val="001265BF"/>
    <w:rsid w:val="00126EA4"/>
    <w:rsid w:val="001270D7"/>
    <w:rsid w:val="00127462"/>
    <w:rsid w:val="0013045D"/>
    <w:rsid w:val="0013149B"/>
    <w:rsid w:val="00131599"/>
    <w:rsid w:val="00131809"/>
    <w:rsid w:val="0013224E"/>
    <w:rsid w:val="001322AA"/>
    <w:rsid w:val="00132491"/>
    <w:rsid w:val="00132ACC"/>
    <w:rsid w:val="00133FD3"/>
    <w:rsid w:val="00134C7A"/>
    <w:rsid w:val="001351CB"/>
    <w:rsid w:val="001352DE"/>
    <w:rsid w:val="001362D5"/>
    <w:rsid w:val="00140977"/>
    <w:rsid w:val="00140C6D"/>
    <w:rsid w:val="00141284"/>
    <w:rsid w:val="001413D7"/>
    <w:rsid w:val="0014283F"/>
    <w:rsid w:val="001435FA"/>
    <w:rsid w:val="00143881"/>
    <w:rsid w:val="001438CA"/>
    <w:rsid w:val="00143C23"/>
    <w:rsid w:val="00144EF5"/>
    <w:rsid w:val="001450D8"/>
    <w:rsid w:val="00145ACC"/>
    <w:rsid w:val="0014619D"/>
    <w:rsid w:val="00146C64"/>
    <w:rsid w:val="00146F63"/>
    <w:rsid w:val="00150206"/>
    <w:rsid w:val="001513CC"/>
    <w:rsid w:val="00152392"/>
    <w:rsid w:val="0015252B"/>
    <w:rsid w:val="00156E9B"/>
    <w:rsid w:val="0015733D"/>
    <w:rsid w:val="00157AFB"/>
    <w:rsid w:val="00160F92"/>
    <w:rsid w:val="0016100E"/>
    <w:rsid w:val="00161C5A"/>
    <w:rsid w:val="001622FE"/>
    <w:rsid w:val="0016256D"/>
    <w:rsid w:val="00162744"/>
    <w:rsid w:val="00162772"/>
    <w:rsid w:val="0016299F"/>
    <w:rsid w:val="00162EFF"/>
    <w:rsid w:val="0016303B"/>
    <w:rsid w:val="00163172"/>
    <w:rsid w:val="00163568"/>
    <w:rsid w:val="00163628"/>
    <w:rsid w:val="00163D37"/>
    <w:rsid w:val="00164A47"/>
    <w:rsid w:val="00164EDE"/>
    <w:rsid w:val="0016641A"/>
    <w:rsid w:val="001665C5"/>
    <w:rsid w:val="001669F3"/>
    <w:rsid w:val="00167108"/>
    <w:rsid w:val="00167B95"/>
    <w:rsid w:val="00167F50"/>
    <w:rsid w:val="001702DE"/>
    <w:rsid w:val="00170987"/>
    <w:rsid w:val="00170C08"/>
    <w:rsid w:val="0017209C"/>
    <w:rsid w:val="001729DF"/>
    <w:rsid w:val="00173066"/>
    <w:rsid w:val="00173077"/>
    <w:rsid w:val="00174F92"/>
    <w:rsid w:val="00175D31"/>
    <w:rsid w:val="00176E34"/>
    <w:rsid w:val="00177455"/>
    <w:rsid w:val="001776E3"/>
    <w:rsid w:val="001803C3"/>
    <w:rsid w:val="00180F32"/>
    <w:rsid w:val="00181056"/>
    <w:rsid w:val="0018133A"/>
    <w:rsid w:val="0018150E"/>
    <w:rsid w:val="001820EE"/>
    <w:rsid w:val="001822BB"/>
    <w:rsid w:val="00182A99"/>
    <w:rsid w:val="00182CEF"/>
    <w:rsid w:val="00183ED5"/>
    <w:rsid w:val="00185BF7"/>
    <w:rsid w:val="00185C3F"/>
    <w:rsid w:val="00185E6A"/>
    <w:rsid w:val="00187783"/>
    <w:rsid w:val="00187879"/>
    <w:rsid w:val="00190725"/>
    <w:rsid w:val="001913C7"/>
    <w:rsid w:val="00191858"/>
    <w:rsid w:val="00192745"/>
    <w:rsid w:val="00192BD0"/>
    <w:rsid w:val="00192F79"/>
    <w:rsid w:val="00193C7E"/>
    <w:rsid w:val="001949CC"/>
    <w:rsid w:val="00194A8C"/>
    <w:rsid w:val="001952DE"/>
    <w:rsid w:val="00195330"/>
    <w:rsid w:val="001961D2"/>
    <w:rsid w:val="001963DF"/>
    <w:rsid w:val="001968D0"/>
    <w:rsid w:val="0019702D"/>
    <w:rsid w:val="00197062"/>
    <w:rsid w:val="001978C1"/>
    <w:rsid w:val="0019799C"/>
    <w:rsid w:val="001979E8"/>
    <w:rsid w:val="00197F5B"/>
    <w:rsid w:val="001A073F"/>
    <w:rsid w:val="001A1268"/>
    <w:rsid w:val="001A24BD"/>
    <w:rsid w:val="001A26F4"/>
    <w:rsid w:val="001A281C"/>
    <w:rsid w:val="001A2C60"/>
    <w:rsid w:val="001A3453"/>
    <w:rsid w:val="001A3A07"/>
    <w:rsid w:val="001A3AD4"/>
    <w:rsid w:val="001A4145"/>
    <w:rsid w:val="001A4A08"/>
    <w:rsid w:val="001A4E1E"/>
    <w:rsid w:val="001A4E36"/>
    <w:rsid w:val="001A5B04"/>
    <w:rsid w:val="001A5D71"/>
    <w:rsid w:val="001A60E7"/>
    <w:rsid w:val="001A6BD0"/>
    <w:rsid w:val="001A7074"/>
    <w:rsid w:val="001A731C"/>
    <w:rsid w:val="001B06A9"/>
    <w:rsid w:val="001B0A67"/>
    <w:rsid w:val="001B0CD1"/>
    <w:rsid w:val="001B0EF8"/>
    <w:rsid w:val="001B14B7"/>
    <w:rsid w:val="001B2220"/>
    <w:rsid w:val="001B22BD"/>
    <w:rsid w:val="001B2A48"/>
    <w:rsid w:val="001B33D2"/>
    <w:rsid w:val="001B3F1E"/>
    <w:rsid w:val="001B4407"/>
    <w:rsid w:val="001B47AE"/>
    <w:rsid w:val="001B49D5"/>
    <w:rsid w:val="001B50E3"/>
    <w:rsid w:val="001B50E7"/>
    <w:rsid w:val="001B5AF3"/>
    <w:rsid w:val="001B5E0B"/>
    <w:rsid w:val="001B6013"/>
    <w:rsid w:val="001B65B8"/>
    <w:rsid w:val="001B6B9E"/>
    <w:rsid w:val="001B6D45"/>
    <w:rsid w:val="001B7537"/>
    <w:rsid w:val="001B7DE3"/>
    <w:rsid w:val="001C0403"/>
    <w:rsid w:val="001C0ED3"/>
    <w:rsid w:val="001C1508"/>
    <w:rsid w:val="001C1689"/>
    <w:rsid w:val="001C1ADC"/>
    <w:rsid w:val="001C253E"/>
    <w:rsid w:val="001C2565"/>
    <w:rsid w:val="001C2792"/>
    <w:rsid w:val="001C2F7A"/>
    <w:rsid w:val="001C3E1F"/>
    <w:rsid w:val="001C3F85"/>
    <w:rsid w:val="001C3FC6"/>
    <w:rsid w:val="001C4120"/>
    <w:rsid w:val="001C4BA9"/>
    <w:rsid w:val="001C4C0C"/>
    <w:rsid w:val="001C4D29"/>
    <w:rsid w:val="001C4E33"/>
    <w:rsid w:val="001C6606"/>
    <w:rsid w:val="001C7789"/>
    <w:rsid w:val="001C7A11"/>
    <w:rsid w:val="001C7C53"/>
    <w:rsid w:val="001C7F81"/>
    <w:rsid w:val="001D0FCC"/>
    <w:rsid w:val="001D11C3"/>
    <w:rsid w:val="001D15AA"/>
    <w:rsid w:val="001D1B0C"/>
    <w:rsid w:val="001D29B4"/>
    <w:rsid w:val="001D2B40"/>
    <w:rsid w:val="001D3B91"/>
    <w:rsid w:val="001D3C19"/>
    <w:rsid w:val="001D4198"/>
    <w:rsid w:val="001D5948"/>
    <w:rsid w:val="001D5AF2"/>
    <w:rsid w:val="001D61E8"/>
    <w:rsid w:val="001D664D"/>
    <w:rsid w:val="001D6EF1"/>
    <w:rsid w:val="001D757E"/>
    <w:rsid w:val="001D784C"/>
    <w:rsid w:val="001D7FBA"/>
    <w:rsid w:val="001E0247"/>
    <w:rsid w:val="001E052F"/>
    <w:rsid w:val="001E0800"/>
    <w:rsid w:val="001E1909"/>
    <w:rsid w:val="001E1F20"/>
    <w:rsid w:val="001E2CF7"/>
    <w:rsid w:val="001E3550"/>
    <w:rsid w:val="001E37E0"/>
    <w:rsid w:val="001E37E2"/>
    <w:rsid w:val="001E392A"/>
    <w:rsid w:val="001E3C69"/>
    <w:rsid w:val="001E44B8"/>
    <w:rsid w:val="001E4A64"/>
    <w:rsid w:val="001E5366"/>
    <w:rsid w:val="001E6265"/>
    <w:rsid w:val="001E656B"/>
    <w:rsid w:val="001E6816"/>
    <w:rsid w:val="001E6AB5"/>
    <w:rsid w:val="001F026E"/>
    <w:rsid w:val="001F0739"/>
    <w:rsid w:val="001F0C63"/>
    <w:rsid w:val="001F105D"/>
    <w:rsid w:val="001F1267"/>
    <w:rsid w:val="001F1369"/>
    <w:rsid w:val="001F1E78"/>
    <w:rsid w:val="001F1EF0"/>
    <w:rsid w:val="001F2C05"/>
    <w:rsid w:val="001F2C39"/>
    <w:rsid w:val="001F2FC0"/>
    <w:rsid w:val="001F38E5"/>
    <w:rsid w:val="001F4B19"/>
    <w:rsid w:val="001F5486"/>
    <w:rsid w:val="001F5709"/>
    <w:rsid w:val="001F57EA"/>
    <w:rsid w:val="001F5999"/>
    <w:rsid w:val="001F5CB8"/>
    <w:rsid w:val="001F5CEA"/>
    <w:rsid w:val="001F5FEE"/>
    <w:rsid w:val="001F6285"/>
    <w:rsid w:val="001F630E"/>
    <w:rsid w:val="001F66CC"/>
    <w:rsid w:val="001F6D65"/>
    <w:rsid w:val="001F726F"/>
    <w:rsid w:val="001F72CD"/>
    <w:rsid w:val="001F78D7"/>
    <w:rsid w:val="001F7A29"/>
    <w:rsid w:val="00200570"/>
    <w:rsid w:val="002006D1"/>
    <w:rsid w:val="002016BE"/>
    <w:rsid w:val="00201A5F"/>
    <w:rsid w:val="00201F59"/>
    <w:rsid w:val="002034A6"/>
    <w:rsid w:val="00203736"/>
    <w:rsid w:val="00203E1F"/>
    <w:rsid w:val="0020466D"/>
    <w:rsid w:val="0020474D"/>
    <w:rsid w:val="0020498A"/>
    <w:rsid w:val="00204DB0"/>
    <w:rsid w:val="00205B44"/>
    <w:rsid w:val="002063A2"/>
    <w:rsid w:val="002067C6"/>
    <w:rsid w:val="00207560"/>
    <w:rsid w:val="00207DF9"/>
    <w:rsid w:val="0021144A"/>
    <w:rsid w:val="0021242B"/>
    <w:rsid w:val="00213274"/>
    <w:rsid w:val="0021376F"/>
    <w:rsid w:val="00213A15"/>
    <w:rsid w:val="00213DBB"/>
    <w:rsid w:val="00216087"/>
    <w:rsid w:val="00216F39"/>
    <w:rsid w:val="00217365"/>
    <w:rsid w:val="002176D7"/>
    <w:rsid w:val="00217BBC"/>
    <w:rsid w:val="00222680"/>
    <w:rsid w:val="0022269B"/>
    <w:rsid w:val="00222B9C"/>
    <w:rsid w:val="00223AD2"/>
    <w:rsid w:val="0022503A"/>
    <w:rsid w:val="00225628"/>
    <w:rsid w:val="00226485"/>
    <w:rsid w:val="0022662A"/>
    <w:rsid w:val="00226EAF"/>
    <w:rsid w:val="00226F6F"/>
    <w:rsid w:val="002271A9"/>
    <w:rsid w:val="002302C1"/>
    <w:rsid w:val="0023070B"/>
    <w:rsid w:val="00232DC6"/>
    <w:rsid w:val="00232E60"/>
    <w:rsid w:val="002336E3"/>
    <w:rsid w:val="00234180"/>
    <w:rsid w:val="00234AC7"/>
    <w:rsid w:val="00234BFC"/>
    <w:rsid w:val="00234E2B"/>
    <w:rsid w:val="00235B45"/>
    <w:rsid w:val="00235F99"/>
    <w:rsid w:val="002363CD"/>
    <w:rsid w:val="00236A00"/>
    <w:rsid w:val="0023724C"/>
    <w:rsid w:val="00237336"/>
    <w:rsid w:val="0023788A"/>
    <w:rsid w:val="0024004B"/>
    <w:rsid w:val="0024043A"/>
    <w:rsid w:val="002430F0"/>
    <w:rsid w:val="00243AE4"/>
    <w:rsid w:val="00243CC4"/>
    <w:rsid w:val="002442F1"/>
    <w:rsid w:val="00245672"/>
    <w:rsid w:val="00246C87"/>
    <w:rsid w:val="00246CB7"/>
    <w:rsid w:val="002472C8"/>
    <w:rsid w:val="0024742B"/>
    <w:rsid w:val="00247AB9"/>
    <w:rsid w:val="00247DAA"/>
    <w:rsid w:val="00247E56"/>
    <w:rsid w:val="00247E9B"/>
    <w:rsid w:val="0025124C"/>
    <w:rsid w:val="00251759"/>
    <w:rsid w:val="00252453"/>
    <w:rsid w:val="00252464"/>
    <w:rsid w:val="002528AF"/>
    <w:rsid w:val="00252E84"/>
    <w:rsid w:val="00253166"/>
    <w:rsid w:val="0025438A"/>
    <w:rsid w:val="00254949"/>
    <w:rsid w:val="00254BA1"/>
    <w:rsid w:val="00254C3E"/>
    <w:rsid w:val="00254D06"/>
    <w:rsid w:val="00255845"/>
    <w:rsid w:val="00255C87"/>
    <w:rsid w:val="00255E1B"/>
    <w:rsid w:val="00256CC4"/>
    <w:rsid w:val="002575A0"/>
    <w:rsid w:val="00257631"/>
    <w:rsid w:val="0026065A"/>
    <w:rsid w:val="00261181"/>
    <w:rsid w:val="00261219"/>
    <w:rsid w:val="00261596"/>
    <w:rsid w:val="00262683"/>
    <w:rsid w:val="002627A4"/>
    <w:rsid w:val="002628F2"/>
    <w:rsid w:val="00262B76"/>
    <w:rsid w:val="00262D3B"/>
    <w:rsid w:val="00262D7F"/>
    <w:rsid w:val="0026318A"/>
    <w:rsid w:val="00263232"/>
    <w:rsid w:val="00264B0E"/>
    <w:rsid w:val="002652DF"/>
    <w:rsid w:val="00265738"/>
    <w:rsid w:val="00265B94"/>
    <w:rsid w:val="00266318"/>
    <w:rsid w:val="0027042A"/>
    <w:rsid w:val="002714DE"/>
    <w:rsid w:val="0027301B"/>
    <w:rsid w:val="00273469"/>
    <w:rsid w:val="0027378A"/>
    <w:rsid w:val="0027382D"/>
    <w:rsid w:val="00273B74"/>
    <w:rsid w:val="00273EA1"/>
    <w:rsid w:val="00274FB7"/>
    <w:rsid w:val="00275A57"/>
    <w:rsid w:val="00275F0B"/>
    <w:rsid w:val="00277C35"/>
    <w:rsid w:val="002817EC"/>
    <w:rsid w:val="00281842"/>
    <w:rsid w:val="00281AF1"/>
    <w:rsid w:val="00281B95"/>
    <w:rsid w:val="00281E03"/>
    <w:rsid w:val="00282C40"/>
    <w:rsid w:val="00283E00"/>
    <w:rsid w:val="00283E37"/>
    <w:rsid w:val="00284142"/>
    <w:rsid w:val="0028466B"/>
    <w:rsid w:val="002849B4"/>
    <w:rsid w:val="00286316"/>
    <w:rsid w:val="00286618"/>
    <w:rsid w:val="002871E5"/>
    <w:rsid w:val="00287408"/>
    <w:rsid w:val="00287B6C"/>
    <w:rsid w:val="00290707"/>
    <w:rsid w:val="002907F4"/>
    <w:rsid w:val="00290A6C"/>
    <w:rsid w:val="002912AE"/>
    <w:rsid w:val="002913D6"/>
    <w:rsid w:val="00291E5F"/>
    <w:rsid w:val="00292EFF"/>
    <w:rsid w:val="00293E6F"/>
    <w:rsid w:val="00296853"/>
    <w:rsid w:val="00297256"/>
    <w:rsid w:val="0029788B"/>
    <w:rsid w:val="002979AC"/>
    <w:rsid w:val="00297A41"/>
    <w:rsid w:val="00297B35"/>
    <w:rsid w:val="002A06A6"/>
    <w:rsid w:val="002A13A3"/>
    <w:rsid w:val="002A15C3"/>
    <w:rsid w:val="002A1860"/>
    <w:rsid w:val="002A186D"/>
    <w:rsid w:val="002A2135"/>
    <w:rsid w:val="002A2916"/>
    <w:rsid w:val="002A2C00"/>
    <w:rsid w:val="002A3BE9"/>
    <w:rsid w:val="002A4110"/>
    <w:rsid w:val="002A41BF"/>
    <w:rsid w:val="002A4226"/>
    <w:rsid w:val="002A47CB"/>
    <w:rsid w:val="002A4995"/>
    <w:rsid w:val="002A50D9"/>
    <w:rsid w:val="002A5FD8"/>
    <w:rsid w:val="002A6E12"/>
    <w:rsid w:val="002B03DD"/>
    <w:rsid w:val="002B1052"/>
    <w:rsid w:val="002B158C"/>
    <w:rsid w:val="002B1D5B"/>
    <w:rsid w:val="002B2087"/>
    <w:rsid w:val="002B2211"/>
    <w:rsid w:val="002B47BD"/>
    <w:rsid w:val="002B51F3"/>
    <w:rsid w:val="002B5CC6"/>
    <w:rsid w:val="002B5D83"/>
    <w:rsid w:val="002B6244"/>
    <w:rsid w:val="002B643B"/>
    <w:rsid w:val="002B6567"/>
    <w:rsid w:val="002B6BB2"/>
    <w:rsid w:val="002B71BA"/>
    <w:rsid w:val="002C1BB2"/>
    <w:rsid w:val="002C2074"/>
    <w:rsid w:val="002C2157"/>
    <w:rsid w:val="002C21D2"/>
    <w:rsid w:val="002C22CF"/>
    <w:rsid w:val="002C2AA3"/>
    <w:rsid w:val="002C2F77"/>
    <w:rsid w:val="002C3486"/>
    <w:rsid w:val="002C3D23"/>
    <w:rsid w:val="002C3F37"/>
    <w:rsid w:val="002C4143"/>
    <w:rsid w:val="002C4344"/>
    <w:rsid w:val="002C46BF"/>
    <w:rsid w:val="002C4C6C"/>
    <w:rsid w:val="002C504E"/>
    <w:rsid w:val="002C5A87"/>
    <w:rsid w:val="002C68E7"/>
    <w:rsid w:val="002C6937"/>
    <w:rsid w:val="002D0F97"/>
    <w:rsid w:val="002D21BA"/>
    <w:rsid w:val="002D3A85"/>
    <w:rsid w:val="002D3D57"/>
    <w:rsid w:val="002D3DA2"/>
    <w:rsid w:val="002D42E8"/>
    <w:rsid w:val="002D43B5"/>
    <w:rsid w:val="002D5753"/>
    <w:rsid w:val="002D6005"/>
    <w:rsid w:val="002D605F"/>
    <w:rsid w:val="002D606F"/>
    <w:rsid w:val="002D61F6"/>
    <w:rsid w:val="002D66EB"/>
    <w:rsid w:val="002D6719"/>
    <w:rsid w:val="002D6BB3"/>
    <w:rsid w:val="002D6CE6"/>
    <w:rsid w:val="002D7E08"/>
    <w:rsid w:val="002E0291"/>
    <w:rsid w:val="002E087B"/>
    <w:rsid w:val="002E10C5"/>
    <w:rsid w:val="002E1435"/>
    <w:rsid w:val="002E26B8"/>
    <w:rsid w:val="002E2D31"/>
    <w:rsid w:val="002E356E"/>
    <w:rsid w:val="002E4722"/>
    <w:rsid w:val="002E56CE"/>
    <w:rsid w:val="002E583E"/>
    <w:rsid w:val="002E5A27"/>
    <w:rsid w:val="002E714A"/>
    <w:rsid w:val="002F10CB"/>
    <w:rsid w:val="002F1133"/>
    <w:rsid w:val="002F1736"/>
    <w:rsid w:val="002F1BF6"/>
    <w:rsid w:val="002F355C"/>
    <w:rsid w:val="002F36BE"/>
    <w:rsid w:val="002F3E02"/>
    <w:rsid w:val="002F42C9"/>
    <w:rsid w:val="002F5200"/>
    <w:rsid w:val="002F528E"/>
    <w:rsid w:val="002F533A"/>
    <w:rsid w:val="002F5557"/>
    <w:rsid w:val="002F578B"/>
    <w:rsid w:val="002F5F95"/>
    <w:rsid w:val="002F61A9"/>
    <w:rsid w:val="002F6314"/>
    <w:rsid w:val="002F712D"/>
    <w:rsid w:val="002F76FC"/>
    <w:rsid w:val="0030018E"/>
    <w:rsid w:val="00300CB7"/>
    <w:rsid w:val="00300CB9"/>
    <w:rsid w:val="003016F4"/>
    <w:rsid w:val="0030190D"/>
    <w:rsid w:val="00301D91"/>
    <w:rsid w:val="00302258"/>
    <w:rsid w:val="00302BDA"/>
    <w:rsid w:val="003035F9"/>
    <w:rsid w:val="00303CEF"/>
    <w:rsid w:val="00304982"/>
    <w:rsid w:val="00304B27"/>
    <w:rsid w:val="00305193"/>
    <w:rsid w:val="00305911"/>
    <w:rsid w:val="00305A5F"/>
    <w:rsid w:val="00305D40"/>
    <w:rsid w:val="00310618"/>
    <w:rsid w:val="003114A7"/>
    <w:rsid w:val="00311698"/>
    <w:rsid w:val="00312518"/>
    <w:rsid w:val="0031264F"/>
    <w:rsid w:val="0031280D"/>
    <w:rsid w:val="0031347A"/>
    <w:rsid w:val="00313F08"/>
    <w:rsid w:val="00314BF4"/>
    <w:rsid w:val="00315CE0"/>
    <w:rsid w:val="00316070"/>
    <w:rsid w:val="0031658A"/>
    <w:rsid w:val="003172EF"/>
    <w:rsid w:val="00317C5F"/>
    <w:rsid w:val="00320373"/>
    <w:rsid w:val="0032069B"/>
    <w:rsid w:val="00321080"/>
    <w:rsid w:val="00322D33"/>
    <w:rsid w:val="00323248"/>
    <w:rsid w:val="003243D2"/>
    <w:rsid w:val="003256B1"/>
    <w:rsid w:val="00325F22"/>
    <w:rsid w:val="00326169"/>
    <w:rsid w:val="00326299"/>
    <w:rsid w:val="003274B4"/>
    <w:rsid w:val="00327A6B"/>
    <w:rsid w:val="00330E47"/>
    <w:rsid w:val="00330F0A"/>
    <w:rsid w:val="003312C2"/>
    <w:rsid w:val="00331D85"/>
    <w:rsid w:val="00333330"/>
    <w:rsid w:val="0033334C"/>
    <w:rsid w:val="00333803"/>
    <w:rsid w:val="00333D4F"/>
    <w:rsid w:val="00333EAF"/>
    <w:rsid w:val="003346C7"/>
    <w:rsid w:val="003347BB"/>
    <w:rsid w:val="00334DA3"/>
    <w:rsid w:val="00335094"/>
    <w:rsid w:val="0033520C"/>
    <w:rsid w:val="003359D4"/>
    <w:rsid w:val="00335B1C"/>
    <w:rsid w:val="0033611F"/>
    <w:rsid w:val="00336888"/>
    <w:rsid w:val="00336BD3"/>
    <w:rsid w:val="00337216"/>
    <w:rsid w:val="00337539"/>
    <w:rsid w:val="003375F9"/>
    <w:rsid w:val="0034060A"/>
    <w:rsid w:val="003409F2"/>
    <w:rsid w:val="003416F4"/>
    <w:rsid w:val="00341831"/>
    <w:rsid w:val="00341CE1"/>
    <w:rsid w:val="00341EE1"/>
    <w:rsid w:val="00341EE6"/>
    <w:rsid w:val="003426C6"/>
    <w:rsid w:val="00344136"/>
    <w:rsid w:val="003445AF"/>
    <w:rsid w:val="003447F9"/>
    <w:rsid w:val="003453D2"/>
    <w:rsid w:val="00345CDC"/>
    <w:rsid w:val="00345D26"/>
    <w:rsid w:val="00346D01"/>
    <w:rsid w:val="0034790C"/>
    <w:rsid w:val="00350289"/>
    <w:rsid w:val="003505D3"/>
    <w:rsid w:val="00350E65"/>
    <w:rsid w:val="00352E3F"/>
    <w:rsid w:val="00353E41"/>
    <w:rsid w:val="003558CB"/>
    <w:rsid w:val="00355FAD"/>
    <w:rsid w:val="00356030"/>
    <w:rsid w:val="003563BF"/>
    <w:rsid w:val="00356825"/>
    <w:rsid w:val="00356F36"/>
    <w:rsid w:val="003575B3"/>
    <w:rsid w:val="00357A41"/>
    <w:rsid w:val="00357D9A"/>
    <w:rsid w:val="00357EE5"/>
    <w:rsid w:val="003614D7"/>
    <w:rsid w:val="0036157F"/>
    <w:rsid w:val="00361765"/>
    <w:rsid w:val="00363499"/>
    <w:rsid w:val="00363BE8"/>
    <w:rsid w:val="00364655"/>
    <w:rsid w:val="00364D0E"/>
    <w:rsid w:val="00364DEC"/>
    <w:rsid w:val="0036527F"/>
    <w:rsid w:val="00365553"/>
    <w:rsid w:val="00366245"/>
    <w:rsid w:val="00367187"/>
    <w:rsid w:val="00367535"/>
    <w:rsid w:val="00367595"/>
    <w:rsid w:val="003677C2"/>
    <w:rsid w:val="0037024E"/>
    <w:rsid w:val="003706FE"/>
    <w:rsid w:val="00370797"/>
    <w:rsid w:val="00370B2F"/>
    <w:rsid w:val="0037162B"/>
    <w:rsid w:val="00372009"/>
    <w:rsid w:val="003721D3"/>
    <w:rsid w:val="00372E35"/>
    <w:rsid w:val="003731C4"/>
    <w:rsid w:val="003733C6"/>
    <w:rsid w:val="00373BBA"/>
    <w:rsid w:val="00373E46"/>
    <w:rsid w:val="00374131"/>
    <w:rsid w:val="00374657"/>
    <w:rsid w:val="00374827"/>
    <w:rsid w:val="003748E5"/>
    <w:rsid w:val="0037516E"/>
    <w:rsid w:val="00375435"/>
    <w:rsid w:val="00376B13"/>
    <w:rsid w:val="00376D5E"/>
    <w:rsid w:val="003773A1"/>
    <w:rsid w:val="003775FC"/>
    <w:rsid w:val="003776B2"/>
    <w:rsid w:val="003779FF"/>
    <w:rsid w:val="00377B52"/>
    <w:rsid w:val="00377D56"/>
    <w:rsid w:val="003804D8"/>
    <w:rsid w:val="003807B9"/>
    <w:rsid w:val="00380CAC"/>
    <w:rsid w:val="00380DFD"/>
    <w:rsid w:val="00381171"/>
    <w:rsid w:val="00381B9A"/>
    <w:rsid w:val="0038214B"/>
    <w:rsid w:val="00382192"/>
    <w:rsid w:val="00382658"/>
    <w:rsid w:val="003827C7"/>
    <w:rsid w:val="00383132"/>
    <w:rsid w:val="00384A44"/>
    <w:rsid w:val="00384DFB"/>
    <w:rsid w:val="00385DF1"/>
    <w:rsid w:val="0038628F"/>
    <w:rsid w:val="00386464"/>
    <w:rsid w:val="00386A77"/>
    <w:rsid w:val="00386B56"/>
    <w:rsid w:val="00386D17"/>
    <w:rsid w:val="00387003"/>
    <w:rsid w:val="00387B23"/>
    <w:rsid w:val="003906C3"/>
    <w:rsid w:val="00390B46"/>
    <w:rsid w:val="003915C4"/>
    <w:rsid w:val="00391E24"/>
    <w:rsid w:val="00391E3F"/>
    <w:rsid w:val="003923B0"/>
    <w:rsid w:val="0039241D"/>
    <w:rsid w:val="0039268E"/>
    <w:rsid w:val="00392D7A"/>
    <w:rsid w:val="00392FAE"/>
    <w:rsid w:val="003935E5"/>
    <w:rsid w:val="00393D21"/>
    <w:rsid w:val="00394C6D"/>
    <w:rsid w:val="00395B63"/>
    <w:rsid w:val="00396309"/>
    <w:rsid w:val="003A1758"/>
    <w:rsid w:val="003A1869"/>
    <w:rsid w:val="003A257C"/>
    <w:rsid w:val="003A567E"/>
    <w:rsid w:val="003A5DDB"/>
    <w:rsid w:val="003A5F29"/>
    <w:rsid w:val="003A62A6"/>
    <w:rsid w:val="003A682B"/>
    <w:rsid w:val="003A6977"/>
    <w:rsid w:val="003A6EB3"/>
    <w:rsid w:val="003A6F90"/>
    <w:rsid w:val="003A7663"/>
    <w:rsid w:val="003A77BA"/>
    <w:rsid w:val="003A7A06"/>
    <w:rsid w:val="003A7B86"/>
    <w:rsid w:val="003B009D"/>
    <w:rsid w:val="003B0AB1"/>
    <w:rsid w:val="003B0D43"/>
    <w:rsid w:val="003B0EFE"/>
    <w:rsid w:val="003B1E0E"/>
    <w:rsid w:val="003B24D9"/>
    <w:rsid w:val="003B2ACA"/>
    <w:rsid w:val="003B3F0A"/>
    <w:rsid w:val="003B3FB1"/>
    <w:rsid w:val="003B4645"/>
    <w:rsid w:val="003B4ACE"/>
    <w:rsid w:val="003B4B82"/>
    <w:rsid w:val="003B4BA0"/>
    <w:rsid w:val="003B4CC3"/>
    <w:rsid w:val="003B5259"/>
    <w:rsid w:val="003B536F"/>
    <w:rsid w:val="003B55F4"/>
    <w:rsid w:val="003B5E1F"/>
    <w:rsid w:val="003B6B86"/>
    <w:rsid w:val="003B6F42"/>
    <w:rsid w:val="003B7586"/>
    <w:rsid w:val="003C0D07"/>
    <w:rsid w:val="003C0FD0"/>
    <w:rsid w:val="003C1F8B"/>
    <w:rsid w:val="003C2440"/>
    <w:rsid w:val="003C2AAE"/>
    <w:rsid w:val="003C3698"/>
    <w:rsid w:val="003C37D7"/>
    <w:rsid w:val="003C3877"/>
    <w:rsid w:val="003C4199"/>
    <w:rsid w:val="003C44A1"/>
    <w:rsid w:val="003C4BB2"/>
    <w:rsid w:val="003C674F"/>
    <w:rsid w:val="003C677F"/>
    <w:rsid w:val="003C6965"/>
    <w:rsid w:val="003C6E06"/>
    <w:rsid w:val="003C7DE4"/>
    <w:rsid w:val="003D08D2"/>
    <w:rsid w:val="003D2702"/>
    <w:rsid w:val="003D2BFD"/>
    <w:rsid w:val="003D41CF"/>
    <w:rsid w:val="003D5199"/>
    <w:rsid w:val="003D54E0"/>
    <w:rsid w:val="003D56BC"/>
    <w:rsid w:val="003D5756"/>
    <w:rsid w:val="003D6215"/>
    <w:rsid w:val="003D6599"/>
    <w:rsid w:val="003D6C0B"/>
    <w:rsid w:val="003D716E"/>
    <w:rsid w:val="003D71B3"/>
    <w:rsid w:val="003D73DB"/>
    <w:rsid w:val="003D76B5"/>
    <w:rsid w:val="003D795B"/>
    <w:rsid w:val="003D7E02"/>
    <w:rsid w:val="003D7EB1"/>
    <w:rsid w:val="003D7F37"/>
    <w:rsid w:val="003E04E8"/>
    <w:rsid w:val="003E054E"/>
    <w:rsid w:val="003E06A9"/>
    <w:rsid w:val="003E0873"/>
    <w:rsid w:val="003E1710"/>
    <w:rsid w:val="003E2093"/>
    <w:rsid w:val="003E25F3"/>
    <w:rsid w:val="003E2FE5"/>
    <w:rsid w:val="003E339F"/>
    <w:rsid w:val="003E3508"/>
    <w:rsid w:val="003E43DD"/>
    <w:rsid w:val="003E4577"/>
    <w:rsid w:val="003E4DDE"/>
    <w:rsid w:val="003E55A0"/>
    <w:rsid w:val="003E5746"/>
    <w:rsid w:val="003E5EA8"/>
    <w:rsid w:val="003E5FC9"/>
    <w:rsid w:val="003E64BD"/>
    <w:rsid w:val="003E65E7"/>
    <w:rsid w:val="003E6690"/>
    <w:rsid w:val="003E66E5"/>
    <w:rsid w:val="003E68F1"/>
    <w:rsid w:val="003E6F5E"/>
    <w:rsid w:val="003E7111"/>
    <w:rsid w:val="003E7A54"/>
    <w:rsid w:val="003E7B25"/>
    <w:rsid w:val="003F03A4"/>
    <w:rsid w:val="003F0541"/>
    <w:rsid w:val="003F08C5"/>
    <w:rsid w:val="003F0CDA"/>
    <w:rsid w:val="003F1587"/>
    <w:rsid w:val="003F1774"/>
    <w:rsid w:val="003F1784"/>
    <w:rsid w:val="003F253B"/>
    <w:rsid w:val="003F35B9"/>
    <w:rsid w:val="003F3CA6"/>
    <w:rsid w:val="003F4243"/>
    <w:rsid w:val="003F4330"/>
    <w:rsid w:val="003F44FE"/>
    <w:rsid w:val="003F530B"/>
    <w:rsid w:val="003F568E"/>
    <w:rsid w:val="003F5C6C"/>
    <w:rsid w:val="003F5C80"/>
    <w:rsid w:val="003F5D60"/>
    <w:rsid w:val="003F5FED"/>
    <w:rsid w:val="003F66C8"/>
    <w:rsid w:val="003F68CF"/>
    <w:rsid w:val="003F6D4E"/>
    <w:rsid w:val="003F73AF"/>
    <w:rsid w:val="00400873"/>
    <w:rsid w:val="00400E04"/>
    <w:rsid w:val="00400EB7"/>
    <w:rsid w:val="004025C2"/>
    <w:rsid w:val="004026DE"/>
    <w:rsid w:val="00402D9C"/>
    <w:rsid w:val="00403645"/>
    <w:rsid w:val="00404428"/>
    <w:rsid w:val="004046F8"/>
    <w:rsid w:val="00405939"/>
    <w:rsid w:val="0040671D"/>
    <w:rsid w:val="00407072"/>
    <w:rsid w:val="004071C0"/>
    <w:rsid w:val="00407874"/>
    <w:rsid w:val="0040797B"/>
    <w:rsid w:val="00407B07"/>
    <w:rsid w:val="00407BEB"/>
    <w:rsid w:val="004108E5"/>
    <w:rsid w:val="00411498"/>
    <w:rsid w:val="00411A0F"/>
    <w:rsid w:val="00411C57"/>
    <w:rsid w:val="00411CE0"/>
    <w:rsid w:val="0041319D"/>
    <w:rsid w:val="004146E2"/>
    <w:rsid w:val="00414F1F"/>
    <w:rsid w:val="00415BEA"/>
    <w:rsid w:val="00415F39"/>
    <w:rsid w:val="004170A4"/>
    <w:rsid w:val="00417CD7"/>
    <w:rsid w:val="00417EB7"/>
    <w:rsid w:val="00420A2E"/>
    <w:rsid w:val="00421232"/>
    <w:rsid w:val="00421D5E"/>
    <w:rsid w:val="00422208"/>
    <w:rsid w:val="00422907"/>
    <w:rsid w:val="00422DBF"/>
    <w:rsid w:val="004231CC"/>
    <w:rsid w:val="004234EF"/>
    <w:rsid w:val="00424E22"/>
    <w:rsid w:val="0042513A"/>
    <w:rsid w:val="00425D8C"/>
    <w:rsid w:val="00425F62"/>
    <w:rsid w:val="00427553"/>
    <w:rsid w:val="004277BB"/>
    <w:rsid w:val="004278E3"/>
    <w:rsid w:val="00427F50"/>
    <w:rsid w:val="0043035C"/>
    <w:rsid w:val="00430C0F"/>
    <w:rsid w:val="00431439"/>
    <w:rsid w:val="004317C8"/>
    <w:rsid w:val="00431EB5"/>
    <w:rsid w:val="004321C3"/>
    <w:rsid w:val="004325E4"/>
    <w:rsid w:val="00432E69"/>
    <w:rsid w:val="00433F10"/>
    <w:rsid w:val="00434510"/>
    <w:rsid w:val="00434E65"/>
    <w:rsid w:val="00434FC5"/>
    <w:rsid w:val="0043568D"/>
    <w:rsid w:val="004356E4"/>
    <w:rsid w:val="00435D7A"/>
    <w:rsid w:val="00436011"/>
    <w:rsid w:val="004367E1"/>
    <w:rsid w:val="0043707F"/>
    <w:rsid w:val="0043797E"/>
    <w:rsid w:val="00437A95"/>
    <w:rsid w:val="00437D15"/>
    <w:rsid w:val="00440528"/>
    <w:rsid w:val="00440A45"/>
    <w:rsid w:val="00440D89"/>
    <w:rsid w:val="00440ED6"/>
    <w:rsid w:val="0044162C"/>
    <w:rsid w:val="00441826"/>
    <w:rsid w:val="0044195F"/>
    <w:rsid w:val="0044289D"/>
    <w:rsid w:val="004436BD"/>
    <w:rsid w:val="00443A0B"/>
    <w:rsid w:val="00443A0F"/>
    <w:rsid w:val="00443FA9"/>
    <w:rsid w:val="0044490C"/>
    <w:rsid w:val="0044498D"/>
    <w:rsid w:val="00444A01"/>
    <w:rsid w:val="00445BDA"/>
    <w:rsid w:val="00446D17"/>
    <w:rsid w:val="0044756A"/>
    <w:rsid w:val="004476DD"/>
    <w:rsid w:val="00447F8F"/>
    <w:rsid w:val="004500A3"/>
    <w:rsid w:val="00450DD8"/>
    <w:rsid w:val="0045137E"/>
    <w:rsid w:val="00451B60"/>
    <w:rsid w:val="00451D27"/>
    <w:rsid w:val="004522AE"/>
    <w:rsid w:val="0045281E"/>
    <w:rsid w:val="004529AA"/>
    <w:rsid w:val="004529E9"/>
    <w:rsid w:val="00452FD0"/>
    <w:rsid w:val="00453F28"/>
    <w:rsid w:val="00454D37"/>
    <w:rsid w:val="00454D86"/>
    <w:rsid w:val="004559C7"/>
    <w:rsid w:val="00456C53"/>
    <w:rsid w:val="004572E2"/>
    <w:rsid w:val="00457704"/>
    <w:rsid w:val="0045775A"/>
    <w:rsid w:val="00457C0E"/>
    <w:rsid w:val="004601E0"/>
    <w:rsid w:val="00460AC4"/>
    <w:rsid w:val="00460AF2"/>
    <w:rsid w:val="00461A07"/>
    <w:rsid w:val="00461FF9"/>
    <w:rsid w:val="004627C9"/>
    <w:rsid w:val="00462CCF"/>
    <w:rsid w:val="00463A68"/>
    <w:rsid w:val="00464752"/>
    <w:rsid w:val="00465A23"/>
    <w:rsid w:val="00466A38"/>
    <w:rsid w:val="00466C07"/>
    <w:rsid w:val="00467054"/>
    <w:rsid w:val="00467218"/>
    <w:rsid w:val="00470C1E"/>
    <w:rsid w:val="004713F1"/>
    <w:rsid w:val="0047160E"/>
    <w:rsid w:val="0047212E"/>
    <w:rsid w:val="004735EE"/>
    <w:rsid w:val="004736A2"/>
    <w:rsid w:val="00473A59"/>
    <w:rsid w:val="00473D8E"/>
    <w:rsid w:val="00474157"/>
    <w:rsid w:val="00474325"/>
    <w:rsid w:val="00474EB2"/>
    <w:rsid w:val="00476AD7"/>
    <w:rsid w:val="00477C56"/>
    <w:rsid w:val="00480472"/>
    <w:rsid w:val="00480A45"/>
    <w:rsid w:val="00480BE3"/>
    <w:rsid w:val="004816F4"/>
    <w:rsid w:val="00481979"/>
    <w:rsid w:val="00482738"/>
    <w:rsid w:val="00482F81"/>
    <w:rsid w:val="00483150"/>
    <w:rsid w:val="0048398A"/>
    <w:rsid w:val="004846D4"/>
    <w:rsid w:val="004857FB"/>
    <w:rsid w:val="00486571"/>
    <w:rsid w:val="00486F81"/>
    <w:rsid w:val="004871FB"/>
    <w:rsid w:val="004908EC"/>
    <w:rsid w:val="00490DAA"/>
    <w:rsid w:val="004913CA"/>
    <w:rsid w:val="00492608"/>
    <w:rsid w:val="004931AB"/>
    <w:rsid w:val="00494B70"/>
    <w:rsid w:val="00496275"/>
    <w:rsid w:val="00496634"/>
    <w:rsid w:val="00496ABF"/>
    <w:rsid w:val="0049793F"/>
    <w:rsid w:val="00497FC8"/>
    <w:rsid w:val="004A10FF"/>
    <w:rsid w:val="004A12DD"/>
    <w:rsid w:val="004A1472"/>
    <w:rsid w:val="004A16A3"/>
    <w:rsid w:val="004A1853"/>
    <w:rsid w:val="004A1F15"/>
    <w:rsid w:val="004A2024"/>
    <w:rsid w:val="004A23CC"/>
    <w:rsid w:val="004A2D04"/>
    <w:rsid w:val="004A3277"/>
    <w:rsid w:val="004A3768"/>
    <w:rsid w:val="004A3AF8"/>
    <w:rsid w:val="004A4337"/>
    <w:rsid w:val="004A450E"/>
    <w:rsid w:val="004A5015"/>
    <w:rsid w:val="004A5286"/>
    <w:rsid w:val="004A5A37"/>
    <w:rsid w:val="004A5FB7"/>
    <w:rsid w:val="004A65D2"/>
    <w:rsid w:val="004A70CA"/>
    <w:rsid w:val="004A7446"/>
    <w:rsid w:val="004A745D"/>
    <w:rsid w:val="004A7744"/>
    <w:rsid w:val="004A7782"/>
    <w:rsid w:val="004B0014"/>
    <w:rsid w:val="004B07AE"/>
    <w:rsid w:val="004B0F39"/>
    <w:rsid w:val="004B22BA"/>
    <w:rsid w:val="004B24DD"/>
    <w:rsid w:val="004B2AE7"/>
    <w:rsid w:val="004B2F2F"/>
    <w:rsid w:val="004B327B"/>
    <w:rsid w:val="004B37AF"/>
    <w:rsid w:val="004B3A77"/>
    <w:rsid w:val="004B3EB7"/>
    <w:rsid w:val="004B40F6"/>
    <w:rsid w:val="004B411F"/>
    <w:rsid w:val="004B4CFF"/>
    <w:rsid w:val="004B5172"/>
    <w:rsid w:val="004B53CE"/>
    <w:rsid w:val="004B5918"/>
    <w:rsid w:val="004B60C4"/>
    <w:rsid w:val="004B6355"/>
    <w:rsid w:val="004B70C4"/>
    <w:rsid w:val="004B7127"/>
    <w:rsid w:val="004B732D"/>
    <w:rsid w:val="004B7344"/>
    <w:rsid w:val="004B7B65"/>
    <w:rsid w:val="004B7E5F"/>
    <w:rsid w:val="004C01A4"/>
    <w:rsid w:val="004C02E1"/>
    <w:rsid w:val="004C0D36"/>
    <w:rsid w:val="004C1A5C"/>
    <w:rsid w:val="004C27DE"/>
    <w:rsid w:val="004C2EFD"/>
    <w:rsid w:val="004C3941"/>
    <w:rsid w:val="004C3EB0"/>
    <w:rsid w:val="004C4266"/>
    <w:rsid w:val="004C4624"/>
    <w:rsid w:val="004C4ABE"/>
    <w:rsid w:val="004C55D8"/>
    <w:rsid w:val="004C5E67"/>
    <w:rsid w:val="004C6098"/>
    <w:rsid w:val="004C61FF"/>
    <w:rsid w:val="004C65B8"/>
    <w:rsid w:val="004C70DA"/>
    <w:rsid w:val="004D03EA"/>
    <w:rsid w:val="004D1744"/>
    <w:rsid w:val="004D208E"/>
    <w:rsid w:val="004D2803"/>
    <w:rsid w:val="004D4160"/>
    <w:rsid w:val="004D4706"/>
    <w:rsid w:val="004D5332"/>
    <w:rsid w:val="004D5B47"/>
    <w:rsid w:val="004D63D6"/>
    <w:rsid w:val="004D6A5C"/>
    <w:rsid w:val="004D6DB4"/>
    <w:rsid w:val="004D6EB4"/>
    <w:rsid w:val="004D776F"/>
    <w:rsid w:val="004E0BA3"/>
    <w:rsid w:val="004E0E1A"/>
    <w:rsid w:val="004E0F86"/>
    <w:rsid w:val="004E20D2"/>
    <w:rsid w:val="004E258F"/>
    <w:rsid w:val="004E2ACC"/>
    <w:rsid w:val="004E3037"/>
    <w:rsid w:val="004E30F8"/>
    <w:rsid w:val="004E3CF9"/>
    <w:rsid w:val="004E4FF0"/>
    <w:rsid w:val="004E5739"/>
    <w:rsid w:val="004E5A10"/>
    <w:rsid w:val="004E622A"/>
    <w:rsid w:val="004F078B"/>
    <w:rsid w:val="004F106A"/>
    <w:rsid w:val="004F1283"/>
    <w:rsid w:val="004F1A18"/>
    <w:rsid w:val="004F232A"/>
    <w:rsid w:val="004F330C"/>
    <w:rsid w:val="004F33C0"/>
    <w:rsid w:val="004F358D"/>
    <w:rsid w:val="004F3DFE"/>
    <w:rsid w:val="004F41CC"/>
    <w:rsid w:val="004F4633"/>
    <w:rsid w:val="004F47C0"/>
    <w:rsid w:val="004F4999"/>
    <w:rsid w:val="004F499C"/>
    <w:rsid w:val="004F4A4C"/>
    <w:rsid w:val="004F4D5B"/>
    <w:rsid w:val="004F567A"/>
    <w:rsid w:val="004F5BC4"/>
    <w:rsid w:val="004F61C6"/>
    <w:rsid w:val="004F6616"/>
    <w:rsid w:val="004F677B"/>
    <w:rsid w:val="004F6A7A"/>
    <w:rsid w:val="004F73F8"/>
    <w:rsid w:val="004F7A88"/>
    <w:rsid w:val="004F7CF8"/>
    <w:rsid w:val="00500623"/>
    <w:rsid w:val="00500675"/>
    <w:rsid w:val="005018A5"/>
    <w:rsid w:val="00501AB0"/>
    <w:rsid w:val="00502DE9"/>
    <w:rsid w:val="00503D05"/>
    <w:rsid w:val="00504187"/>
    <w:rsid w:val="00504450"/>
    <w:rsid w:val="0050455A"/>
    <w:rsid w:val="005046CA"/>
    <w:rsid w:val="005057FE"/>
    <w:rsid w:val="00505AB0"/>
    <w:rsid w:val="00506012"/>
    <w:rsid w:val="00506203"/>
    <w:rsid w:val="00507F26"/>
    <w:rsid w:val="00510245"/>
    <w:rsid w:val="005103F5"/>
    <w:rsid w:val="00510DF9"/>
    <w:rsid w:val="005122B2"/>
    <w:rsid w:val="005123AC"/>
    <w:rsid w:val="00512A48"/>
    <w:rsid w:val="00512BFC"/>
    <w:rsid w:val="0051413C"/>
    <w:rsid w:val="00514D06"/>
    <w:rsid w:val="005153E5"/>
    <w:rsid w:val="00515487"/>
    <w:rsid w:val="00515DD4"/>
    <w:rsid w:val="00515E6C"/>
    <w:rsid w:val="005164EA"/>
    <w:rsid w:val="00516BE3"/>
    <w:rsid w:val="00520170"/>
    <w:rsid w:val="005212A5"/>
    <w:rsid w:val="00521A3A"/>
    <w:rsid w:val="005231B0"/>
    <w:rsid w:val="00523D40"/>
    <w:rsid w:val="00524477"/>
    <w:rsid w:val="00524D6A"/>
    <w:rsid w:val="00524E76"/>
    <w:rsid w:val="00525100"/>
    <w:rsid w:val="00525D05"/>
    <w:rsid w:val="00525F1D"/>
    <w:rsid w:val="00526D8F"/>
    <w:rsid w:val="0052763A"/>
    <w:rsid w:val="005301F2"/>
    <w:rsid w:val="005302BF"/>
    <w:rsid w:val="005309F1"/>
    <w:rsid w:val="00531555"/>
    <w:rsid w:val="00531AF1"/>
    <w:rsid w:val="005320CF"/>
    <w:rsid w:val="00532FF9"/>
    <w:rsid w:val="00533633"/>
    <w:rsid w:val="00534456"/>
    <w:rsid w:val="005345B1"/>
    <w:rsid w:val="00534EAF"/>
    <w:rsid w:val="00535BCC"/>
    <w:rsid w:val="00535D00"/>
    <w:rsid w:val="00535F6D"/>
    <w:rsid w:val="00536726"/>
    <w:rsid w:val="00536DDB"/>
    <w:rsid w:val="00540048"/>
    <w:rsid w:val="005400ED"/>
    <w:rsid w:val="00540286"/>
    <w:rsid w:val="00540933"/>
    <w:rsid w:val="0054100C"/>
    <w:rsid w:val="00541273"/>
    <w:rsid w:val="00541CF5"/>
    <w:rsid w:val="00541D40"/>
    <w:rsid w:val="00542067"/>
    <w:rsid w:val="00542808"/>
    <w:rsid w:val="00542BA4"/>
    <w:rsid w:val="00543123"/>
    <w:rsid w:val="005435AC"/>
    <w:rsid w:val="00543AD8"/>
    <w:rsid w:val="00543D9F"/>
    <w:rsid w:val="00544083"/>
    <w:rsid w:val="00544ECE"/>
    <w:rsid w:val="00545754"/>
    <w:rsid w:val="0054667C"/>
    <w:rsid w:val="005467D8"/>
    <w:rsid w:val="00547385"/>
    <w:rsid w:val="005475C5"/>
    <w:rsid w:val="00547994"/>
    <w:rsid w:val="00547CAD"/>
    <w:rsid w:val="00551376"/>
    <w:rsid w:val="00551728"/>
    <w:rsid w:val="00551926"/>
    <w:rsid w:val="0055236B"/>
    <w:rsid w:val="005526F7"/>
    <w:rsid w:val="00552E0E"/>
    <w:rsid w:val="00552FD6"/>
    <w:rsid w:val="005538CF"/>
    <w:rsid w:val="00553A34"/>
    <w:rsid w:val="00554793"/>
    <w:rsid w:val="00554E94"/>
    <w:rsid w:val="00556105"/>
    <w:rsid w:val="0055612E"/>
    <w:rsid w:val="0055766B"/>
    <w:rsid w:val="005578B8"/>
    <w:rsid w:val="005600D3"/>
    <w:rsid w:val="00560EA8"/>
    <w:rsid w:val="00562F61"/>
    <w:rsid w:val="005630D8"/>
    <w:rsid w:val="005636B2"/>
    <w:rsid w:val="005639B8"/>
    <w:rsid w:val="00563B7C"/>
    <w:rsid w:val="0056446E"/>
    <w:rsid w:val="00564D71"/>
    <w:rsid w:val="005651EC"/>
    <w:rsid w:val="0056549F"/>
    <w:rsid w:val="005660E0"/>
    <w:rsid w:val="005673D7"/>
    <w:rsid w:val="005703E4"/>
    <w:rsid w:val="005706D0"/>
    <w:rsid w:val="00570776"/>
    <w:rsid w:val="00570CCC"/>
    <w:rsid w:val="00571083"/>
    <w:rsid w:val="0057120A"/>
    <w:rsid w:val="00572D16"/>
    <w:rsid w:val="00572E47"/>
    <w:rsid w:val="00573397"/>
    <w:rsid w:val="00573A0C"/>
    <w:rsid w:val="00574202"/>
    <w:rsid w:val="005748E0"/>
    <w:rsid w:val="00575152"/>
    <w:rsid w:val="0057521D"/>
    <w:rsid w:val="00575EA4"/>
    <w:rsid w:val="00575F17"/>
    <w:rsid w:val="005765E0"/>
    <w:rsid w:val="005769E2"/>
    <w:rsid w:val="00576F3D"/>
    <w:rsid w:val="00582742"/>
    <w:rsid w:val="00582ECF"/>
    <w:rsid w:val="00583BC8"/>
    <w:rsid w:val="00583FA0"/>
    <w:rsid w:val="005844B4"/>
    <w:rsid w:val="00584B75"/>
    <w:rsid w:val="00585A58"/>
    <w:rsid w:val="00585AE5"/>
    <w:rsid w:val="00586051"/>
    <w:rsid w:val="00586785"/>
    <w:rsid w:val="00586A82"/>
    <w:rsid w:val="00587857"/>
    <w:rsid w:val="00587FCA"/>
    <w:rsid w:val="0059019C"/>
    <w:rsid w:val="00590613"/>
    <w:rsid w:val="005910F4"/>
    <w:rsid w:val="00591480"/>
    <w:rsid w:val="00591A2F"/>
    <w:rsid w:val="00592E11"/>
    <w:rsid w:val="005931E1"/>
    <w:rsid w:val="005936B4"/>
    <w:rsid w:val="005940F7"/>
    <w:rsid w:val="00594781"/>
    <w:rsid w:val="00594DEA"/>
    <w:rsid w:val="00595531"/>
    <w:rsid w:val="00595CE7"/>
    <w:rsid w:val="00595DED"/>
    <w:rsid w:val="0059704A"/>
    <w:rsid w:val="0059761A"/>
    <w:rsid w:val="005978D1"/>
    <w:rsid w:val="005A06D8"/>
    <w:rsid w:val="005A0B48"/>
    <w:rsid w:val="005A0C46"/>
    <w:rsid w:val="005A19BD"/>
    <w:rsid w:val="005A1BBD"/>
    <w:rsid w:val="005A1CE7"/>
    <w:rsid w:val="005A1D2E"/>
    <w:rsid w:val="005A1FE7"/>
    <w:rsid w:val="005A21B8"/>
    <w:rsid w:val="005A37B4"/>
    <w:rsid w:val="005A3912"/>
    <w:rsid w:val="005A3D2C"/>
    <w:rsid w:val="005A42AA"/>
    <w:rsid w:val="005A437D"/>
    <w:rsid w:val="005A46B4"/>
    <w:rsid w:val="005A5339"/>
    <w:rsid w:val="005A649C"/>
    <w:rsid w:val="005B003F"/>
    <w:rsid w:val="005B0623"/>
    <w:rsid w:val="005B0D34"/>
    <w:rsid w:val="005B0E74"/>
    <w:rsid w:val="005B18E7"/>
    <w:rsid w:val="005B1D03"/>
    <w:rsid w:val="005B1DAE"/>
    <w:rsid w:val="005B23CA"/>
    <w:rsid w:val="005B24BA"/>
    <w:rsid w:val="005B2C54"/>
    <w:rsid w:val="005B2D52"/>
    <w:rsid w:val="005B32FD"/>
    <w:rsid w:val="005B3B92"/>
    <w:rsid w:val="005B40B2"/>
    <w:rsid w:val="005B5300"/>
    <w:rsid w:val="005B6EEC"/>
    <w:rsid w:val="005B70CC"/>
    <w:rsid w:val="005C0AE3"/>
    <w:rsid w:val="005C0CF0"/>
    <w:rsid w:val="005C0F69"/>
    <w:rsid w:val="005C113F"/>
    <w:rsid w:val="005C16AC"/>
    <w:rsid w:val="005C2228"/>
    <w:rsid w:val="005C2377"/>
    <w:rsid w:val="005C283B"/>
    <w:rsid w:val="005C28F0"/>
    <w:rsid w:val="005C2E91"/>
    <w:rsid w:val="005C3405"/>
    <w:rsid w:val="005C39AA"/>
    <w:rsid w:val="005C3AFD"/>
    <w:rsid w:val="005C411B"/>
    <w:rsid w:val="005C46C1"/>
    <w:rsid w:val="005C53E9"/>
    <w:rsid w:val="005C5D51"/>
    <w:rsid w:val="005C6927"/>
    <w:rsid w:val="005C74A8"/>
    <w:rsid w:val="005C7B4F"/>
    <w:rsid w:val="005D0290"/>
    <w:rsid w:val="005D0655"/>
    <w:rsid w:val="005D06AB"/>
    <w:rsid w:val="005D1017"/>
    <w:rsid w:val="005D1650"/>
    <w:rsid w:val="005D285B"/>
    <w:rsid w:val="005D2871"/>
    <w:rsid w:val="005D3674"/>
    <w:rsid w:val="005D3A10"/>
    <w:rsid w:val="005D4497"/>
    <w:rsid w:val="005D4766"/>
    <w:rsid w:val="005D50E8"/>
    <w:rsid w:val="005D56B8"/>
    <w:rsid w:val="005D56CD"/>
    <w:rsid w:val="005D56DB"/>
    <w:rsid w:val="005D5AC4"/>
    <w:rsid w:val="005D5EC8"/>
    <w:rsid w:val="005D66A1"/>
    <w:rsid w:val="005D731C"/>
    <w:rsid w:val="005D7FD3"/>
    <w:rsid w:val="005E0345"/>
    <w:rsid w:val="005E05D3"/>
    <w:rsid w:val="005E0936"/>
    <w:rsid w:val="005E0E8F"/>
    <w:rsid w:val="005E2922"/>
    <w:rsid w:val="005E2A04"/>
    <w:rsid w:val="005E2E28"/>
    <w:rsid w:val="005E33F6"/>
    <w:rsid w:val="005E36CE"/>
    <w:rsid w:val="005E422E"/>
    <w:rsid w:val="005E5CB7"/>
    <w:rsid w:val="005E6EE9"/>
    <w:rsid w:val="005E7B6C"/>
    <w:rsid w:val="005E7C7D"/>
    <w:rsid w:val="005F045A"/>
    <w:rsid w:val="005F1AF6"/>
    <w:rsid w:val="005F1E0A"/>
    <w:rsid w:val="005F21B5"/>
    <w:rsid w:val="005F23B9"/>
    <w:rsid w:val="005F2949"/>
    <w:rsid w:val="005F2A19"/>
    <w:rsid w:val="005F341C"/>
    <w:rsid w:val="005F34CE"/>
    <w:rsid w:val="005F387A"/>
    <w:rsid w:val="005F3DAA"/>
    <w:rsid w:val="005F49C4"/>
    <w:rsid w:val="005F5072"/>
    <w:rsid w:val="005F5E03"/>
    <w:rsid w:val="005F5FDB"/>
    <w:rsid w:val="005F6A07"/>
    <w:rsid w:val="005F6E65"/>
    <w:rsid w:val="005F7EC3"/>
    <w:rsid w:val="00600627"/>
    <w:rsid w:val="00600789"/>
    <w:rsid w:val="00600B0A"/>
    <w:rsid w:val="00601776"/>
    <w:rsid w:val="00601EC2"/>
    <w:rsid w:val="00602954"/>
    <w:rsid w:val="00604720"/>
    <w:rsid w:val="0060511E"/>
    <w:rsid w:val="00605794"/>
    <w:rsid w:val="00605CFE"/>
    <w:rsid w:val="00606035"/>
    <w:rsid w:val="00606DCF"/>
    <w:rsid w:val="00606F42"/>
    <w:rsid w:val="0060779A"/>
    <w:rsid w:val="006078B0"/>
    <w:rsid w:val="00610186"/>
    <w:rsid w:val="0061041C"/>
    <w:rsid w:val="00610816"/>
    <w:rsid w:val="00610C92"/>
    <w:rsid w:val="006110F9"/>
    <w:rsid w:val="006112CA"/>
    <w:rsid w:val="00611B87"/>
    <w:rsid w:val="006120E9"/>
    <w:rsid w:val="00612464"/>
    <w:rsid w:val="00612B14"/>
    <w:rsid w:val="00612D8E"/>
    <w:rsid w:val="00613B45"/>
    <w:rsid w:val="00613C3B"/>
    <w:rsid w:val="00614120"/>
    <w:rsid w:val="006145EA"/>
    <w:rsid w:val="0061473F"/>
    <w:rsid w:val="00614D6A"/>
    <w:rsid w:val="00615075"/>
    <w:rsid w:val="00615982"/>
    <w:rsid w:val="00615EED"/>
    <w:rsid w:val="0061661D"/>
    <w:rsid w:val="00617155"/>
    <w:rsid w:val="006179AE"/>
    <w:rsid w:val="00617A13"/>
    <w:rsid w:val="00620B1E"/>
    <w:rsid w:val="00621320"/>
    <w:rsid w:val="006213F6"/>
    <w:rsid w:val="006225A3"/>
    <w:rsid w:val="00622A49"/>
    <w:rsid w:val="0062321E"/>
    <w:rsid w:val="00623FC2"/>
    <w:rsid w:val="00624961"/>
    <w:rsid w:val="00624A9F"/>
    <w:rsid w:val="00624B9A"/>
    <w:rsid w:val="00624C13"/>
    <w:rsid w:val="006261C2"/>
    <w:rsid w:val="006263AE"/>
    <w:rsid w:val="006266F5"/>
    <w:rsid w:val="0062719F"/>
    <w:rsid w:val="006304EC"/>
    <w:rsid w:val="0063086D"/>
    <w:rsid w:val="00631B76"/>
    <w:rsid w:val="00631E12"/>
    <w:rsid w:val="00632074"/>
    <w:rsid w:val="00632E3F"/>
    <w:rsid w:val="00634782"/>
    <w:rsid w:val="00634C3E"/>
    <w:rsid w:val="00635B2A"/>
    <w:rsid w:val="00635D64"/>
    <w:rsid w:val="00637D77"/>
    <w:rsid w:val="00640A88"/>
    <w:rsid w:val="00640BF4"/>
    <w:rsid w:val="00640C63"/>
    <w:rsid w:val="00641642"/>
    <w:rsid w:val="00641FE6"/>
    <w:rsid w:val="00642FDE"/>
    <w:rsid w:val="00643145"/>
    <w:rsid w:val="006439A2"/>
    <w:rsid w:val="00643E5A"/>
    <w:rsid w:val="006440A8"/>
    <w:rsid w:val="0064461D"/>
    <w:rsid w:val="00644F54"/>
    <w:rsid w:val="00645537"/>
    <w:rsid w:val="006459ED"/>
    <w:rsid w:val="00645F0E"/>
    <w:rsid w:val="0064665D"/>
    <w:rsid w:val="006468BE"/>
    <w:rsid w:val="006468C7"/>
    <w:rsid w:val="0064718F"/>
    <w:rsid w:val="0064744B"/>
    <w:rsid w:val="006475E6"/>
    <w:rsid w:val="0065036D"/>
    <w:rsid w:val="00650C2F"/>
    <w:rsid w:val="00650C56"/>
    <w:rsid w:val="00650D0B"/>
    <w:rsid w:val="006522A6"/>
    <w:rsid w:val="00652B75"/>
    <w:rsid w:val="0065315A"/>
    <w:rsid w:val="00653DEE"/>
    <w:rsid w:val="006542F2"/>
    <w:rsid w:val="006546C1"/>
    <w:rsid w:val="00654A1D"/>
    <w:rsid w:val="0065519C"/>
    <w:rsid w:val="00655A91"/>
    <w:rsid w:val="00655B65"/>
    <w:rsid w:val="00656194"/>
    <w:rsid w:val="00656DA9"/>
    <w:rsid w:val="006576BF"/>
    <w:rsid w:val="00657F02"/>
    <w:rsid w:val="00660E4D"/>
    <w:rsid w:val="00660E71"/>
    <w:rsid w:val="00660FA8"/>
    <w:rsid w:val="006618BF"/>
    <w:rsid w:val="00661CA8"/>
    <w:rsid w:val="00661E57"/>
    <w:rsid w:val="0066276E"/>
    <w:rsid w:val="00663669"/>
    <w:rsid w:val="00663744"/>
    <w:rsid w:val="0066423D"/>
    <w:rsid w:val="0066445D"/>
    <w:rsid w:val="006647E4"/>
    <w:rsid w:val="00667055"/>
    <w:rsid w:val="006670FC"/>
    <w:rsid w:val="006677AD"/>
    <w:rsid w:val="006678DA"/>
    <w:rsid w:val="0067014F"/>
    <w:rsid w:val="006704EA"/>
    <w:rsid w:val="0067075B"/>
    <w:rsid w:val="00670EDC"/>
    <w:rsid w:val="006715A6"/>
    <w:rsid w:val="00671CB6"/>
    <w:rsid w:val="00671DFF"/>
    <w:rsid w:val="0067280D"/>
    <w:rsid w:val="00672855"/>
    <w:rsid w:val="00673F40"/>
    <w:rsid w:val="006743B5"/>
    <w:rsid w:val="0067453A"/>
    <w:rsid w:val="00674BFE"/>
    <w:rsid w:val="00675722"/>
    <w:rsid w:val="0067591B"/>
    <w:rsid w:val="00675E2B"/>
    <w:rsid w:val="0067615F"/>
    <w:rsid w:val="0067658B"/>
    <w:rsid w:val="00676776"/>
    <w:rsid w:val="00676860"/>
    <w:rsid w:val="00677327"/>
    <w:rsid w:val="00677681"/>
    <w:rsid w:val="006777EB"/>
    <w:rsid w:val="00677C97"/>
    <w:rsid w:val="006807AE"/>
    <w:rsid w:val="00680AD5"/>
    <w:rsid w:val="00681D0F"/>
    <w:rsid w:val="0068205B"/>
    <w:rsid w:val="0068234A"/>
    <w:rsid w:val="006823C4"/>
    <w:rsid w:val="006824BE"/>
    <w:rsid w:val="00682664"/>
    <w:rsid w:val="0068266A"/>
    <w:rsid w:val="006826A8"/>
    <w:rsid w:val="00682802"/>
    <w:rsid w:val="0068395A"/>
    <w:rsid w:val="00683A20"/>
    <w:rsid w:val="00683C5C"/>
    <w:rsid w:val="00684FA7"/>
    <w:rsid w:val="00685551"/>
    <w:rsid w:val="00685575"/>
    <w:rsid w:val="00685934"/>
    <w:rsid w:val="00686466"/>
    <w:rsid w:val="0068667B"/>
    <w:rsid w:val="00686F7C"/>
    <w:rsid w:val="00686FEF"/>
    <w:rsid w:val="0068709B"/>
    <w:rsid w:val="00687AC8"/>
    <w:rsid w:val="00687D2E"/>
    <w:rsid w:val="00690E8D"/>
    <w:rsid w:val="00691DAD"/>
    <w:rsid w:val="0069259C"/>
    <w:rsid w:val="006929AB"/>
    <w:rsid w:val="00693267"/>
    <w:rsid w:val="0069380F"/>
    <w:rsid w:val="00694980"/>
    <w:rsid w:val="00694F6A"/>
    <w:rsid w:val="00695139"/>
    <w:rsid w:val="00696A41"/>
    <w:rsid w:val="00696AC0"/>
    <w:rsid w:val="00696B1E"/>
    <w:rsid w:val="00696F77"/>
    <w:rsid w:val="006977BD"/>
    <w:rsid w:val="006A0480"/>
    <w:rsid w:val="006A36DC"/>
    <w:rsid w:val="006A390D"/>
    <w:rsid w:val="006A3DB2"/>
    <w:rsid w:val="006A4139"/>
    <w:rsid w:val="006A477C"/>
    <w:rsid w:val="006A4DC8"/>
    <w:rsid w:val="006A5200"/>
    <w:rsid w:val="006A5BE2"/>
    <w:rsid w:val="006A69D0"/>
    <w:rsid w:val="006A716C"/>
    <w:rsid w:val="006A725B"/>
    <w:rsid w:val="006A7AFF"/>
    <w:rsid w:val="006B16E7"/>
    <w:rsid w:val="006B2A87"/>
    <w:rsid w:val="006B2F75"/>
    <w:rsid w:val="006B2FD2"/>
    <w:rsid w:val="006B3059"/>
    <w:rsid w:val="006B3EB0"/>
    <w:rsid w:val="006B48A6"/>
    <w:rsid w:val="006B4ADA"/>
    <w:rsid w:val="006B4C77"/>
    <w:rsid w:val="006B4CF7"/>
    <w:rsid w:val="006B4FF2"/>
    <w:rsid w:val="006B504F"/>
    <w:rsid w:val="006B5898"/>
    <w:rsid w:val="006B5E19"/>
    <w:rsid w:val="006B6183"/>
    <w:rsid w:val="006B6AF7"/>
    <w:rsid w:val="006B7187"/>
    <w:rsid w:val="006C05F8"/>
    <w:rsid w:val="006C0C38"/>
    <w:rsid w:val="006C1176"/>
    <w:rsid w:val="006C1E24"/>
    <w:rsid w:val="006C2141"/>
    <w:rsid w:val="006C237A"/>
    <w:rsid w:val="006C2641"/>
    <w:rsid w:val="006C28C3"/>
    <w:rsid w:val="006C3B72"/>
    <w:rsid w:val="006C3FD5"/>
    <w:rsid w:val="006C5012"/>
    <w:rsid w:val="006C535F"/>
    <w:rsid w:val="006C53FB"/>
    <w:rsid w:val="006C542C"/>
    <w:rsid w:val="006C5CF4"/>
    <w:rsid w:val="006C5F02"/>
    <w:rsid w:val="006C736C"/>
    <w:rsid w:val="006C7841"/>
    <w:rsid w:val="006C7C98"/>
    <w:rsid w:val="006D05A6"/>
    <w:rsid w:val="006D0728"/>
    <w:rsid w:val="006D0C48"/>
    <w:rsid w:val="006D165E"/>
    <w:rsid w:val="006D23D4"/>
    <w:rsid w:val="006D2630"/>
    <w:rsid w:val="006D28DD"/>
    <w:rsid w:val="006D2917"/>
    <w:rsid w:val="006D2F3E"/>
    <w:rsid w:val="006D3555"/>
    <w:rsid w:val="006D3A8F"/>
    <w:rsid w:val="006D43C7"/>
    <w:rsid w:val="006D4FDD"/>
    <w:rsid w:val="006D5144"/>
    <w:rsid w:val="006D5A21"/>
    <w:rsid w:val="006D5A54"/>
    <w:rsid w:val="006D7C9D"/>
    <w:rsid w:val="006D7CA4"/>
    <w:rsid w:val="006D7DEC"/>
    <w:rsid w:val="006D7E6E"/>
    <w:rsid w:val="006E053D"/>
    <w:rsid w:val="006E1460"/>
    <w:rsid w:val="006E189E"/>
    <w:rsid w:val="006E264B"/>
    <w:rsid w:val="006E2A69"/>
    <w:rsid w:val="006E2D88"/>
    <w:rsid w:val="006E2FD7"/>
    <w:rsid w:val="006E3705"/>
    <w:rsid w:val="006E43B5"/>
    <w:rsid w:val="006E4B07"/>
    <w:rsid w:val="006E525C"/>
    <w:rsid w:val="006E52EB"/>
    <w:rsid w:val="006E5481"/>
    <w:rsid w:val="006E5AEB"/>
    <w:rsid w:val="006E5DB5"/>
    <w:rsid w:val="006E6208"/>
    <w:rsid w:val="006E6453"/>
    <w:rsid w:val="006E6885"/>
    <w:rsid w:val="006E7AF5"/>
    <w:rsid w:val="006F0029"/>
    <w:rsid w:val="006F0645"/>
    <w:rsid w:val="006F088B"/>
    <w:rsid w:val="006F0ABF"/>
    <w:rsid w:val="006F0B68"/>
    <w:rsid w:val="006F155B"/>
    <w:rsid w:val="006F1A2B"/>
    <w:rsid w:val="006F1BEE"/>
    <w:rsid w:val="006F2045"/>
    <w:rsid w:val="006F2307"/>
    <w:rsid w:val="006F2C29"/>
    <w:rsid w:val="006F2C70"/>
    <w:rsid w:val="006F3234"/>
    <w:rsid w:val="006F5A30"/>
    <w:rsid w:val="006F68CE"/>
    <w:rsid w:val="006F707A"/>
    <w:rsid w:val="006F7F17"/>
    <w:rsid w:val="007006F1"/>
    <w:rsid w:val="00700A4E"/>
    <w:rsid w:val="00701B07"/>
    <w:rsid w:val="007024BB"/>
    <w:rsid w:val="00702C07"/>
    <w:rsid w:val="00702D97"/>
    <w:rsid w:val="00703AE9"/>
    <w:rsid w:val="00703DFB"/>
    <w:rsid w:val="00705065"/>
    <w:rsid w:val="00705A2C"/>
    <w:rsid w:val="00706101"/>
    <w:rsid w:val="00706550"/>
    <w:rsid w:val="00706F31"/>
    <w:rsid w:val="007071AF"/>
    <w:rsid w:val="007071D3"/>
    <w:rsid w:val="007100A8"/>
    <w:rsid w:val="00710467"/>
    <w:rsid w:val="00710682"/>
    <w:rsid w:val="00710EE2"/>
    <w:rsid w:val="00711308"/>
    <w:rsid w:val="0071137C"/>
    <w:rsid w:val="007119F8"/>
    <w:rsid w:val="00711D35"/>
    <w:rsid w:val="0071243B"/>
    <w:rsid w:val="007137A5"/>
    <w:rsid w:val="00713E2B"/>
    <w:rsid w:val="0071485F"/>
    <w:rsid w:val="00715A77"/>
    <w:rsid w:val="00715DE1"/>
    <w:rsid w:val="00717109"/>
    <w:rsid w:val="00717AA7"/>
    <w:rsid w:val="00717B4B"/>
    <w:rsid w:val="00717DC4"/>
    <w:rsid w:val="00720062"/>
    <w:rsid w:val="0072039C"/>
    <w:rsid w:val="007203A8"/>
    <w:rsid w:val="00720E39"/>
    <w:rsid w:val="00721F1E"/>
    <w:rsid w:val="007227E8"/>
    <w:rsid w:val="007229E3"/>
    <w:rsid w:val="00723495"/>
    <w:rsid w:val="00723533"/>
    <w:rsid w:val="00723557"/>
    <w:rsid w:val="00723616"/>
    <w:rsid w:val="00724AB6"/>
    <w:rsid w:val="00725927"/>
    <w:rsid w:val="00725937"/>
    <w:rsid w:val="00727DFC"/>
    <w:rsid w:val="007307FA"/>
    <w:rsid w:val="00731BD4"/>
    <w:rsid w:val="00732F27"/>
    <w:rsid w:val="007339E7"/>
    <w:rsid w:val="00734D6B"/>
    <w:rsid w:val="00735222"/>
    <w:rsid w:val="007354B7"/>
    <w:rsid w:val="00735808"/>
    <w:rsid w:val="007358BF"/>
    <w:rsid w:val="007358F0"/>
    <w:rsid w:val="00735D2D"/>
    <w:rsid w:val="00735F28"/>
    <w:rsid w:val="007360E1"/>
    <w:rsid w:val="00736120"/>
    <w:rsid w:val="007361A8"/>
    <w:rsid w:val="007373AC"/>
    <w:rsid w:val="00737DEE"/>
    <w:rsid w:val="0074221C"/>
    <w:rsid w:val="00742284"/>
    <w:rsid w:val="0074295A"/>
    <w:rsid w:val="00743159"/>
    <w:rsid w:val="00743B39"/>
    <w:rsid w:val="00743B8C"/>
    <w:rsid w:val="00743C5A"/>
    <w:rsid w:val="00743F22"/>
    <w:rsid w:val="007440AA"/>
    <w:rsid w:val="007442EE"/>
    <w:rsid w:val="00744440"/>
    <w:rsid w:val="00745941"/>
    <w:rsid w:val="007459EE"/>
    <w:rsid w:val="0074690C"/>
    <w:rsid w:val="00746B12"/>
    <w:rsid w:val="0074766F"/>
    <w:rsid w:val="00747CD9"/>
    <w:rsid w:val="00750326"/>
    <w:rsid w:val="00750427"/>
    <w:rsid w:val="00750605"/>
    <w:rsid w:val="007506A7"/>
    <w:rsid w:val="00751FC6"/>
    <w:rsid w:val="00751FD9"/>
    <w:rsid w:val="0075209E"/>
    <w:rsid w:val="00753094"/>
    <w:rsid w:val="00753165"/>
    <w:rsid w:val="0075346C"/>
    <w:rsid w:val="00753E2E"/>
    <w:rsid w:val="0075570D"/>
    <w:rsid w:val="00755B00"/>
    <w:rsid w:val="00756336"/>
    <w:rsid w:val="00756F64"/>
    <w:rsid w:val="007600BE"/>
    <w:rsid w:val="00760E5B"/>
    <w:rsid w:val="00761296"/>
    <w:rsid w:val="00761535"/>
    <w:rsid w:val="00761B56"/>
    <w:rsid w:val="007624D5"/>
    <w:rsid w:val="007633FB"/>
    <w:rsid w:val="0076341A"/>
    <w:rsid w:val="00763BF9"/>
    <w:rsid w:val="00764CDF"/>
    <w:rsid w:val="00765B83"/>
    <w:rsid w:val="00765D8D"/>
    <w:rsid w:val="00770534"/>
    <w:rsid w:val="007705EA"/>
    <w:rsid w:val="00770947"/>
    <w:rsid w:val="00771291"/>
    <w:rsid w:val="007712C8"/>
    <w:rsid w:val="0077199C"/>
    <w:rsid w:val="007719AD"/>
    <w:rsid w:val="00771E92"/>
    <w:rsid w:val="00772039"/>
    <w:rsid w:val="00772EC2"/>
    <w:rsid w:val="00773317"/>
    <w:rsid w:val="007736F4"/>
    <w:rsid w:val="007737A6"/>
    <w:rsid w:val="00773837"/>
    <w:rsid w:val="00773E92"/>
    <w:rsid w:val="00774BFB"/>
    <w:rsid w:val="00775180"/>
    <w:rsid w:val="007756AC"/>
    <w:rsid w:val="00776291"/>
    <w:rsid w:val="007765FC"/>
    <w:rsid w:val="007766E9"/>
    <w:rsid w:val="00777ADF"/>
    <w:rsid w:val="0078035D"/>
    <w:rsid w:val="007806D8"/>
    <w:rsid w:val="00780DEA"/>
    <w:rsid w:val="0078110D"/>
    <w:rsid w:val="00781595"/>
    <w:rsid w:val="007819D7"/>
    <w:rsid w:val="00782904"/>
    <w:rsid w:val="00782975"/>
    <w:rsid w:val="007834FB"/>
    <w:rsid w:val="007836D7"/>
    <w:rsid w:val="00784456"/>
    <w:rsid w:val="00784ADC"/>
    <w:rsid w:val="00784DBF"/>
    <w:rsid w:val="00785448"/>
    <w:rsid w:val="00785E15"/>
    <w:rsid w:val="00787A42"/>
    <w:rsid w:val="00790D28"/>
    <w:rsid w:val="00790FE4"/>
    <w:rsid w:val="00791987"/>
    <w:rsid w:val="00791C1B"/>
    <w:rsid w:val="007923AD"/>
    <w:rsid w:val="00792FAB"/>
    <w:rsid w:val="007938C8"/>
    <w:rsid w:val="00793E30"/>
    <w:rsid w:val="007941B2"/>
    <w:rsid w:val="00794436"/>
    <w:rsid w:val="007948C3"/>
    <w:rsid w:val="00794F09"/>
    <w:rsid w:val="00795477"/>
    <w:rsid w:val="00795778"/>
    <w:rsid w:val="00795A92"/>
    <w:rsid w:val="00796961"/>
    <w:rsid w:val="007971A4"/>
    <w:rsid w:val="0079791E"/>
    <w:rsid w:val="007A0325"/>
    <w:rsid w:val="007A0483"/>
    <w:rsid w:val="007A16D7"/>
    <w:rsid w:val="007A1822"/>
    <w:rsid w:val="007A22EF"/>
    <w:rsid w:val="007A2D43"/>
    <w:rsid w:val="007A2F2E"/>
    <w:rsid w:val="007A30A5"/>
    <w:rsid w:val="007A35D3"/>
    <w:rsid w:val="007A3C0B"/>
    <w:rsid w:val="007A4501"/>
    <w:rsid w:val="007A46F3"/>
    <w:rsid w:val="007A599D"/>
    <w:rsid w:val="007A5C4A"/>
    <w:rsid w:val="007A5CFE"/>
    <w:rsid w:val="007A5DA4"/>
    <w:rsid w:val="007A62A5"/>
    <w:rsid w:val="007A65CC"/>
    <w:rsid w:val="007A6677"/>
    <w:rsid w:val="007A66DB"/>
    <w:rsid w:val="007A6B67"/>
    <w:rsid w:val="007A7521"/>
    <w:rsid w:val="007A763F"/>
    <w:rsid w:val="007B027D"/>
    <w:rsid w:val="007B02C8"/>
    <w:rsid w:val="007B0D90"/>
    <w:rsid w:val="007B1493"/>
    <w:rsid w:val="007B1CAE"/>
    <w:rsid w:val="007B209F"/>
    <w:rsid w:val="007B2610"/>
    <w:rsid w:val="007B2E91"/>
    <w:rsid w:val="007B339B"/>
    <w:rsid w:val="007B366F"/>
    <w:rsid w:val="007B36BF"/>
    <w:rsid w:val="007B37D5"/>
    <w:rsid w:val="007B3B03"/>
    <w:rsid w:val="007B3F77"/>
    <w:rsid w:val="007B43D0"/>
    <w:rsid w:val="007B5516"/>
    <w:rsid w:val="007B5985"/>
    <w:rsid w:val="007B5CB4"/>
    <w:rsid w:val="007B662A"/>
    <w:rsid w:val="007B73EB"/>
    <w:rsid w:val="007B784A"/>
    <w:rsid w:val="007B7ABC"/>
    <w:rsid w:val="007B7FED"/>
    <w:rsid w:val="007C0489"/>
    <w:rsid w:val="007C0D51"/>
    <w:rsid w:val="007C1578"/>
    <w:rsid w:val="007C1885"/>
    <w:rsid w:val="007C1FC7"/>
    <w:rsid w:val="007C29A4"/>
    <w:rsid w:val="007C2CDB"/>
    <w:rsid w:val="007C2FA7"/>
    <w:rsid w:val="007C374B"/>
    <w:rsid w:val="007C4020"/>
    <w:rsid w:val="007C4B7E"/>
    <w:rsid w:val="007C4C77"/>
    <w:rsid w:val="007C5A25"/>
    <w:rsid w:val="007C602A"/>
    <w:rsid w:val="007C6343"/>
    <w:rsid w:val="007C698A"/>
    <w:rsid w:val="007C705F"/>
    <w:rsid w:val="007C72D4"/>
    <w:rsid w:val="007C73B3"/>
    <w:rsid w:val="007C7D27"/>
    <w:rsid w:val="007D0EB7"/>
    <w:rsid w:val="007D10B3"/>
    <w:rsid w:val="007D10BF"/>
    <w:rsid w:val="007D1243"/>
    <w:rsid w:val="007D1BC4"/>
    <w:rsid w:val="007D24D9"/>
    <w:rsid w:val="007D28D8"/>
    <w:rsid w:val="007D2AE7"/>
    <w:rsid w:val="007D34E7"/>
    <w:rsid w:val="007D3BCC"/>
    <w:rsid w:val="007D3E20"/>
    <w:rsid w:val="007D3F88"/>
    <w:rsid w:val="007D4123"/>
    <w:rsid w:val="007D437B"/>
    <w:rsid w:val="007D50D6"/>
    <w:rsid w:val="007D56D6"/>
    <w:rsid w:val="007D6317"/>
    <w:rsid w:val="007D66A0"/>
    <w:rsid w:val="007D6981"/>
    <w:rsid w:val="007D6A53"/>
    <w:rsid w:val="007D6E07"/>
    <w:rsid w:val="007D6FF4"/>
    <w:rsid w:val="007D7418"/>
    <w:rsid w:val="007D7CD0"/>
    <w:rsid w:val="007D7E52"/>
    <w:rsid w:val="007E05C6"/>
    <w:rsid w:val="007E1026"/>
    <w:rsid w:val="007E1155"/>
    <w:rsid w:val="007E18E6"/>
    <w:rsid w:val="007E19B4"/>
    <w:rsid w:val="007E2096"/>
    <w:rsid w:val="007E20A6"/>
    <w:rsid w:val="007E2906"/>
    <w:rsid w:val="007E2C3F"/>
    <w:rsid w:val="007E2D97"/>
    <w:rsid w:val="007E2F56"/>
    <w:rsid w:val="007E3234"/>
    <w:rsid w:val="007E3246"/>
    <w:rsid w:val="007E346E"/>
    <w:rsid w:val="007E4150"/>
    <w:rsid w:val="007E4C77"/>
    <w:rsid w:val="007E5232"/>
    <w:rsid w:val="007E595A"/>
    <w:rsid w:val="007E5D49"/>
    <w:rsid w:val="007E671C"/>
    <w:rsid w:val="007E6D10"/>
    <w:rsid w:val="007E7172"/>
    <w:rsid w:val="007E79DA"/>
    <w:rsid w:val="007F0D4D"/>
    <w:rsid w:val="007F125A"/>
    <w:rsid w:val="007F15AD"/>
    <w:rsid w:val="007F1956"/>
    <w:rsid w:val="007F21C1"/>
    <w:rsid w:val="007F2BBD"/>
    <w:rsid w:val="007F3620"/>
    <w:rsid w:val="007F3990"/>
    <w:rsid w:val="007F4102"/>
    <w:rsid w:val="007F4344"/>
    <w:rsid w:val="007F63FA"/>
    <w:rsid w:val="007F6976"/>
    <w:rsid w:val="007F6B66"/>
    <w:rsid w:val="007F704E"/>
    <w:rsid w:val="007F761B"/>
    <w:rsid w:val="007F79EF"/>
    <w:rsid w:val="007F7B65"/>
    <w:rsid w:val="0080043D"/>
    <w:rsid w:val="00800F1C"/>
    <w:rsid w:val="00801241"/>
    <w:rsid w:val="008030FB"/>
    <w:rsid w:val="00803919"/>
    <w:rsid w:val="00803C3E"/>
    <w:rsid w:val="00803DC0"/>
    <w:rsid w:val="008040D4"/>
    <w:rsid w:val="00804AD4"/>
    <w:rsid w:val="0080504A"/>
    <w:rsid w:val="00805886"/>
    <w:rsid w:val="00806DC3"/>
    <w:rsid w:val="00806E45"/>
    <w:rsid w:val="00806F44"/>
    <w:rsid w:val="008077E7"/>
    <w:rsid w:val="008078B4"/>
    <w:rsid w:val="00807F36"/>
    <w:rsid w:val="00810FEE"/>
    <w:rsid w:val="00811D26"/>
    <w:rsid w:val="008121A6"/>
    <w:rsid w:val="00812608"/>
    <w:rsid w:val="00812BD1"/>
    <w:rsid w:val="008139E7"/>
    <w:rsid w:val="00813B8E"/>
    <w:rsid w:val="00815497"/>
    <w:rsid w:val="008163CE"/>
    <w:rsid w:val="00816574"/>
    <w:rsid w:val="00817005"/>
    <w:rsid w:val="008173D1"/>
    <w:rsid w:val="008173D4"/>
    <w:rsid w:val="00817ED9"/>
    <w:rsid w:val="00817FEE"/>
    <w:rsid w:val="0082029D"/>
    <w:rsid w:val="00821092"/>
    <w:rsid w:val="0082152C"/>
    <w:rsid w:val="00821726"/>
    <w:rsid w:val="0082184D"/>
    <w:rsid w:val="00821FA0"/>
    <w:rsid w:val="008229BA"/>
    <w:rsid w:val="00824924"/>
    <w:rsid w:val="00824F8D"/>
    <w:rsid w:val="00825424"/>
    <w:rsid w:val="0082552B"/>
    <w:rsid w:val="008279C7"/>
    <w:rsid w:val="00827BA4"/>
    <w:rsid w:val="00827C7A"/>
    <w:rsid w:val="00827D95"/>
    <w:rsid w:val="00827E46"/>
    <w:rsid w:val="00830D55"/>
    <w:rsid w:val="00831032"/>
    <w:rsid w:val="00832B44"/>
    <w:rsid w:val="00833567"/>
    <w:rsid w:val="00833806"/>
    <w:rsid w:val="008357A2"/>
    <w:rsid w:val="00836044"/>
    <w:rsid w:val="00837179"/>
    <w:rsid w:val="00837382"/>
    <w:rsid w:val="00837C74"/>
    <w:rsid w:val="00837DA6"/>
    <w:rsid w:val="008415E1"/>
    <w:rsid w:val="008418E3"/>
    <w:rsid w:val="00841B6E"/>
    <w:rsid w:val="0084209E"/>
    <w:rsid w:val="0084243A"/>
    <w:rsid w:val="00842478"/>
    <w:rsid w:val="0084247E"/>
    <w:rsid w:val="00842A95"/>
    <w:rsid w:val="0084342A"/>
    <w:rsid w:val="0084364B"/>
    <w:rsid w:val="00843941"/>
    <w:rsid w:val="008439D4"/>
    <w:rsid w:val="00843C13"/>
    <w:rsid w:val="00844483"/>
    <w:rsid w:val="008444FB"/>
    <w:rsid w:val="008445CD"/>
    <w:rsid w:val="00844792"/>
    <w:rsid w:val="008448E6"/>
    <w:rsid w:val="00845233"/>
    <w:rsid w:val="008460A4"/>
    <w:rsid w:val="008460F9"/>
    <w:rsid w:val="00846621"/>
    <w:rsid w:val="00846D6C"/>
    <w:rsid w:val="00846E96"/>
    <w:rsid w:val="00846EAA"/>
    <w:rsid w:val="00847077"/>
    <w:rsid w:val="0084739E"/>
    <w:rsid w:val="0084752F"/>
    <w:rsid w:val="00847C5A"/>
    <w:rsid w:val="00847E3A"/>
    <w:rsid w:val="0085036F"/>
    <w:rsid w:val="00850A90"/>
    <w:rsid w:val="00850EDF"/>
    <w:rsid w:val="00851BD1"/>
    <w:rsid w:val="00852AFA"/>
    <w:rsid w:val="00852B1D"/>
    <w:rsid w:val="00853062"/>
    <w:rsid w:val="008544CC"/>
    <w:rsid w:val="008544FC"/>
    <w:rsid w:val="0085452E"/>
    <w:rsid w:val="00854629"/>
    <w:rsid w:val="00854C9F"/>
    <w:rsid w:val="0085519E"/>
    <w:rsid w:val="00855447"/>
    <w:rsid w:val="00855A5B"/>
    <w:rsid w:val="00855E19"/>
    <w:rsid w:val="00855E24"/>
    <w:rsid w:val="00855F47"/>
    <w:rsid w:val="00856615"/>
    <w:rsid w:val="008567A2"/>
    <w:rsid w:val="008568DD"/>
    <w:rsid w:val="00857574"/>
    <w:rsid w:val="00857E14"/>
    <w:rsid w:val="00860952"/>
    <w:rsid w:val="008620CA"/>
    <w:rsid w:val="0086215F"/>
    <w:rsid w:val="008621CC"/>
    <w:rsid w:val="00862492"/>
    <w:rsid w:val="00863264"/>
    <w:rsid w:val="00863C61"/>
    <w:rsid w:val="008640EE"/>
    <w:rsid w:val="00864870"/>
    <w:rsid w:val="008648EA"/>
    <w:rsid w:val="00864ACA"/>
    <w:rsid w:val="00865576"/>
    <w:rsid w:val="00865AB6"/>
    <w:rsid w:val="008662C5"/>
    <w:rsid w:val="00866615"/>
    <w:rsid w:val="00866E3E"/>
    <w:rsid w:val="00867CEC"/>
    <w:rsid w:val="00871566"/>
    <w:rsid w:val="008716EE"/>
    <w:rsid w:val="008721E9"/>
    <w:rsid w:val="008724DB"/>
    <w:rsid w:val="008727D8"/>
    <w:rsid w:val="00872C11"/>
    <w:rsid w:val="00872C6D"/>
    <w:rsid w:val="00872F28"/>
    <w:rsid w:val="00873E35"/>
    <w:rsid w:val="00874409"/>
    <w:rsid w:val="0087472E"/>
    <w:rsid w:val="00874B8A"/>
    <w:rsid w:val="00875BFF"/>
    <w:rsid w:val="008766F0"/>
    <w:rsid w:val="0088014E"/>
    <w:rsid w:val="0088026E"/>
    <w:rsid w:val="008807D2"/>
    <w:rsid w:val="00880BEC"/>
    <w:rsid w:val="0088195E"/>
    <w:rsid w:val="00882755"/>
    <w:rsid w:val="008834D1"/>
    <w:rsid w:val="00884798"/>
    <w:rsid w:val="008853FE"/>
    <w:rsid w:val="0088669D"/>
    <w:rsid w:val="00886EE9"/>
    <w:rsid w:val="008870F4"/>
    <w:rsid w:val="00890A4B"/>
    <w:rsid w:val="008911F5"/>
    <w:rsid w:val="00891564"/>
    <w:rsid w:val="00891953"/>
    <w:rsid w:val="00892557"/>
    <w:rsid w:val="008925D4"/>
    <w:rsid w:val="00892673"/>
    <w:rsid w:val="008927A0"/>
    <w:rsid w:val="00894108"/>
    <w:rsid w:val="00894C99"/>
    <w:rsid w:val="00894ED2"/>
    <w:rsid w:val="0089500B"/>
    <w:rsid w:val="0089502E"/>
    <w:rsid w:val="00895429"/>
    <w:rsid w:val="00895497"/>
    <w:rsid w:val="00895E7C"/>
    <w:rsid w:val="008964E6"/>
    <w:rsid w:val="00896553"/>
    <w:rsid w:val="00896AEE"/>
    <w:rsid w:val="008970D2"/>
    <w:rsid w:val="00897453"/>
    <w:rsid w:val="00897655"/>
    <w:rsid w:val="00897A85"/>
    <w:rsid w:val="00897EC0"/>
    <w:rsid w:val="008A0684"/>
    <w:rsid w:val="008A06AA"/>
    <w:rsid w:val="008A0723"/>
    <w:rsid w:val="008A08EC"/>
    <w:rsid w:val="008A1669"/>
    <w:rsid w:val="008A166F"/>
    <w:rsid w:val="008A179E"/>
    <w:rsid w:val="008A17A2"/>
    <w:rsid w:val="008A22CD"/>
    <w:rsid w:val="008A2889"/>
    <w:rsid w:val="008A2F3A"/>
    <w:rsid w:val="008A4485"/>
    <w:rsid w:val="008A4B6B"/>
    <w:rsid w:val="008A4D07"/>
    <w:rsid w:val="008A4EED"/>
    <w:rsid w:val="008A58DC"/>
    <w:rsid w:val="008A594A"/>
    <w:rsid w:val="008A70B5"/>
    <w:rsid w:val="008A7AF9"/>
    <w:rsid w:val="008B0006"/>
    <w:rsid w:val="008B044F"/>
    <w:rsid w:val="008B0673"/>
    <w:rsid w:val="008B094A"/>
    <w:rsid w:val="008B1EA5"/>
    <w:rsid w:val="008B244B"/>
    <w:rsid w:val="008B2794"/>
    <w:rsid w:val="008B2B09"/>
    <w:rsid w:val="008B303C"/>
    <w:rsid w:val="008B3A40"/>
    <w:rsid w:val="008B3E02"/>
    <w:rsid w:val="008B434E"/>
    <w:rsid w:val="008B46F2"/>
    <w:rsid w:val="008B492A"/>
    <w:rsid w:val="008B4A7F"/>
    <w:rsid w:val="008B4E36"/>
    <w:rsid w:val="008B5344"/>
    <w:rsid w:val="008B5381"/>
    <w:rsid w:val="008B5C28"/>
    <w:rsid w:val="008B6DD7"/>
    <w:rsid w:val="008B72DB"/>
    <w:rsid w:val="008B7A51"/>
    <w:rsid w:val="008B7CB5"/>
    <w:rsid w:val="008C0534"/>
    <w:rsid w:val="008C069D"/>
    <w:rsid w:val="008C0C6C"/>
    <w:rsid w:val="008C103C"/>
    <w:rsid w:val="008C15D1"/>
    <w:rsid w:val="008C1FA1"/>
    <w:rsid w:val="008C24BB"/>
    <w:rsid w:val="008C263D"/>
    <w:rsid w:val="008C27F9"/>
    <w:rsid w:val="008C2955"/>
    <w:rsid w:val="008C2E3F"/>
    <w:rsid w:val="008C338E"/>
    <w:rsid w:val="008C4467"/>
    <w:rsid w:val="008C47CA"/>
    <w:rsid w:val="008C4A7B"/>
    <w:rsid w:val="008C4AD7"/>
    <w:rsid w:val="008C5399"/>
    <w:rsid w:val="008C582E"/>
    <w:rsid w:val="008C6478"/>
    <w:rsid w:val="008C6F1D"/>
    <w:rsid w:val="008C7680"/>
    <w:rsid w:val="008C7996"/>
    <w:rsid w:val="008C7AB2"/>
    <w:rsid w:val="008D0512"/>
    <w:rsid w:val="008D0843"/>
    <w:rsid w:val="008D0EA8"/>
    <w:rsid w:val="008D21BA"/>
    <w:rsid w:val="008D3C7D"/>
    <w:rsid w:val="008D3FB5"/>
    <w:rsid w:val="008D4330"/>
    <w:rsid w:val="008D4918"/>
    <w:rsid w:val="008D49FA"/>
    <w:rsid w:val="008D5590"/>
    <w:rsid w:val="008D6346"/>
    <w:rsid w:val="008D646A"/>
    <w:rsid w:val="008D7885"/>
    <w:rsid w:val="008D7DF6"/>
    <w:rsid w:val="008D7F38"/>
    <w:rsid w:val="008E0EC6"/>
    <w:rsid w:val="008E1B9A"/>
    <w:rsid w:val="008E2B7D"/>
    <w:rsid w:val="008E2C40"/>
    <w:rsid w:val="008E302A"/>
    <w:rsid w:val="008E4819"/>
    <w:rsid w:val="008E5422"/>
    <w:rsid w:val="008E5878"/>
    <w:rsid w:val="008E5C3B"/>
    <w:rsid w:val="008E5DD1"/>
    <w:rsid w:val="008E643E"/>
    <w:rsid w:val="008E646C"/>
    <w:rsid w:val="008E6CD4"/>
    <w:rsid w:val="008E7710"/>
    <w:rsid w:val="008F032C"/>
    <w:rsid w:val="008F0684"/>
    <w:rsid w:val="008F1A7A"/>
    <w:rsid w:val="008F219B"/>
    <w:rsid w:val="008F4BC9"/>
    <w:rsid w:val="008F4D57"/>
    <w:rsid w:val="008F4E08"/>
    <w:rsid w:val="008F502F"/>
    <w:rsid w:val="008F52D6"/>
    <w:rsid w:val="008F7567"/>
    <w:rsid w:val="008F75A0"/>
    <w:rsid w:val="008F79DC"/>
    <w:rsid w:val="008F7E93"/>
    <w:rsid w:val="00900648"/>
    <w:rsid w:val="00901292"/>
    <w:rsid w:val="00902AE3"/>
    <w:rsid w:val="00902F99"/>
    <w:rsid w:val="00902FA2"/>
    <w:rsid w:val="00903640"/>
    <w:rsid w:val="00903832"/>
    <w:rsid w:val="00903931"/>
    <w:rsid w:val="0090467E"/>
    <w:rsid w:val="0090512D"/>
    <w:rsid w:val="00905263"/>
    <w:rsid w:val="009058FE"/>
    <w:rsid w:val="0090601D"/>
    <w:rsid w:val="009061E1"/>
    <w:rsid w:val="009073A4"/>
    <w:rsid w:val="00911C9F"/>
    <w:rsid w:val="0091275E"/>
    <w:rsid w:val="00912ACD"/>
    <w:rsid w:val="00912BE1"/>
    <w:rsid w:val="00912D43"/>
    <w:rsid w:val="00912E48"/>
    <w:rsid w:val="00912F75"/>
    <w:rsid w:val="009135E0"/>
    <w:rsid w:val="00913CA8"/>
    <w:rsid w:val="00913FB5"/>
    <w:rsid w:val="0091443A"/>
    <w:rsid w:val="00914494"/>
    <w:rsid w:val="009145A2"/>
    <w:rsid w:val="009153F8"/>
    <w:rsid w:val="00915AE2"/>
    <w:rsid w:val="00916730"/>
    <w:rsid w:val="00916E05"/>
    <w:rsid w:val="009170F0"/>
    <w:rsid w:val="00917282"/>
    <w:rsid w:val="0091729D"/>
    <w:rsid w:val="0092229B"/>
    <w:rsid w:val="009225A8"/>
    <w:rsid w:val="009234D6"/>
    <w:rsid w:val="00924635"/>
    <w:rsid w:val="0092463A"/>
    <w:rsid w:val="00924AB7"/>
    <w:rsid w:val="0092569A"/>
    <w:rsid w:val="009258B1"/>
    <w:rsid w:val="00925CBB"/>
    <w:rsid w:val="00925F6E"/>
    <w:rsid w:val="009261AF"/>
    <w:rsid w:val="00926A4F"/>
    <w:rsid w:val="009271B6"/>
    <w:rsid w:val="009271E8"/>
    <w:rsid w:val="0092722D"/>
    <w:rsid w:val="009272AC"/>
    <w:rsid w:val="009276AC"/>
    <w:rsid w:val="009276B0"/>
    <w:rsid w:val="009279C2"/>
    <w:rsid w:val="00930299"/>
    <w:rsid w:val="009303A4"/>
    <w:rsid w:val="00931007"/>
    <w:rsid w:val="009312B1"/>
    <w:rsid w:val="00931989"/>
    <w:rsid w:val="009319F3"/>
    <w:rsid w:val="00931A50"/>
    <w:rsid w:val="00931AB5"/>
    <w:rsid w:val="0093361B"/>
    <w:rsid w:val="00933FAB"/>
    <w:rsid w:val="00934025"/>
    <w:rsid w:val="00934347"/>
    <w:rsid w:val="00934CC2"/>
    <w:rsid w:val="009355AB"/>
    <w:rsid w:val="009357A9"/>
    <w:rsid w:val="009358DC"/>
    <w:rsid w:val="00936768"/>
    <w:rsid w:val="00936A0C"/>
    <w:rsid w:val="0093713B"/>
    <w:rsid w:val="00937930"/>
    <w:rsid w:val="009379A4"/>
    <w:rsid w:val="009405CF"/>
    <w:rsid w:val="00940D03"/>
    <w:rsid w:val="00940F81"/>
    <w:rsid w:val="009413B3"/>
    <w:rsid w:val="00941434"/>
    <w:rsid w:val="009433F8"/>
    <w:rsid w:val="0094360E"/>
    <w:rsid w:val="00944BD1"/>
    <w:rsid w:val="00944F00"/>
    <w:rsid w:val="00944F99"/>
    <w:rsid w:val="0094542B"/>
    <w:rsid w:val="0094583B"/>
    <w:rsid w:val="00945B44"/>
    <w:rsid w:val="00946336"/>
    <w:rsid w:val="009467C1"/>
    <w:rsid w:val="00946E72"/>
    <w:rsid w:val="009475CD"/>
    <w:rsid w:val="00947657"/>
    <w:rsid w:val="00947D55"/>
    <w:rsid w:val="009501EF"/>
    <w:rsid w:val="009502ED"/>
    <w:rsid w:val="009506E5"/>
    <w:rsid w:val="00950A96"/>
    <w:rsid w:val="0095153A"/>
    <w:rsid w:val="009515DC"/>
    <w:rsid w:val="0095164B"/>
    <w:rsid w:val="009517FE"/>
    <w:rsid w:val="00951F6B"/>
    <w:rsid w:val="0095280D"/>
    <w:rsid w:val="00952C7A"/>
    <w:rsid w:val="00952D7D"/>
    <w:rsid w:val="009532D9"/>
    <w:rsid w:val="00953D32"/>
    <w:rsid w:val="009550F0"/>
    <w:rsid w:val="00955539"/>
    <w:rsid w:val="0095573C"/>
    <w:rsid w:val="00955DFB"/>
    <w:rsid w:val="009566F5"/>
    <w:rsid w:val="00960C71"/>
    <w:rsid w:val="00961298"/>
    <w:rsid w:val="00961D77"/>
    <w:rsid w:val="00962D0A"/>
    <w:rsid w:val="00962DA3"/>
    <w:rsid w:val="009649D2"/>
    <w:rsid w:val="00964E9A"/>
    <w:rsid w:val="00965D43"/>
    <w:rsid w:val="00965D4A"/>
    <w:rsid w:val="00965D5A"/>
    <w:rsid w:val="009662AF"/>
    <w:rsid w:val="00966617"/>
    <w:rsid w:val="00967612"/>
    <w:rsid w:val="009704C8"/>
    <w:rsid w:val="00970A65"/>
    <w:rsid w:val="00970F69"/>
    <w:rsid w:val="009715A5"/>
    <w:rsid w:val="00971634"/>
    <w:rsid w:val="0097163F"/>
    <w:rsid w:val="00971771"/>
    <w:rsid w:val="0097222A"/>
    <w:rsid w:val="009725CB"/>
    <w:rsid w:val="00972611"/>
    <w:rsid w:val="009732C1"/>
    <w:rsid w:val="00973FDF"/>
    <w:rsid w:val="00974290"/>
    <w:rsid w:val="00974EB6"/>
    <w:rsid w:val="0097570D"/>
    <w:rsid w:val="00975F38"/>
    <w:rsid w:val="00976178"/>
    <w:rsid w:val="00976290"/>
    <w:rsid w:val="0097671B"/>
    <w:rsid w:val="0098024A"/>
    <w:rsid w:val="009805C2"/>
    <w:rsid w:val="00980A07"/>
    <w:rsid w:val="00980BBE"/>
    <w:rsid w:val="00980D12"/>
    <w:rsid w:val="0098117D"/>
    <w:rsid w:val="009839D1"/>
    <w:rsid w:val="00984ED5"/>
    <w:rsid w:val="009855F8"/>
    <w:rsid w:val="009859F2"/>
    <w:rsid w:val="00985D3D"/>
    <w:rsid w:val="0098636D"/>
    <w:rsid w:val="00986519"/>
    <w:rsid w:val="0098658E"/>
    <w:rsid w:val="009876AC"/>
    <w:rsid w:val="00987F97"/>
    <w:rsid w:val="00987FAA"/>
    <w:rsid w:val="009906A7"/>
    <w:rsid w:val="00990D57"/>
    <w:rsid w:val="0099151B"/>
    <w:rsid w:val="00991712"/>
    <w:rsid w:val="00991A45"/>
    <w:rsid w:val="00991B6B"/>
    <w:rsid w:val="009926EB"/>
    <w:rsid w:val="009926F8"/>
    <w:rsid w:val="00992CB9"/>
    <w:rsid w:val="00994099"/>
    <w:rsid w:val="00995CB3"/>
    <w:rsid w:val="00995D93"/>
    <w:rsid w:val="00997ECA"/>
    <w:rsid w:val="00997F1E"/>
    <w:rsid w:val="009A004C"/>
    <w:rsid w:val="009A06D8"/>
    <w:rsid w:val="009A1CF9"/>
    <w:rsid w:val="009A1E35"/>
    <w:rsid w:val="009A25B9"/>
    <w:rsid w:val="009A26AD"/>
    <w:rsid w:val="009A2D84"/>
    <w:rsid w:val="009A351B"/>
    <w:rsid w:val="009A3B4E"/>
    <w:rsid w:val="009A3E9D"/>
    <w:rsid w:val="009A3FBA"/>
    <w:rsid w:val="009A517A"/>
    <w:rsid w:val="009A5278"/>
    <w:rsid w:val="009A5792"/>
    <w:rsid w:val="009A582F"/>
    <w:rsid w:val="009A60DD"/>
    <w:rsid w:val="009A6DDF"/>
    <w:rsid w:val="009A7368"/>
    <w:rsid w:val="009A7636"/>
    <w:rsid w:val="009A7B8A"/>
    <w:rsid w:val="009B090E"/>
    <w:rsid w:val="009B113B"/>
    <w:rsid w:val="009B127E"/>
    <w:rsid w:val="009B1B5E"/>
    <w:rsid w:val="009B1FA6"/>
    <w:rsid w:val="009B2F2F"/>
    <w:rsid w:val="009B401C"/>
    <w:rsid w:val="009B5168"/>
    <w:rsid w:val="009B55D5"/>
    <w:rsid w:val="009B59F3"/>
    <w:rsid w:val="009B5C96"/>
    <w:rsid w:val="009B61CF"/>
    <w:rsid w:val="009B61FF"/>
    <w:rsid w:val="009B6C0C"/>
    <w:rsid w:val="009B7448"/>
    <w:rsid w:val="009B7839"/>
    <w:rsid w:val="009B7C99"/>
    <w:rsid w:val="009B7E1A"/>
    <w:rsid w:val="009C0162"/>
    <w:rsid w:val="009C05FF"/>
    <w:rsid w:val="009C14D7"/>
    <w:rsid w:val="009C2CAF"/>
    <w:rsid w:val="009C2F43"/>
    <w:rsid w:val="009C3306"/>
    <w:rsid w:val="009C345F"/>
    <w:rsid w:val="009C3AE8"/>
    <w:rsid w:val="009C3D97"/>
    <w:rsid w:val="009C461C"/>
    <w:rsid w:val="009C4A1E"/>
    <w:rsid w:val="009C630D"/>
    <w:rsid w:val="009C68C3"/>
    <w:rsid w:val="009C77C7"/>
    <w:rsid w:val="009D1680"/>
    <w:rsid w:val="009D1F3B"/>
    <w:rsid w:val="009D27CD"/>
    <w:rsid w:val="009D3C30"/>
    <w:rsid w:val="009D438C"/>
    <w:rsid w:val="009D4493"/>
    <w:rsid w:val="009D4939"/>
    <w:rsid w:val="009D4962"/>
    <w:rsid w:val="009D517F"/>
    <w:rsid w:val="009D5702"/>
    <w:rsid w:val="009D634F"/>
    <w:rsid w:val="009D6648"/>
    <w:rsid w:val="009D66FC"/>
    <w:rsid w:val="009D74C3"/>
    <w:rsid w:val="009D7556"/>
    <w:rsid w:val="009D7AEA"/>
    <w:rsid w:val="009D7F87"/>
    <w:rsid w:val="009D7F9A"/>
    <w:rsid w:val="009E2AA6"/>
    <w:rsid w:val="009E3509"/>
    <w:rsid w:val="009E3667"/>
    <w:rsid w:val="009E3737"/>
    <w:rsid w:val="009E3839"/>
    <w:rsid w:val="009E3E6C"/>
    <w:rsid w:val="009E4395"/>
    <w:rsid w:val="009E4CC2"/>
    <w:rsid w:val="009E53C7"/>
    <w:rsid w:val="009E5769"/>
    <w:rsid w:val="009E5B51"/>
    <w:rsid w:val="009E5D14"/>
    <w:rsid w:val="009E5E40"/>
    <w:rsid w:val="009E6A53"/>
    <w:rsid w:val="009E6BCF"/>
    <w:rsid w:val="009E70E9"/>
    <w:rsid w:val="009E7A40"/>
    <w:rsid w:val="009E7E31"/>
    <w:rsid w:val="009F0176"/>
    <w:rsid w:val="009F1482"/>
    <w:rsid w:val="009F1573"/>
    <w:rsid w:val="009F22EF"/>
    <w:rsid w:val="009F2651"/>
    <w:rsid w:val="009F27FD"/>
    <w:rsid w:val="009F4788"/>
    <w:rsid w:val="009F48F4"/>
    <w:rsid w:val="009F4DB1"/>
    <w:rsid w:val="009F54DC"/>
    <w:rsid w:val="009F5558"/>
    <w:rsid w:val="009F5E45"/>
    <w:rsid w:val="009F5F70"/>
    <w:rsid w:val="009F5FA7"/>
    <w:rsid w:val="009F62E3"/>
    <w:rsid w:val="009F7079"/>
    <w:rsid w:val="009F7547"/>
    <w:rsid w:val="00A01524"/>
    <w:rsid w:val="00A0265D"/>
    <w:rsid w:val="00A02CBE"/>
    <w:rsid w:val="00A03529"/>
    <w:rsid w:val="00A039B2"/>
    <w:rsid w:val="00A03CB0"/>
    <w:rsid w:val="00A03D8A"/>
    <w:rsid w:val="00A04403"/>
    <w:rsid w:val="00A04A3C"/>
    <w:rsid w:val="00A04AD1"/>
    <w:rsid w:val="00A04EF6"/>
    <w:rsid w:val="00A05CFC"/>
    <w:rsid w:val="00A063AB"/>
    <w:rsid w:val="00A06445"/>
    <w:rsid w:val="00A06510"/>
    <w:rsid w:val="00A06784"/>
    <w:rsid w:val="00A06D53"/>
    <w:rsid w:val="00A06DCA"/>
    <w:rsid w:val="00A07567"/>
    <w:rsid w:val="00A10ABC"/>
    <w:rsid w:val="00A10B5B"/>
    <w:rsid w:val="00A11730"/>
    <w:rsid w:val="00A117B6"/>
    <w:rsid w:val="00A11E0D"/>
    <w:rsid w:val="00A12552"/>
    <w:rsid w:val="00A127CE"/>
    <w:rsid w:val="00A1284E"/>
    <w:rsid w:val="00A12DE0"/>
    <w:rsid w:val="00A12FCE"/>
    <w:rsid w:val="00A13EAE"/>
    <w:rsid w:val="00A1445B"/>
    <w:rsid w:val="00A14540"/>
    <w:rsid w:val="00A14661"/>
    <w:rsid w:val="00A14781"/>
    <w:rsid w:val="00A152CB"/>
    <w:rsid w:val="00A155FB"/>
    <w:rsid w:val="00A1601E"/>
    <w:rsid w:val="00A16335"/>
    <w:rsid w:val="00A1704F"/>
    <w:rsid w:val="00A174ED"/>
    <w:rsid w:val="00A20AAC"/>
    <w:rsid w:val="00A20E23"/>
    <w:rsid w:val="00A20E46"/>
    <w:rsid w:val="00A2109D"/>
    <w:rsid w:val="00A2128A"/>
    <w:rsid w:val="00A215A3"/>
    <w:rsid w:val="00A21BC5"/>
    <w:rsid w:val="00A22864"/>
    <w:rsid w:val="00A23FAE"/>
    <w:rsid w:val="00A2436A"/>
    <w:rsid w:val="00A24894"/>
    <w:rsid w:val="00A24DFB"/>
    <w:rsid w:val="00A24F08"/>
    <w:rsid w:val="00A25EB5"/>
    <w:rsid w:val="00A26ABF"/>
    <w:rsid w:val="00A26CBB"/>
    <w:rsid w:val="00A3035A"/>
    <w:rsid w:val="00A31ED1"/>
    <w:rsid w:val="00A3298B"/>
    <w:rsid w:val="00A32B49"/>
    <w:rsid w:val="00A32C87"/>
    <w:rsid w:val="00A32E88"/>
    <w:rsid w:val="00A33613"/>
    <w:rsid w:val="00A33B1F"/>
    <w:rsid w:val="00A33EEE"/>
    <w:rsid w:val="00A33F7E"/>
    <w:rsid w:val="00A3494E"/>
    <w:rsid w:val="00A35CD2"/>
    <w:rsid w:val="00A361FD"/>
    <w:rsid w:val="00A363F5"/>
    <w:rsid w:val="00A3695A"/>
    <w:rsid w:val="00A36FAC"/>
    <w:rsid w:val="00A3786F"/>
    <w:rsid w:val="00A40420"/>
    <w:rsid w:val="00A40C41"/>
    <w:rsid w:val="00A40D1F"/>
    <w:rsid w:val="00A41C81"/>
    <w:rsid w:val="00A44199"/>
    <w:rsid w:val="00A443C1"/>
    <w:rsid w:val="00A44524"/>
    <w:rsid w:val="00A44C36"/>
    <w:rsid w:val="00A44DC4"/>
    <w:rsid w:val="00A44F13"/>
    <w:rsid w:val="00A4518A"/>
    <w:rsid w:val="00A451AA"/>
    <w:rsid w:val="00A45205"/>
    <w:rsid w:val="00A4525C"/>
    <w:rsid w:val="00A452C6"/>
    <w:rsid w:val="00A45795"/>
    <w:rsid w:val="00A4581D"/>
    <w:rsid w:val="00A45E9F"/>
    <w:rsid w:val="00A477DA"/>
    <w:rsid w:val="00A47E9A"/>
    <w:rsid w:val="00A47ECF"/>
    <w:rsid w:val="00A50161"/>
    <w:rsid w:val="00A50EEC"/>
    <w:rsid w:val="00A51534"/>
    <w:rsid w:val="00A51BA5"/>
    <w:rsid w:val="00A51C11"/>
    <w:rsid w:val="00A51E45"/>
    <w:rsid w:val="00A52736"/>
    <w:rsid w:val="00A535C6"/>
    <w:rsid w:val="00A53742"/>
    <w:rsid w:val="00A53A8A"/>
    <w:rsid w:val="00A53D63"/>
    <w:rsid w:val="00A5402E"/>
    <w:rsid w:val="00A5477C"/>
    <w:rsid w:val="00A548D8"/>
    <w:rsid w:val="00A54D3D"/>
    <w:rsid w:val="00A54FAE"/>
    <w:rsid w:val="00A551D6"/>
    <w:rsid w:val="00A55B5A"/>
    <w:rsid w:val="00A55F92"/>
    <w:rsid w:val="00A5669C"/>
    <w:rsid w:val="00A56E7D"/>
    <w:rsid w:val="00A57546"/>
    <w:rsid w:val="00A5792F"/>
    <w:rsid w:val="00A60263"/>
    <w:rsid w:val="00A60C6B"/>
    <w:rsid w:val="00A62E98"/>
    <w:rsid w:val="00A63530"/>
    <w:rsid w:val="00A64026"/>
    <w:rsid w:val="00A64EF1"/>
    <w:rsid w:val="00A6502F"/>
    <w:rsid w:val="00A65386"/>
    <w:rsid w:val="00A65533"/>
    <w:rsid w:val="00A65785"/>
    <w:rsid w:val="00A6647B"/>
    <w:rsid w:val="00A66B5B"/>
    <w:rsid w:val="00A67C3E"/>
    <w:rsid w:val="00A70860"/>
    <w:rsid w:val="00A7126F"/>
    <w:rsid w:val="00A71DF0"/>
    <w:rsid w:val="00A7224D"/>
    <w:rsid w:val="00A728EB"/>
    <w:rsid w:val="00A73969"/>
    <w:rsid w:val="00A7551D"/>
    <w:rsid w:val="00A759B5"/>
    <w:rsid w:val="00A76861"/>
    <w:rsid w:val="00A7713E"/>
    <w:rsid w:val="00A77456"/>
    <w:rsid w:val="00A779DF"/>
    <w:rsid w:val="00A818ED"/>
    <w:rsid w:val="00A8218C"/>
    <w:rsid w:val="00A82710"/>
    <w:rsid w:val="00A82927"/>
    <w:rsid w:val="00A8337A"/>
    <w:rsid w:val="00A8380D"/>
    <w:rsid w:val="00A83B5D"/>
    <w:rsid w:val="00A84984"/>
    <w:rsid w:val="00A860E3"/>
    <w:rsid w:val="00A86573"/>
    <w:rsid w:val="00A87454"/>
    <w:rsid w:val="00A8763F"/>
    <w:rsid w:val="00A90E9D"/>
    <w:rsid w:val="00A91142"/>
    <w:rsid w:val="00A9150E"/>
    <w:rsid w:val="00A91A51"/>
    <w:rsid w:val="00A9209F"/>
    <w:rsid w:val="00A92EA8"/>
    <w:rsid w:val="00A932EE"/>
    <w:rsid w:val="00A93454"/>
    <w:rsid w:val="00A9380F"/>
    <w:rsid w:val="00A938DC"/>
    <w:rsid w:val="00A93AA7"/>
    <w:rsid w:val="00A93B8B"/>
    <w:rsid w:val="00A94077"/>
    <w:rsid w:val="00A9436A"/>
    <w:rsid w:val="00A9481D"/>
    <w:rsid w:val="00A94A3B"/>
    <w:rsid w:val="00A957D3"/>
    <w:rsid w:val="00A96320"/>
    <w:rsid w:val="00A96583"/>
    <w:rsid w:val="00A96945"/>
    <w:rsid w:val="00A96D1A"/>
    <w:rsid w:val="00A96D4A"/>
    <w:rsid w:val="00A97456"/>
    <w:rsid w:val="00A97D6D"/>
    <w:rsid w:val="00AA0689"/>
    <w:rsid w:val="00AA1414"/>
    <w:rsid w:val="00AA17AE"/>
    <w:rsid w:val="00AA1A2C"/>
    <w:rsid w:val="00AA1EC2"/>
    <w:rsid w:val="00AA2B18"/>
    <w:rsid w:val="00AA3674"/>
    <w:rsid w:val="00AA3958"/>
    <w:rsid w:val="00AA3BA1"/>
    <w:rsid w:val="00AA3F33"/>
    <w:rsid w:val="00AA459A"/>
    <w:rsid w:val="00AA5ABC"/>
    <w:rsid w:val="00AA5FD2"/>
    <w:rsid w:val="00AA66EC"/>
    <w:rsid w:val="00AA692F"/>
    <w:rsid w:val="00AA7409"/>
    <w:rsid w:val="00AA76B6"/>
    <w:rsid w:val="00AA7C14"/>
    <w:rsid w:val="00AA7D3D"/>
    <w:rsid w:val="00AB00E2"/>
    <w:rsid w:val="00AB0256"/>
    <w:rsid w:val="00AB0406"/>
    <w:rsid w:val="00AB1A1D"/>
    <w:rsid w:val="00AB280A"/>
    <w:rsid w:val="00AB29E6"/>
    <w:rsid w:val="00AB3887"/>
    <w:rsid w:val="00AB3EFF"/>
    <w:rsid w:val="00AB4226"/>
    <w:rsid w:val="00AB47CD"/>
    <w:rsid w:val="00AB60CF"/>
    <w:rsid w:val="00AB62A3"/>
    <w:rsid w:val="00AB781A"/>
    <w:rsid w:val="00AB7C1C"/>
    <w:rsid w:val="00AB7C5A"/>
    <w:rsid w:val="00AC03CB"/>
    <w:rsid w:val="00AC0B22"/>
    <w:rsid w:val="00AC13DC"/>
    <w:rsid w:val="00AC1A38"/>
    <w:rsid w:val="00AC1CE8"/>
    <w:rsid w:val="00AC2211"/>
    <w:rsid w:val="00AC2329"/>
    <w:rsid w:val="00AC27FF"/>
    <w:rsid w:val="00AC3185"/>
    <w:rsid w:val="00AC3969"/>
    <w:rsid w:val="00AC3CCE"/>
    <w:rsid w:val="00AC3FE7"/>
    <w:rsid w:val="00AC42F8"/>
    <w:rsid w:val="00AC46BF"/>
    <w:rsid w:val="00AC5179"/>
    <w:rsid w:val="00AC56DC"/>
    <w:rsid w:val="00AC5869"/>
    <w:rsid w:val="00AC7060"/>
    <w:rsid w:val="00AC7334"/>
    <w:rsid w:val="00AC765E"/>
    <w:rsid w:val="00AD13DF"/>
    <w:rsid w:val="00AD1793"/>
    <w:rsid w:val="00AD1A4F"/>
    <w:rsid w:val="00AD288B"/>
    <w:rsid w:val="00AD2C37"/>
    <w:rsid w:val="00AD2DFA"/>
    <w:rsid w:val="00AD43DC"/>
    <w:rsid w:val="00AD4E00"/>
    <w:rsid w:val="00AD51BA"/>
    <w:rsid w:val="00AD534E"/>
    <w:rsid w:val="00AD5357"/>
    <w:rsid w:val="00AD579D"/>
    <w:rsid w:val="00AD5D16"/>
    <w:rsid w:val="00AD6677"/>
    <w:rsid w:val="00AD6743"/>
    <w:rsid w:val="00AD6D97"/>
    <w:rsid w:val="00AE04AB"/>
    <w:rsid w:val="00AE11E2"/>
    <w:rsid w:val="00AE11FD"/>
    <w:rsid w:val="00AE1652"/>
    <w:rsid w:val="00AE17F1"/>
    <w:rsid w:val="00AE1A46"/>
    <w:rsid w:val="00AE1AC5"/>
    <w:rsid w:val="00AE20D4"/>
    <w:rsid w:val="00AE35CF"/>
    <w:rsid w:val="00AE3ABA"/>
    <w:rsid w:val="00AE3E60"/>
    <w:rsid w:val="00AE5FB3"/>
    <w:rsid w:val="00AE657E"/>
    <w:rsid w:val="00AE7376"/>
    <w:rsid w:val="00AE7AA8"/>
    <w:rsid w:val="00AF0A72"/>
    <w:rsid w:val="00AF0F5C"/>
    <w:rsid w:val="00AF16CA"/>
    <w:rsid w:val="00AF1907"/>
    <w:rsid w:val="00AF1E10"/>
    <w:rsid w:val="00AF205F"/>
    <w:rsid w:val="00AF2186"/>
    <w:rsid w:val="00AF307E"/>
    <w:rsid w:val="00AF3BF5"/>
    <w:rsid w:val="00AF413F"/>
    <w:rsid w:val="00AF4570"/>
    <w:rsid w:val="00AF5DAE"/>
    <w:rsid w:val="00AF5F7B"/>
    <w:rsid w:val="00AF6932"/>
    <w:rsid w:val="00AF7773"/>
    <w:rsid w:val="00AF7928"/>
    <w:rsid w:val="00AF7B27"/>
    <w:rsid w:val="00B00734"/>
    <w:rsid w:val="00B0084C"/>
    <w:rsid w:val="00B011BA"/>
    <w:rsid w:val="00B01604"/>
    <w:rsid w:val="00B01D38"/>
    <w:rsid w:val="00B020F9"/>
    <w:rsid w:val="00B02342"/>
    <w:rsid w:val="00B02F5D"/>
    <w:rsid w:val="00B03A28"/>
    <w:rsid w:val="00B03E07"/>
    <w:rsid w:val="00B04170"/>
    <w:rsid w:val="00B046B2"/>
    <w:rsid w:val="00B04B64"/>
    <w:rsid w:val="00B05092"/>
    <w:rsid w:val="00B0510F"/>
    <w:rsid w:val="00B056A8"/>
    <w:rsid w:val="00B0580F"/>
    <w:rsid w:val="00B05CD3"/>
    <w:rsid w:val="00B05D5F"/>
    <w:rsid w:val="00B060E1"/>
    <w:rsid w:val="00B06120"/>
    <w:rsid w:val="00B0636F"/>
    <w:rsid w:val="00B06DE1"/>
    <w:rsid w:val="00B072DF"/>
    <w:rsid w:val="00B07742"/>
    <w:rsid w:val="00B07AA8"/>
    <w:rsid w:val="00B11B03"/>
    <w:rsid w:val="00B1220B"/>
    <w:rsid w:val="00B12B5B"/>
    <w:rsid w:val="00B13866"/>
    <w:rsid w:val="00B142BB"/>
    <w:rsid w:val="00B14583"/>
    <w:rsid w:val="00B14709"/>
    <w:rsid w:val="00B14DD4"/>
    <w:rsid w:val="00B14ED7"/>
    <w:rsid w:val="00B14F72"/>
    <w:rsid w:val="00B15032"/>
    <w:rsid w:val="00B15B03"/>
    <w:rsid w:val="00B16245"/>
    <w:rsid w:val="00B16CE7"/>
    <w:rsid w:val="00B176DB"/>
    <w:rsid w:val="00B178C8"/>
    <w:rsid w:val="00B17F73"/>
    <w:rsid w:val="00B201DF"/>
    <w:rsid w:val="00B20B7E"/>
    <w:rsid w:val="00B217B2"/>
    <w:rsid w:val="00B21C03"/>
    <w:rsid w:val="00B221E6"/>
    <w:rsid w:val="00B22489"/>
    <w:rsid w:val="00B22B59"/>
    <w:rsid w:val="00B22ECD"/>
    <w:rsid w:val="00B233F8"/>
    <w:rsid w:val="00B23629"/>
    <w:rsid w:val="00B24300"/>
    <w:rsid w:val="00B24586"/>
    <w:rsid w:val="00B24614"/>
    <w:rsid w:val="00B2470F"/>
    <w:rsid w:val="00B2578C"/>
    <w:rsid w:val="00B26CAE"/>
    <w:rsid w:val="00B27FE8"/>
    <w:rsid w:val="00B3003A"/>
    <w:rsid w:val="00B30290"/>
    <w:rsid w:val="00B31C62"/>
    <w:rsid w:val="00B31D5A"/>
    <w:rsid w:val="00B31F45"/>
    <w:rsid w:val="00B31FB5"/>
    <w:rsid w:val="00B329B3"/>
    <w:rsid w:val="00B32F1B"/>
    <w:rsid w:val="00B33458"/>
    <w:rsid w:val="00B33513"/>
    <w:rsid w:val="00B340E2"/>
    <w:rsid w:val="00B341A1"/>
    <w:rsid w:val="00B3448D"/>
    <w:rsid w:val="00B3487E"/>
    <w:rsid w:val="00B34E2C"/>
    <w:rsid w:val="00B350F8"/>
    <w:rsid w:val="00B3556D"/>
    <w:rsid w:val="00B35840"/>
    <w:rsid w:val="00B3628F"/>
    <w:rsid w:val="00B371BE"/>
    <w:rsid w:val="00B37997"/>
    <w:rsid w:val="00B37BB8"/>
    <w:rsid w:val="00B4010A"/>
    <w:rsid w:val="00B4055B"/>
    <w:rsid w:val="00B4096D"/>
    <w:rsid w:val="00B4128B"/>
    <w:rsid w:val="00B41929"/>
    <w:rsid w:val="00B41DBB"/>
    <w:rsid w:val="00B42A8C"/>
    <w:rsid w:val="00B42C67"/>
    <w:rsid w:val="00B43217"/>
    <w:rsid w:val="00B43598"/>
    <w:rsid w:val="00B438BA"/>
    <w:rsid w:val="00B440DA"/>
    <w:rsid w:val="00B44917"/>
    <w:rsid w:val="00B44966"/>
    <w:rsid w:val="00B44E94"/>
    <w:rsid w:val="00B45C0F"/>
    <w:rsid w:val="00B461A4"/>
    <w:rsid w:val="00B46C6A"/>
    <w:rsid w:val="00B46CBE"/>
    <w:rsid w:val="00B474A5"/>
    <w:rsid w:val="00B516A0"/>
    <w:rsid w:val="00B516D4"/>
    <w:rsid w:val="00B51713"/>
    <w:rsid w:val="00B51AA8"/>
    <w:rsid w:val="00B52554"/>
    <w:rsid w:val="00B52AA6"/>
    <w:rsid w:val="00B52BF4"/>
    <w:rsid w:val="00B530DE"/>
    <w:rsid w:val="00B53C35"/>
    <w:rsid w:val="00B5414C"/>
    <w:rsid w:val="00B54814"/>
    <w:rsid w:val="00B557C8"/>
    <w:rsid w:val="00B55DCB"/>
    <w:rsid w:val="00B55F50"/>
    <w:rsid w:val="00B56339"/>
    <w:rsid w:val="00B563D7"/>
    <w:rsid w:val="00B5648E"/>
    <w:rsid w:val="00B570C2"/>
    <w:rsid w:val="00B575B8"/>
    <w:rsid w:val="00B57AE7"/>
    <w:rsid w:val="00B57C2C"/>
    <w:rsid w:val="00B60B8F"/>
    <w:rsid w:val="00B61665"/>
    <w:rsid w:val="00B61E02"/>
    <w:rsid w:val="00B6211E"/>
    <w:rsid w:val="00B63060"/>
    <w:rsid w:val="00B6324A"/>
    <w:rsid w:val="00B63954"/>
    <w:rsid w:val="00B63CA8"/>
    <w:rsid w:val="00B646C0"/>
    <w:rsid w:val="00B64E0C"/>
    <w:rsid w:val="00B659FD"/>
    <w:rsid w:val="00B65E9D"/>
    <w:rsid w:val="00B66974"/>
    <w:rsid w:val="00B66C10"/>
    <w:rsid w:val="00B674B6"/>
    <w:rsid w:val="00B67928"/>
    <w:rsid w:val="00B70BFE"/>
    <w:rsid w:val="00B736FA"/>
    <w:rsid w:val="00B73CF2"/>
    <w:rsid w:val="00B73D65"/>
    <w:rsid w:val="00B74105"/>
    <w:rsid w:val="00B74A71"/>
    <w:rsid w:val="00B75D1B"/>
    <w:rsid w:val="00B7690B"/>
    <w:rsid w:val="00B76F64"/>
    <w:rsid w:val="00B76FE9"/>
    <w:rsid w:val="00B7701F"/>
    <w:rsid w:val="00B7710C"/>
    <w:rsid w:val="00B77CE9"/>
    <w:rsid w:val="00B80747"/>
    <w:rsid w:val="00B808D8"/>
    <w:rsid w:val="00B8092C"/>
    <w:rsid w:val="00B80C2E"/>
    <w:rsid w:val="00B81132"/>
    <w:rsid w:val="00B81294"/>
    <w:rsid w:val="00B8164C"/>
    <w:rsid w:val="00B8192E"/>
    <w:rsid w:val="00B8218C"/>
    <w:rsid w:val="00B82371"/>
    <w:rsid w:val="00B83113"/>
    <w:rsid w:val="00B84795"/>
    <w:rsid w:val="00B84972"/>
    <w:rsid w:val="00B85739"/>
    <w:rsid w:val="00B86542"/>
    <w:rsid w:val="00B867DC"/>
    <w:rsid w:val="00B86BCF"/>
    <w:rsid w:val="00B871B4"/>
    <w:rsid w:val="00B8761B"/>
    <w:rsid w:val="00B879FA"/>
    <w:rsid w:val="00B87A7D"/>
    <w:rsid w:val="00B87D6C"/>
    <w:rsid w:val="00B903DA"/>
    <w:rsid w:val="00B91176"/>
    <w:rsid w:val="00B9129F"/>
    <w:rsid w:val="00B91409"/>
    <w:rsid w:val="00B9162F"/>
    <w:rsid w:val="00B917C5"/>
    <w:rsid w:val="00B92F9D"/>
    <w:rsid w:val="00B9349A"/>
    <w:rsid w:val="00B93D1E"/>
    <w:rsid w:val="00B93E68"/>
    <w:rsid w:val="00B9446D"/>
    <w:rsid w:val="00B954A7"/>
    <w:rsid w:val="00B95B3C"/>
    <w:rsid w:val="00B95F60"/>
    <w:rsid w:val="00B95FB7"/>
    <w:rsid w:val="00B970D3"/>
    <w:rsid w:val="00B97803"/>
    <w:rsid w:val="00B97B03"/>
    <w:rsid w:val="00BA0FE9"/>
    <w:rsid w:val="00BA1A1C"/>
    <w:rsid w:val="00BA205B"/>
    <w:rsid w:val="00BA23AB"/>
    <w:rsid w:val="00BA2875"/>
    <w:rsid w:val="00BA28EF"/>
    <w:rsid w:val="00BA3156"/>
    <w:rsid w:val="00BA321D"/>
    <w:rsid w:val="00BA36C4"/>
    <w:rsid w:val="00BA38B1"/>
    <w:rsid w:val="00BA3FB0"/>
    <w:rsid w:val="00BA4A21"/>
    <w:rsid w:val="00BA502F"/>
    <w:rsid w:val="00BA53B6"/>
    <w:rsid w:val="00BA5947"/>
    <w:rsid w:val="00BA698D"/>
    <w:rsid w:val="00BA7914"/>
    <w:rsid w:val="00BA7FCA"/>
    <w:rsid w:val="00BB0368"/>
    <w:rsid w:val="00BB1B0A"/>
    <w:rsid w:val="00BB2084"/>
    <w:rsid w:val="00BB26A3"/>
    <w:rsid w:val="00BB29DA"/>
    <w:rsid w:val="00BB37E8"/>
    <w:rsid w:val="00BB3886"/>
    <w:rsid w:val="00BB3C70"/>
    <w:rsid w:val="00BB3F39"/>
    <w:rsid w:val="00BB524D"/>
    <w:rsid w:val="00BB53A2"/>
    <w:rsid w:val="00BB5504"/>
    <w:rsid w:val="00BB5FD9"/>
    <w:rsid w:val="00BB60B3"/>
    <w:rsid w:val="00BB6C2B"/>
    <w:rsid w:val="00BB6D19"/>
    <w:rsid w:val="00BB6E46"/>
    <w:rsid w:val="00BB7447"/>
    <w:rsid w:val="00BB763E"/>
    <w:rsid w:val="00BB765B"/>
    <w:rsid w:val="00BB7B3A"/>
    <w:rsid w:val="00BB7C84"/>
    <w:rsid w:val="00BB7D26"/>
    <w:rsid w:val="00BC01C5"/>
    <w:rsid w:val="00BC0ED7"/>
    <w:rsid w:val="00BC0FD0"/>
    <w:rsid w:val="00BC162D"/>
    <w:rsid w:val="00BC213B"/>
    <w:rsid w:val="00BC279C"/>
    <w:rsid w:val="00BC28A0"/>
    <w:rsid w:val="00BC33DA"/>
    <w:rsid w:val="00BC3610"/>
    <w:rsid w:val="00BC4E99"/>
    <w:rsid w:val="00BC4EB1"/>
    <w:rsid w:val="00BC52B6"/>
    <w:rsid w:val="00BC5A4A"/>
    <w:rsid w:val="00BC65B6"/>
    <w:rsid w:val="00BC666A"/>
    <w:rsid w:val="00BC7067"/>
    <w:rsid w:val="00BC76E8"/>
    <w:rsid w:val="00BD1CC1"/>
    <w:rsid w:val="00BD1D72"/>
    <w:rsid w:val="00BD1D77"/>
    <w:rsid w:val="00BD35C0"/>
    <w:rsid w:val="00BD3647"/>
    <w:rsid w:val="00BD3BB2"/>
    <w:rsid w:val="00BD44C1"/>
    <w:rsid w:val="00BD4993"/>
    <w:rsid w:val="00BD4AF6"/>
    <w:rsid w:val="00BD53E5"/>
    <w:rsid w:val="00BD54FA"/>
    <w:rsid w:val="00BD5658"/>
    <w:rsid w:val="00BD5D84"/>
    <w:rsid w:val="00BD681C"/>
    <w:rsid w:val="00BD6CD3"/>
    <w:rsid w:val="00BD6CFC"/>
    <w:rsid w:val="00BD7750"/>
    <w:rsid w:val="00BE0484"/>
    <w:rsid w:val="00BE13CA"/>
    <w:rsid w:val="00BE19E8"/>
    <w:rsid w:val="00BE1C2C"/>
    <w:rsid w:val="00BE1FEE"/>
    <w:rsid w:val="00BE2C83"/>
    <w:rsid w:val="00BE39BD"/>
    <w:rsid w:val="00BE3F1D"/>
    <w:rsid w:val="00BE485C"/>
    <w:rsid w:val="00BE4A65"/>
    <w:rsid w:val="00BE5893"/>
    <w:rsid w:val="00BE5A44"/>
    <w:rsid w:val="00BE7713"/>
    <w:rsid w:val="00BF006C"/>
    <w:rsid w:val="00BF08DC"/>
    <w:rsid w:val="00BF09B4"/>
    <w:rsid w:val="00BF0C08"/>
    <w:rsid w:val="00BF18DC"/>
    <w:rsid w:val="00BF2429"/>
    <w:rsid w:val="00BF2D68"/>
    <w:rsid w:val="00BF30CD"/>
    <w:rsid w:val="00BF32BF"/>
    <w:rsid w:val="00BF3DE3"/>
    <w:rsid w:val="00BF3EE7"/>
    <w:rsid w:val="00BF40AE"/>
    <w:rsid w:val="00BF4BB7"/>
    <w:rsid w:val="00BF4D7C"/>
    <w:rsid w:val="00BF5650"/>
    <w:rsid w:val="00BF565F"/>
    <w:rsid w:val="00BF5F4D"/>
    <w:rsid w:val="00BF64F8"/>
    <w:rsid w:val="00BF7163"/>
    <w:rsid w:val="00BF7AAD"/>
    <w:rsid w:val="00BF7C2D"/>
    <w:rsid w:val="00C0062A"/>
    <w:rsid w:val="00C01B63"/>
    <w:rsid w:val="00C01DCE"/>
    <w:rsid w:val="00C022E7"/>
    <w:rsid w:val="00C02735"/>
    <w:rsid w:val="00C027B1"/>
    <w:rsid w:val="00C02ED0"/>
    <w:rsid w:val="00C03139"/>
    <w:rsid w:val="00C035FB"/>
    <w:rsid w:val="00C037BC"/>
    <w:rsid w:val="00C03C58"/>
    <w:rsid w:val="00C046C5"/>
    <w:rsid w:val="00C0475D"/>
    <w:rsid w:val="00C04820"/>
    <w:rsid w:val="00C04EDE"/>
    <w:rsid w:val="00C05163"/>
    <w:rsid w:val="00C05D3B"/>
    <w:rsid w:val="00C0650B"/>
    <w:rsid w:val="00C06555"/>
    <w:rsid w:val="00C065CF"/>
    <w:rsid w:val="00C0782B"/>
    <w:rsid w:val="00C10213"/>
    <w:rsid w:val="00C10317"/>
    <w:rsid w:val="00C107BE"/>
    <w:rsid w:val="00C11A7B"/>
    <w:rsid w:val="00C12341"/>
    <w:rsid w:val="00C1235C"/>
    <w:rsid w:val="00C12E83"/>
    <w:rsid w:val="00C1328A"/>
    <w:rsid w:val="00C13593"/>
    <w:rsid w:val="00C13A6A"/>
    <w:rsid w:val="00C1435E"/>
    <w:rsid w:val="00C146B6"/>
    <w:rsid w:val="00C147E6"/>
    <w:rsid w:val="00C14806"/>
    <w:rsid w:val="00C14B74"/>
    <w:rsid w:val="00C14CB5"/>
    <w:rsid w:val="00C14DC7"/>
    <w:rsid w:val="00C15138"/>
    <w:rsid w:val="00C159A2"/>
    <w:rsid w:val="00C15A44"/>
    <w:rsid w:val="00C16F08"/>
    <w:rsid w:val="00C20330"/>
    <w:rsid w:val="00C206EC"/>
    <w:rsid w:val="00C2073C"/>
    <w:rsid w:val="00C20A66"/>
    <w:rsid w:val="00C22C3E"/>
    <w:rsid w:val="00C237C7"/>
    <w:rsid w:val="00C23B0A"/>
    <w:rsid w:val="00C23EC3"/>
    <w:rsid w:val="00C24633"/>
    <w:rsid w:val="00C248BA"/>
    <w:rsid w:val="00C25075"/>
    <w:rsid w:val="00C258AD"/>
    <w:rsid w:val="00C25D42"/>
    <w:rsid w:val="00C26440"/>
    <w:rsid w:val="00C264C8"/>
    <w:rsid w:val="00C268CD"/>
    <w:rsid w:val="00C26AD3"/>
    <w:rsid w:val="00C26FAF"/>
    <w:rsid w:val="00C27142"/>
    <w:rsid w:val="00C27D18"/>
    <w:rsid w:val="00C303F4"/>
    <w:rsid w:val="00C308CB"/>
    <w:rsid w:val="00C31ADC"/>
    <w:rsid w:val="00C32CFD"/>
    <w:rsid w:val="00C336C3"/>
    <w:rsid w:val="00C33A54"/>
    <w:rsid w:val="00C34992"/>
    <w:rsid w:val="00C34C19"/>
    <w:rsid w:val="00C34EE0"/>
    <w:rsid w:val="00C350E2"/>
    <w:rsid w:val="00C35489"/>
    <w:rsid w:val="00C35BB5"/>
    <w:rsid w:val="00C35E9A"/>
    <w:rsid w:val="00C36081"/>
    <w:rsid w:val="00C36436"/>
    <w:rsid w:val="00C36D00"/>
    <w:rsid w:val="00C36DC3"/>
    <w:rsid w:val="00C36EF0"/>
    <w:rsid w:val="00C37164"/>
    <w:rsid w:val="00C37251"/>
    <w:rsid w:val="00C37EA0"/>
    <w:rsid w:val="00C4049A"/>
    <w:rsid w:val="00C4073D"/>
    <w:rsid w:val="00C40E51"/>
    <w:rsid w:val="00C41498"/>
    <w:rsid w:val="00C426D2"/>
    <w:rsid w:val="00C42CA0"/>
    <w:rsid w:val="00C43979"/>
    <w:rsid w:val="00C43D1A"/>
    <w:rsid w:val="00C45190"/>
    <w:rsid w:val="00C45C43"/>
    <w:rsid w:val="00C467AB"/>
    <w:rsid w:val="00C46B18"/>
    <w:rsid w:val="00C47256"/>
    <w:rsid w:val="00C51EC3"/>
    <w:rsid w:val="00C521BB"/>
    <w:rsid w:val="00C527C3"/>
    <w:rsid w:val="00C538AB"/>
    <w:rsid w:val="00C53B5B"/>
    <w:rsid w:val="00C5492F"/>
    <w:rsid w:val="00C5498C"/>
    <w:rsid w:val="00C55C68"/>
    <w:rsid w:val="00C55E67"/>
    <w:rsid w:val="00C55FBC"/>
    <w:rsid w:val="00C56CF7"/>
    <w:rsid w:val="00C56DB6"/>
    <w:rsid w:val="00C57EED"/>
    <w:rsid w:val="00C601CB"/>
    <w:rsid w:val="00C606E4"/>
    <w:rsid w:val="00C60908"/>
    <w:rsid w:val="00C60E6A"/>
    <w:rsid w:val="00C61015"/>
    <w:rsid w:val="00C6105A"/>
    <w:rsid w:val="00C610F5"/>
    <w:rsid w:val="00C615DD"/>
    <w:rsid w:val="00C617A4"/>
    <w:rsid w:val="00C62A72"/>
    <w:rsid w:val="00C63288"/>
    <w:rsid w:val="00C639A2"/>
    <w:rsid w:val="00C63DD7"/>
    <w:rsid w:val="00C645C5"/>
    <w:rsid w:val="00C64C91"/>
    <w:rsid w:val="00C65339"/>
    <w:rsid w:val="00C659A9"/>
    <w:rsid w:val="00C66B12"/>
    <w:rsid w:val="00C6715F"/>
    <w:rsid w:val="00C67298"/>
    <w:rsid w:val="00C67825"/>
    <w:rsid w:val="00C67A25"/>
    <w:rsid w:val="00C70471"/>
    <w:rsid w:val="00C70989"/>
    <w:rsid w:val="00C71222"/>
    <w:rsid w:val="00C71A30"/>
    <w:rsid w:val="00C71DC5"/>
    <w:rsid w:val="00C7457F"/>
    <w:rsid w:val="00C74805"/>
    <w:rsid w:val="00C7487B"/>
    <w:rsid w:val="00C755C6"/>
    <w:rsid w:val="00C755EA"/>
    <w:rsid w:val="00C761EC"/>
    <w:rsid w:val="00C76E40"/>
    <w:rsid w:val="00C76E97"/>
    <w:rsid w:val="00C76F28"/>
    <w:rsid w:val="00C77861"/>
    <w:rsid w:val="00C77E26"/>
    <w:rsid w:val="00C77F94"/>
    <w:rsid w:val="00C80AD4"/>
    <w:rsid w:val="00C80BD4"/>
    <w:rsid w:val="00C80C48"/>
    <w:rsid w:val="00C80F26"/>
    <w:rsid w:val="00C81235"/>
    <w:rsid w:val="00C814ED"/>
    <w:rsid w:val="00C819B4"/>
    <w:rsid w:val="00C81E4A"/>
    <w:rsid w:val="00C820F2"/>
    <w:rsid w:val="00C8289C"/>
    <w:rsid w:val="00C83083"/>
    <w:rsid w:val="00C8342C"/>
    <w:rsid w:val="00C840E2"/>
    <w:rsid w:val="00C85FD8"/>
    <w:rsid w:val="00C8682D"/>
    <w:rsid w:val="00C87929"/>
    <w:rsid w:val="00C9224E"/>
    <w:rsid w:val="00C92583"/>
    <w:rsid w:val="00C93A49"/>
    <w:rsid w:val="00C94401"/>
    <w:rsid w:val="00C94450"/>
    <w:rsid w:val="00C94687"/>
    <w:rsid w:val="00C95161"/>
    <w:rsid w:val="00C95665"/>
    <w:rsid w:val="00C958CB"/>
    <w:rsid w:val="00C9747D"/>
    <w:rsid w:val="00C97660"/>
    <w:rsid w:val="00C979DE"/>
    <w:rsid w:val="00C97D86"/>
    <w:rsid w:val="00C97FD9"/>
    <w:rsid w:val="00CA03CE"/>
    <w:rsid w:val="00CA1371"/>
    <w:rsid w:val="00CA1466"/>
    <w:rsid w:val="00CA187D"/>
    <w:rsid w:val="00CA1A0E"/>
    <w:rsid w:val="00CA20F0"/>
    <w:rsid w:val="00CA2910"/>
    <w:rsid w:val="00CA3105"/>
    <w:rsid w:val="00CA45EE"/>
    <w:rsid w:val="00CA4D25"/>
    <w:rsid w:val="00CA6C33"/>
    <w:rsid w:val="00CA7572"/>
    <w:rsid w:val="00CB01A4"/>
    <w:rsid w:val="00CB0AF8"/>
    <w:rsid w:val="00CB122B"/>
    <w:rsid w:val="00CB1A88"/>
    <w:rsid w:val="00CB1E04"/>
    <w:rsid w:val="00CB279D"/>
    <w:rsid w:val="00CB2AAA"/>
    <w:rsid w:val="00CB4276"/>
    <w:rsid w:val="00CB4597"/>
    <w:rsid w:val="00CB5AF5"/>
    <w:rsid w:val="00CB5CCB"/>
    <w:rsid w:val="00CB6C6D"/>
    <w:rsid w:val="00CB7119"/>
    <w:rsid w:val="00CB76D0"/>
    <w:rsid w:val="00CC01C9"/>
    <w:rsid w:val="00CC023E"/>
    <w:rsid w:val="00CC0666"/>
    <w:rsid w:val="00CC0B73"/>
    <w:rsid w:val="00CC0F4C"/>
    <w:rsid w:val="00CC1471"/>
    <w:rsid w:val="00CC1507"/>
    <w:rsid w:val="00CC1528"/>
    <w:rsid w:val="00CC1DC5"/>
    <w:rsid w:val="00CC2064"/>
    <w:rsid w:val="00CC25B5"/>
    <w:rsid w:val="00CC2CDA"/>
    <w:rsid w:val="00CC315D"/>
    <w:rsid w:val="00CC48C4"/>
    <w:rsid w:val="00CC51F9"/>
    <w:rsid w:val="00CC5443"/>
    <w:rsid w:val="00CC5DD3"/>
    <w:rsid w:val="00CC61A7"/>
    <w:rsid w:val="00CC61B2"/>
    <w:rsid w:val="00CC7341"/>
    <w:rsid w:val="00CC76C1"/>
    <w:rsid w:val="00CD026F"/>
    <w:rsid w:val="00CD03CC"/>
    <w:rsid w:val="00CD098D"/>
    <w:rsid w:val="00CD09FD"/>
    <w:rsid w:val="00CD0D79"/>
    <w:rsid w:val="00CD0E18"/>
    <w:rsid w:val="00CD16E6"/>
    <w:rsid w:val="00CD2A83"/>
    <w:rsid w:val="00CD2CB0"/>
    <w:rsid w:val="00CD3270"/>
    <w:rsid w:val="00CD3A45"/>
    <w:rsid w:val="00CD4BD0"/>
    <w:rsid w:val="00CD4E2C"/>
    <w:rsid w:val="00CD539F"/>
    <w:rsid w:val="00CD5DD1"/>
    <w:rsid w:val="00CD7324"/>
    <w:rsid w:val="00CD7330"/>
    <w:rsid w:val="00CD7CAC"/>
    <w:rsid w:val="00CD7E06"/>
    <w:rsid w:val="00CE0AFE"/>
    <w:rsid w:val="00CE25A4"/>
    <w:rsid w:val="00CE3776"/>
    <w:rsid w:val="00CE3B81"/>
    <w:rsid w:val="00CE3BFF"/>
    <w:rsid w:val="00CE42A7"/>
    <w:rsid w:val="00CE4BDC"/>
    <w:rsid w:val="00CE4D7A"/>
    <w:rsid w:val="00CE513F"/>
    <w:rsid w:val="00CE5CC5"/>
    <w:rsid w:val="00CE62A8"/>
    <w:rsid w:val="00CE6E00"/>
    <w:rsid w:val="00CE6F3C"/>
    <w:rsid w:val="00CE7317"/>
    <w:rsid w:val="00CE7698"/>
    <w:rsid w:val="00CE78EC"/>
    <w:rsid w:val="00CF0201"/>
    <w:rsid w:val="00CF0402"/>
    <w:rsid w:val="00CF17C2"/>
    <w:rsid w:val="00CF2956"/>
    <w:rsid w:val="00CF2A90"/>
    <w:rsid w:val="00CF3102"/>
    <w:rsid w:val="00CF3D0B"/>
    <w:rsid w:val="00CF4448"/>
    <w:rsid w:val="00CF45BD"/>
    <w:rsid w:val="00CF4B44"/>
    <w:rsid w:val="00CF54DD"/>
    <w:rsid w:val="00CF56AA"/>
    <w:rsid w:val="00CF59EF"/>
    <w:rsid w:val="00CF68ED"/>
    <w:rsid w:val="00CF73F0"/>
    <w:rsid w:val="00CF7559"/>
    <w:rsid w:val="00CF75BB"/>
    <w:rsid w:val="00CF7825"/>
    <w:rsid w:val="00CF7DD0"/>
    <w:rsid w:val="00D0016D"/>
    <w:rsid w:val="00D00F01"/>
    <w:rsid w:val="00D02628"/>
    <w:rsid w:val="00D0281A"/>
    <w:rsid w:val="00D03A51"/>
    <w:rsid w:val="00D03C63"/>
    <w:rsid w:val="00D0404B"/>
    <w:rsid w:val="00D04722"/>
    <w:rsid w:val="00D054CE"/>
    <w:rsid w:val="00D056F3"/>
    <w:rsid w:val="00D05EAA"/>
    <w:rsid w:val="00D05F3C"/>
    <w:rsid w:val="00D06F7B"/>
    <w:rsid w:val="00D07A35"/>
    <w:rsid w:val="00D07CAF"/>
    <w:rsid w:val="00D10E5F"/>
    <w:rsid w:val="00D113E7"/>
    <w:rsid w:val="00D11981"/>
    <w:rsid w:val="00D11EC6"/>
    <w:rsid w:val="00D12572"/>
    <w:rsid w:val="00D129EE"/>
    <w:rsid w:val="00D1510B"/>
    <w:rsid w:val="00D1559B"/>
    <w:rsid w:val="00D1721B"/>
    <w:rsid w:val="00D1741C"/>
    <w:rsid w:val="00D204A5"/>
    <w:rsid w:val="00D20906"/>
    <w:rsid w:val="00D21D03"/>
    <w:rsid w:val="00D226E7"/>
    <w:rsid w:val="00D22BA7"/>
    <w:rsid w:val="00D2303A"/>
    <w:rsid w:val="00D245D3"/>
    <w:rsid w:val="00D24CF5"/>
    <w:rsid w:val="00D25AAB"/>
    <w:rsid w:val="00D25EFA"/>
    <w:rsid w:val="00D25FDF"/>
    <w:rsid w:val="00D2612A"/>
    <w:rsid w:val="00D26EE2"/>
    <w:rsid w:val="00D27959"/>
    <w:rsid w:val="00D31382"/>
    <w:rsid w:val="00D31E08"/>
    <w:rsid w:val="00D32572"/>
    <w:rsid w:val="00D3260A"/>
    <w:rsid w:val="00D32AAE"/>
    <w:rsid w:val="00D34C29"/>
    <w:rsid w:val="00D35750"/>
    <w:rsid w:val="00D35C04"/>
    <w:rsid w:val="00D35D61"/>
    <w:rsid w:val="00D35F04"/>
    <w:rsid w:val="00D36009"/>
    <w:rsid w:val="00D36CF9"/>
    <w:rsid w:val="00D36FD5"/>
    <w:rsid w:val="00D37482"/>
    <w:rsid w:val="00D402A8"/>
    <w:rsid w:val="00D408D5"/>
    <w:rsid w:val="00D40FAC"/>
    <w:rsid w:val="00D42053"/>
    <w:rsid w:val="00D42964"/>
    <w:rsid w:val="00D42D9A"/>
    <w:rsid w:val="00D4338E"/>
    <w:rsid w:val="00D43760"/>
    <w:rsid w:val="00D43DED"/>
    <w:rsid w:val="00D43DFD"/>
    <w:rsid w:val="00D455ED"/>
    <w:rsid w:val="00D45CA4"/>
    <w:rsid w:val="00D45E13"/>
    <w:rsid w:val="00D464F8"/>
    <w:rsid w:val="00D47331"/>
    <w:rsid w:val="00D4756F"/>
    <w:rsid w:val="00D477E2"/>
    <w:rsid w:val="00D47A0A"/>
    <w:rsid w:val="00D47F62"/>
    <w:rsid w:val="00D50458"/>
    <w:rsid w:val="00D509B4"/>
    <w:rsid w:val="00D51519"/>
    <w:rsid w:val="00D518A8"/>
    <w:rsid w:val="00D519E8"/>
    <w:rsid w:val="00D51A1C"/>
    <w:rsid w:val="00D51C34"/>
    <w:rsid w:val="00D53785"/>
    <w:rsid w:val="00D540B0"/>
    <w:rsid w:val="00D540C4"/>
    <w:rsid w:val="00D54B34"/>
    <w:rsid w:val="00D5556F"/>
    <w:rsid w:val="00D55C51"/>
    <w:rsid w:val="00D56E83"/>
    <w:rsid w:val="00D56F92"/>
    <w:rsid w:val="00D57775"/>
    <w:rsid w:val="00D57844"/>
    <w:rsid w:val="00D5795B"/>
    <w:rsid w:val="00D57ECB"/>
    <w:rsid w:val="00D60070"/>
    <w:rsid w:val="00D62171"/>
    <w:rsid w:val="00D63BF8"/>
    <w:rsid w:val="00D646EE"/>
    <w:rsid w:val="00D64734"/>
    <w:rsid w:val="00D647F6"/>
    <w:rsid w:val="00D64CB5"/>
    <w:rsid w:val="00D65583"/>
    <w:rsid w:val="00D66AB6"/>
    <w:rsid w:val="00D66C9B"/>
    <w:rsid w:val="00D66D45"/>
    <w:rsid w:val="00D66DB3"/>
    <w:rsid w:val="00D66E14"/>
    <w:rsid w:val="00D677DF"/>
    <w:rsid w:val="00D679B2"/>
    <w:rsid w:val="00D67D8A"/>
    <w:rsid w:val="00D67F8D"/>
    <w:rsid w:val="00D7010C"/>
    <w:rsid w:val="00D7063C"/>
    <w:rsid w:val="00D70A0D"/>
    <w:rsid w:val="00D71B89"/>
    <w:rsid w:val="00D71D51"/>
    <w:rsid w:val="00D72C7C"/>
    <w:rsid w:val="00D73327"/>
    <w:rsid w:val="00D73333"/>
    <w:rsid w:val="00D7412C"/>
    <w:rsid w:val="00D775B7"/>
    <w:rsid w:val="00D7798B"/>
    <w:rsid w:val="00D8015C"/>
    <w:rsid w:val="00D80A9B"/>
    <w:rsid w:val="00D810CB"/>
    <w:rsid w:val="00D8168C"/>
    <w:rsid w:val="00D81A68"/>
    <w:rsid w:val="00D82FC3"/>
    <w:rsid w:val="00D838CD"/>
    <w:rsid w:val="00D83B13"/>
    <w:rsid w:val="00D8422B"/>
    <w:rsid w:val="00D84DCF"/>
    <w:rsid w:val="00D855FB"/>
    <w:rsid w:val="00D85847"/>
    <w:rsid w:val="00D861C1"/>
    <w:rsid w:val="00D86ECA"/>
    <w:rsid w:val="00D87995"/>
    <w:rsid w:val="00D9004C"/>
    <w:rsid w:val="00D906A1"/>
    <w:rsid w:val="00D90B12"/>
    <w:rsid w:val="00D916B9"/>
    <w:rsid w:val="00D91F90"/>
    <w:rsid w:val="00D91FDE"/>
    <w:rsid w:val="00D92222"/>
    <w:rsid w:val="00D9255D"/>
    <w:rsid w:val="00D92C73"/>
    <w:rsid w:val="00D93495"/>
    <w:rsid w:val="00D93C5A"/>
    <w:rsid w:val="00D94B94"/>
    <w:rsid w:val="00D94DF1"/>
    <w:rsid w:val="00D94E3F"/>
    <w:rsid w:val="00D955F1"/>
    <w:rsid w:val="00D95C6F"/>
    <w:rsid w:val="00D965BC"/>
    <w:rsid w:val="00D96F1E"/>
    <w:rsid w:val="00D96FB9"/>
    <w:rsid w:val="00D97132"/>
    <w:rsid w:val="00D979FD"/>
    <w:rsid w:val="00D97C93"/>
    <w:rsid w:val="00DA04B6"/>
    <w:rsid w:val="00DA0639"/>
    <w:rsid w:val="00DA06E5"/>
    <w:rsid w:val="00DA0970"/>
    <w:rsid w:val="00DA0E78"/>
    <w:rsid w:val="00DA0ED6"/>
    <w:rsid w:val="00DA1151"/>
    <w:rsid w:val="00DA1469"/>
    <w:rsid w:val="00DA1A54"/>
    <w:rsid w:val="00DA1CDD"/>
    <w:rsid w:val="00DA1DE2"/>
    <w:rsid w:val="00DA2080"/>
    <w:rsid w:val="00DA273D"/>
    <w:rsid w:val="00DA27F9"/>
    <w:rsid w:val="00DA3554"/>
    <w:rsid w:val="00DA35A0"/>
    <w:rsid w:val="00DA4B3D"/>
    <w:rsid w:val="00DA4B59"/>
    <w:rsid w:val="00DA4C23"/>
    <w:rsid w:val="00DA7227"/>
    <w:rsid w:val="00DA7465"/>
    <w:rsid w:val="00DA7B05"/>
    <w:rsid w:val="00DA7DD9"/>
    <w:rsid w:val="00DB030B"/>
    <w:rsid w:val="00DB05E9"/>
    <w:rsid w:val="00DB1000"/>
    <w:rsid w:val="00DB13D4"/>
    <w:rsid w:val="00DB1801"/>
    <w:rsid w:val="00DB22FA"/>
    <w:rsid w:val="00DB237A"/>
    <w:rsid w:val="00DB2B66"/>
    <w:rsid w:val="00DB2FEB"/>
    <w:rsid w:val="00DB3A80"/>
    <w:rsid w:val="00DB3C6E"/>
    <w:rsid w:val="00DB4423"/>
    <w:rsid w:val="00DB4754"/>
    <w:rsid w:val="00DB555C"/>
    <w:rsid w:val="00DB557F"/>
    <w:rsid w:val="00DB566F"/>
    <w:rsid w:val="00DB5A0F"/>
    <w:rsid w:val="00DB605C"/>
    <w:rsid w:val="00DB63EF"/>
    <w:rsid w:val="00DB707F"/>
    <w:rsid w:val="00DC02AB"/>
    <w:rsid w:val="00DC171E"/>
    <w:rsid w:val="00DC25B7"/>
    <w:rsid w:val="00DC2C55"/>
    <w:rsid w:val="00DC2DE8"/>
    <w:rsid w:val="00DC4089"/>
    <w:rsid w:val="00DC4806"/>
    <w:rsid w:val="00DC58E7"/>
    <w:rsid w:val="00DC5A4C"/>
    <w:rsid w:val="00DC67EA"/>
    <w:rsid w:val="00DC6D00"/>
    <w:rsid w:val="00DC7719"/>
    <w:rsid w:val="00DC77B9"/>
    <w:rsid w:val="00DC783F"/>
    <w:rsid w:val="00DC7B90"/>
    <w:rsid w:val="00DD050E"/>
    <w:rsid w:val="00DD0AF9"/>
    <w:rsid w:val="00DD0E83"/>
    <w:rsid w:val="00DD257F"/>
    <w:rsid w:val="00DD313E"/>
    <w:rsid w:val="00DD3954"/>
    <w:rsid w:val="00DD4A85"/>
    <w:rsid w:val="00DD5257"/>
    <w:rsid w:val="00DD5409"/>
    <w:rsid w:val="00DD6320"/>
    <w:rsid w:val="00DD6912"/>
    <w:rsid w:val="00DD7201"/>
    <w:rsid w:val="00DE0265"/>
    <w:rsid w:val="00DE0C7C"/>
    <w:rsid w:val="00DE0EDF"/>
    <w:rsid w:val="00DE0EE4"/>
    <w:rsid w:val="00DE180B"/>
    <w:rsid w:val="00DE3755"/>
    <w:rsid w:val="00DE3A7B"/>
    <w:rsid w:val="00DE3EFB"/>
    <w:rsid w:val="00DE3FD9"/>
    <w:rsid w:val="00DE4580"/>
    <w:rsid w:val="00DE5249"/>
    <w:rsid w:val="00DE5473"/>
    <w:rsid w:val="00DE5F72"/>
    <w:rsid w:val="00DE6EF1"/>
    <w:rsid w:val="00DE737A"/>
    <w:rsid w:val="00DE749A"/>
    <w:rsid w:val="00DE77B1"/>
    <w:rsid w:val="00DE7F55"/>
    <w:rsid w:val="00DE7F85"/>
    <w:rsid w:val="00DF09F9"/>
    <w:rsid w:val="00DF0A97"/>
    <w:rsid w:val="00DF131D"/>
    <w:rsid w:val="00DF166B"/>
    <w:rsid w:val="00DF1778"/>
    <w:rsid w:val="00DF1D01"/>
    <w:rsid w:val="00DF1D6C"/>
    <w:rsid w:val="00DF268B"/>
    <w:rsid w:val="00DF2B50"/>
    <w:rsid w:val="00DF41A4"/>
    <w:rsid w:val="00DF4C1E"/>
    <w:rsid w:val="00DF4ED8"/>
    <w:rsid w:val="00DF4F39"/>
    <w:rsid w:val="00DF504D"/>
    <w:rsid w:val="00DF530A"/>
    <w:rsid w:val="00DF5554"/>
    <w:rsid w:val="00DF613F"/>
    <w:rsid w:val="00DF637B"/>
    <w:rsid w:val="00DF6816"/>
    <w:rsid w:val="00DF70DA"/>
    <w:rsid w:val="00DF737A"/>
    <w:rsid w:val="00E002CF"/>
    <w:rsid w:val="00E0037E"/>
    <w:rsid w:val="00E003BD"/>
    <w:rsid w:val="00E00502"/>
    <w:rsid w:val="00E00692"/>
    <w:rsid w:val="00E00976"/>
    <w:rsid w:val="00E00CD4"/>
    <w:rsid w:val="00E01CB8"/>
    <w:rsid w:val="00E02281"/>
    <w:rsid w:val="00E02B5F"/>
    <w:rsid w:val="00E02FA4"/>
    <w:rsid w:val="00E02FDC"/>
    <w:rsid w:val="00E03C7A"/>
    <w:rsid w:val="00E0439D"/>
    <w:rsid w:val="00E0474E"/>
    <w:rsid w:val="00E056CB"/>
    <w:rsid w:val="00E05C35"/>
    <w:rsid w:val="00E05C4A"/>
    <w:rsid w:val="00E05DF7"/>
    <w:rsid w:val="00E07ED3"/>
    <w:rsid w:val="00E1047F"/>
    <w:rsid w:val="00E11FA9"/>
    <w:rsid w:val="00E123A5"/>
    <w:rsid w:val="00E12D36"/>
    <w:rsid w:val="00E12DD1"/>
    <w:rsid w:val="00E13C05"/>
    <w:rsid w:val="00E13EC7"/>
    <w:rsid w:val="00E14FD3"/>
    <w:rsid w:val="00E15512"/>
    <w:rsid w:val="00E1577B"/>
    <w:rsid w:val="00E1584C"/>
    <w:rsid w:val="00E179F9"/>
    <w:rsid w:val="00E2009D"/>
    <w:rsid w:val="00E2079B"/>
    <w:rsid w:val="00E209FD"/>
    <w:rsid w:val="00E20FEC"/>
    <w:rsid w:val="00E22B51"/>
    <w:rsid w:val="00E23050"/>
    <w:rsid w:val="00E2387A"/>
    <w:rsid w:val="00E23A15"/>
    <w:rsid w:val="00E24EA1"/>
    <w:rsid w:val="00E25A07"/>
    <w:rsid w:val="00E25A95"/>
    <w:rsid w:val="00E26C36"/>
    <w:rsid w:val="00E27FEC"/>
    <w:rsid w:val="00E30B73"/>
    <w:rsid w:val="00E30D3E"/>
    <w:rsid w:val="00E30EB9"/>
    <w:rsid w:val="00E3131D"/>
    <w:rsid w:val="00E31564"/>
    <w:rsid w:val="00E31CFA"/>
    <w:rsid w:val="00E32460"/>
    <w:rsid w:val="00E325F6"/>
    <w:rsid w:val="00E33760"/>
    <w:rsid w:val="00E337B6"/>
    <w:rsid w:val="00E33E0C"/>
    <w:rsid w:val="00E35054"/>
    <w:rsid w:val="00E359D7"/>
    <w:rsid w:val="00E35AE6"/>
    <w:rsid w:val="00E35BAC"/>
    <w:rsid w:val="00E3642F"/>
    <w:rsid w:val="00E36FFE"/>
    <w:rsid w:val="00E37130"/>
    <w:rsid w:val="00E37293"/>
    <w:rsid w:val="00E3787C"/>
    <w:rsid w:val="00E37EEB"/>
    <w:rsid w:val="00E4036F"/>
    <w:rsid w:val="00E406BD"/>
    <w:rsid w:val="00E40B32"/>
    <w:rsid w:val="00E4128D"/>
    <w:rsid w:val="00E419E6"/>
    <w:rsid w:val="00E41DAA"/>
    <w:rsid w:val="00E42A12"/>
    <w:rsid w:val="00E434D5"/>
    <w:rsid w:val="00E4386D"/>
    <w:rsid w:val="00E43A41"/>
    <w:rsid w:val="00E44430"/>
    <w:rsid w:val="00E444D2"/>
    <w:rsid w:val="00E44B29"/>
    <w:rsid w:val="00E455FF"/>
    <w:rsid w:val="00E45637"/>
    <w:rsid w:val="00E45B71"/>
    <w:rsid w:val="00E45C38"/>
    <w:rsid w:val="00E46019"/>
    <w:rsid w:val="00E46B63"/>
    <w:rsid w:val="00E46C50"/>
    <w:rsid w:val="00E4774E"/>
    <w:rsid w:val="00E50991"/>
    <w:rsid w:val="00E515E1"/>
    <w:rsid w:val="00E51DFF"/>
    <w:rsid w:val="00E5250C"/>
    <w:rsid w:val="00E52606"/>
    <w:rsid w:val="00E52C63"/>
    <w:rsid w:val="00E52CAD"/>
    <w:rsid w:val="00E52F96"/>
    <w:rsid w:val="00E53C5D"/>
    <w:rsid w:val="00E53FA6"/>
    <w:rsid w:val="00E5410B"/>
    <w:rsid w:val="00E544ED"/>
    <w:rsid w:val="00E546BA"/>
    <w:rsid w:val="00E5511D"/>
    <w:rsid w:val="00E55E7F"/>
    <w:rsid w:val="00E563B0"/>
    <w:rsid w:val="00E56683"/>
    <w:rsid w:val="00E56D2E"/>
    <w:rsid w:val="00E57128"/>
    <w:rsid w:val="00E572BC"/>
    <w:rsid w:val="00E607EB"/>
    <w:rsid w:val="00E60BC6"/>
    <w:rsid w:val="00E612DC"/>
    <w:rsid w:val="00E62C38"/>
    <w:rsid w:val="00E62E5B"/>
    <w:rsid w:val="00E63CC5"/>
    <w:rsid w:val="00E642F1"/>
    <w:rsid w:val="00E64742"/>
    <w:rsid w:val="00E65429"/>
    <w:rsid w:val="00E65843"/>
    <w:rsid w:val="00E65982"/>
    <w:rsid w:val="00E65C1F"/>
    <w:rsid w:val="00E66329"/>
    <w:rsid w:val="00E664C4"/>
    <w:rsid w:val="00E66610"/>
    <w:rsid w:val="00E66937"/>
    <w:rsid w:val="00E66F43"/>
    <w:rsid w:val="00E671AF"/>
    <w:rsid w:val="00E67200"/>
    <w:rsid w:val="00E67B24"/>
    <w:rsid w:val="00E706B1"/>
    <w:rsid w:val="00E70A3F"/>
    <w:rsid w:val="00E70A57"/>
    <w:rsid w:val="00E70F18"/>
    <w:rsid w:val="00E711A5"/>
    <w:rsid w:val="00E71236"/>
    <w:rsid w:val="00E7146B"/>
    <w:rsid w:val="00E7156B"/>
    <w:rsid w:val="00E717A6"/>
    <w:rsid w:val="00E71C0A"/>
    <w:rsid w:val="00E71F13"/>
    <w:rsid w:val="00E71F95"/>
    <w:rsid w:val="00E723E6"/>
    <w:rsid w:val="00E7247A"/>
    <w:rsid w:val="00E7271C"/>
    <w:rsid w:val="00E72F9C"/>
    <w:rsid w:val="00E730C8"/>
    <w:rsid w:val="00E732A1"/>
    <w:rsid w:val="00E73D49"/>
    <w:rsid w:val="00E73DB1"/>
    <w:rsid w:val="00E74346"/>
    <w:rsid w:val="00E7456C"/>
    <w:rsid w:val="00E74E45"/>
    <w:rsid w:val="00E750E3"/>
    <w:rsid w:val="00E75231"/>
    <w:rsid w:val="00E75D40"/>
    <w:rsid w:val="00E75E40"/>
    <w:rsid w:val="00E75E4C"/>
    <w:rsid w:val="00E76E97"/>
    <w:rsid w:val="00E7713D"/>
    <w:rsid w:val="00E77987"/>
    <w:rsid w:val="00E779B1"/>
    <w:rsid w:val="00E80FAF"/>
    <w:rsid w:val="00E81CFF"/>
    <w:rsid w:val="00E821B8"/>
    <w:rsid w:val="00E821EF"/>
    <w:rsid w:val="00E8314F"/>
    <w:rsid w:val="00E8432D"/>
    <w:rsid w:val="00E85161"/>
    <w:rsid w:val="00E8592A"/>
    <w:rsid w:val="00E85C2B"/>
    <w:rsid w:val="00E85EB8"/>
    <w:rsid w:val="00E86907"/>
    <w:rsid w:val="00E8720A"/>
    <w:rsid w:val="00E872B4"/>
    <w:rsid w:val="00E87912"/>
    <w:rsid w:val="00E905CB"/>
    <w:rsid w:val="00E909A6"/>
    <w:rsid w:val="00E90B42"/>
    <w:rsid w:val="00E90FD7"/>
    <w:rsid w:val="00E91561"/>
    <w:rsid w:val="00E93214"/>
    <w:rsid w:val="00E9341F"/>
    <w:rsid w:val="00E93606"/>
    <w:rsid w:val="00E93F64"/>
    <w:rsid w:val="00E94443"/>
    <w:rsid w:val="00E947FC"/>
    <w:rsid w:val="00E95899"/>
    <w:rsid w:val="00E95DB8"/>
    <w:rsid w:val="00E9638F"/>
    <w:rsid w:val="00E9724A"/>
    <w:rsid w:val="00E97CD8"/>
    <w:rsid w:val="00EA0A28"/>
    <w:rsid w:val="00EA1950"/>
    <w:rsid w:val="00EA1F2A"/>
    <w:rsid w:val="00EA2491"/>
    <w:rsid w:val="00EA2BC4"/>
    <w:rsid w:val="00EA2C8B"/>
    <w:rsid w:val="00EA2E85"/>
    <w:rsid w:val="00EA39DE"/>
    <w:rsid w:val="00EA4444"/>
    <w:rsid w:val="00EA472C"/>
    <w:rsid w:val="00EA54AC"/>
    <w:rsid w:val="00EA57D1"/>
    <w:rsid w:val="00EA5893"/>
    <w:rsid w:val="00EA6A6E"/>
    <w:rsid w:val="00EA6AF7"/>
    <w:rsid w:val="00EA7A32"/>
    <w:rsid w:val="00EA7B10"/>
    <w:rsid w:val="00EB0B94"/>
    <w:rsid w:val="00EB0FB8"/>
    <w:rsid w:val="00EB21F9"/>
    <w:rsid w:val="00EB24EF"/>
    <w:rsid w:val="00EB26E5"/>
    <w:rsid w:val="00EB28B9"/>
    <w:rsid w:val="00EB2D35"/>
    <w:rsid w:val="00EB2E3F"/>
    <w:rsid w:val="00EB31DE"/>
    <w:rsid w:val="00EB3524"/>
    <w:rsid w:val="00EB38FA"/>
    <w:rsid w:val="00EB5262"/>
    <w:rsid w:val="00EB54DA"/>
    <w:rsid w:val="00EB5AB4"/>
    <w:rsid w:val="00EB5D58"/>
    <w:rsid w:val="00EB63C8"/>
    <w:rsid w:val="00EB6652"/>
    <w:rsid w:val="00EB6F39"/>
    <w:rsid w:val="00EB7699"/>
    <w:rsid w:val="00EB7CF1"/>
    <w:rsid w:val="00EB7D99"/>
    <w:rsid w:val="00EC0A09"/>
    <w:rsid w:val="00EC0D7E"/>
    <w:rsid w:val="00EC1504"/>
    <w:rsid w:val="00EC15B7"/>
    <w:rsid w:val="00EC27BC"/>
    <w:rsid w:val="00EC28D5"/>
    <w:rsid w:val="00EC29E9"/>
    <w:rsid w:val="00EC2B25"/>
    <w:rsid w:val="00EC433F"/>
    <w:rsid w:val="00EC523D"/>
    <w:rsid w:val="00EC55A0"/>
    <w:rsid w:val="00EC5F63"/>
    <w:rsid w:val="00EC62E8"/>
    <w:rsid w:val="00EC6C30"/>
    <w:rsid w:val="00EC71DA"/>
    <w:rsid w:val="00EC756C"/>
    <w:rsid w:val="00EC75B6"/>
    <w:rsid w:val="00EC76F5"/>
    <w:rsid w:val="00EC7C8E"/>
    <w:rsid w:val="00ED0423"/>
    <w:rsid w:val="00ED062B"/>
    <w:rsid w:val="00ED161A"/>
    <w:rsid w:val="00ED1A3B"/>
    <w:rsid w:val="00ED21F1"/>
    <w:rsid w:val="00ED2C6D"/>
    <w:rsid w:val="00ED3722"/>
    <w:rsid w:val="00ED457E"/>
    <w:rsid w:val="00ED5019"/>
    <w:rsid w:val="00ED577E"/>
    <w:rsid w:val="00ED62C3"/>
    <w:rsid w:val="00ED66F6"/>
    <w:rsid w:val="00ED7000"/>
    <w:rsid w:val="00EE04A3"/>
    <w:rsid w:val="00EE0A89"/>
    <w:rsid w:val="00EE103F"/>
    <w:rsid w:val="00EE127E"/>
    <w:rsid w:val="00EE1A2B"/>
    <w:rsid w:val="00EE2298"/>
    <w:rsid w:val="00EE2666"/>
    <w:rsid w:val="00EE2747"/>
    <w:rsid w:val="00EE279F"/>
    <w:rsid w:val="00EE28E0"/>
    <w:rsid w:val="00EE2A68"/>
    <w:rsid w:val="00EE49DB"/>
    <w:rsid w:val="00EE4B1B"/>
    <w:rsid w:val="00EE5732"/>
    <w:rsid w:val="00EE57EB"/>
    <w:rsid w:val="00EE5F75"/>
    <w:rsid w:val="00EE67C4"/>
    <w:rsid w:val="00EE6B84"/>
    <w:rsid w:val="00EE7139"/>
    <w:rsid w:val="00EE78AF"/>
    <w:rsid w:val="00EF08B3"/>
    <w:rsid w:val="00EF201E"/>
    <w:rsid w:val="00EF20B8"/>
    <w:rsid w:val="00EF27BB"/>
    <w:rsid w:val="00EF321C"/>
    <w:rsid w:val="00EF50F2"/>
    <w:rsid w:val="00EF530A"/>
    <w:rsid w:val="00EF57B0"/>
    <w:rsid w:val="00EF5C44"/>
    <w:rsid w:val="00EF6E80"/>
    <w:rsid w:val="00EF6E91"/>
    <w:rsid w:val="00EF741E"/>
    <w:rsid w:val="00F006F1"/>
    <w:rsid w:val="00F0098B"/>
    <w:rsid w:val="00F02969"/>
    <w:rsid w:val="00F02D02"/>
    <w:rsid w:val="00F042CD"/>
    <w:rsid w:val="00F042DD"/>
    <w:rsid w:val="00F05076"/>
    <w:rsid w:val="00F0625F"/>
    <w:rsid w:val="00F06E49"/>
    <w:rsid w:val="00F074FE"/>
    <w:rsid w:val="00F1028D"/>
    <w:rsid w:val="00F10652"/>
    <w:rsid w:val="00F11873"/>
    <w:rsid w:val="00F120FC"/>
    <w:rsid w:val="00F12D82"/>
    <w:rsid w:val="00F13357"/>
    <w:rsid w:val="00F140F6"/>
    <w:rsid w:val="00F14459"/>
    <w:rsid w:val="00F1495A"/>
    <w:rsid w:val="00F14D0E"/>
    <w:rsid w:val="00F154DF"/>
    <w:rsid w:val="00F16B5C"/>
    <w:rsid w:val="00F16D11"/>
    <w:rsid w:val="00F16D90"/>
    <w:rsid w:val="00F173E7"/>
    <w:rsid w:val="00F1772B"/>
    <w:rsid w:val="00F2006E"/>
    <w:rsid w:val="00F2046E"/>
    <w:rsid w:val="00F20A1A"/>
    <w:rsid w:val="00F20AFC"/>
    <w:rsid w:val="00F20B75"/>
    <w:rsid w:val="00F20CF2"/>
    <w:rsid w:val="00F2103D"/>
    <w:rsid w:val="00F21D27"/>
    <w:rsid w:val="00F229F6"/>
    <w:rsid w:val="00F22B91"/>
    <w:rsid w:val="00F22DEC"/>
    <w:rsid w:val="00F22EA6"/>
    <w:rsid w:val="00F23867"/>
    <w:rsid w:val="00F247F2"/>
    <w:rsid w:val="00F24A17"/>
    <w:rsid w:val="00F24A4D"/>
    <w:rsid w:val="00F24D37"/>
    <w:rsid w:val="00F256F5"/>
    <w:rsid w:val="00F25A17"/>
    <w:rsid w:val="00F260F9"/>
    <w:rsid w:val="00F2707B"/>
    <w:rsid w:val="00F274B0"/>
    <w:rsid w:val="00F27C45"/>
    <w:rsid w:val="00F304C7"/>
    <w:rsid w:val="00F30F3A"/>
    <w:rsid w:val="00F31DD8"/>
    <w:rsid w:val="00F31E17"/>
    <w:rsid w:val="00F31ECE"/>
    <w:rsid w:val="00F32548"/>
    <w:rsid w:val="00F32BE7"/>
    <w:rsid w:val="00F33ADD"/>
    <w:rsid w:val="00F33BCA"/>
    <w:rsid w:val="00F33F9C"/>
    <w:rsid w:val="00F3426D"/>
    <w:rsid w:val="00F3568B"/>
    <w:rsid w:val="00F3592D"/>
    <w:rsid w:val="00F36166"/>
    <w:rsid w:val="00F37331"/>
    <w:rsid w:val="00F377DD"/>
    <w:rsid w:val="00F407B4"/>
    <w:rsid w:val="00F4113F"/>
    <w:rsid w:val="00F4161D"/>
    <w:rsid w:val="00F41FCE"/>
    <w:rsid w:val="00F422A4"/>
    <w:rsid w:val="00F4249D"/>
    <w:rsid w:val="00F42540"/>
    <w:rsid w:val="00F42812"/>
    <w:rsid w:val="00F4382A"/>
    <w:rsid w:val="00F43D34"/>
    <w:rsid w:val="00F44189"/>
    <w:rsid w:val="00F44435"/>
    <w:rsid w:val="00F4459C"/>
    <w:rsid w:val="00F44D45"/>
    <w:rsid w:val="00F44F60"/>
    <w:rsid w:val="00F4512D"/>
    <w:rsid w:val="00F4514B"/>
    <w:rsid w:val="00F45A33"/>
    <w:rsid w:val="00F46C54"/>
    <w:rsid w:val="00F47AE6"/>
    <w:rsid w:val="00F47E05"/>
    <w:rsid w:val="00F501C6"/>
    <w:rsid w:val="00F502C0"/>
    <w:rsid w:val="00F50C41"/>
    <w:rsid w:val="00F519E1"/>
    <w:rsid w:val="00F51C38"/>
    <w:rsid w:val="00F52B75"/>
    <w:rsid w:val="00F52FD6"/>
    <w:rsid w:val="00F53BBC"/>
    <w:rsid w:val="00F54260"/>
    <w:rsid w:val="00F54412"/>
    <w:rsid w:val="00F544B9"/>
    <w:rsid w:val="00F55B04"/>
    <w:rsid w:val="00F56903"/>
    <w:rsid w:val="00F56EB0"/>
    <w:rsid w:val="00F57486"/>
    <w:rsid w:val="00F5748F"/>
    <w:rsid w:val="00F5763D"/>
    <w:rsid w:val="00F5763E"/>
    <w:rsid w:val="00F60652"/>
    <w:rsid w:val="00F61AE1"/>
    <w:rsid w:val="00F61EFA"/>
    <w:rsid w:val="00F633F2"/>
    <w:rsid w:val="00F641AD"/>
    <w:rsid w:val="00F6545D"/>
    <w:rsid w:val="00F657F9"/>
    <w:rsid w:val="00F65C91"/>
    <w:rsid w:val="00F666B2"/>
    <w:rsid w:val="00F66F4D"/>
    <w:rsid w:val="00F67454"/>
    <w:rsid w:val="00F70CBD"/>
    <w:rsid w:val="00F70DEB"/>
    <w:rsid w:val="00F7114B"/>
    <w:rsid w:val="00F7194A"/>
    <w:rsid w:val="00F719D2"/>
    <w:rsid w:val="00F71FA1"/>
    <w:rsid w:val="00F72211"/>
    <w:rsid w:val="00F7231A"/>
    <w:rsid w:val="00F73AA3"/>
    <w:rsid w:val="00F73F52"/>
    <w:rsid w:val="00F7405C"/>
    <w:rsid w:val="00F7633E"/>
    <w:rsid w:val="00F76E9E"/>
    <w:rsid w:val="00F76EAA"/>
    <w:rsid w:val="00F77172"/>
    <w:rsid w:val="00F779CA"/>
    <w:rsid w:val="00F8041B"/>
    <w:rsid w:val="00F8067E"/>
    <w:rsid w:val="00F80BC6"/>
    <w:rsid w:val="00F82723"/>
    <w:rsid w:val="00F82AE6"/>
    <w:rsid w:val="00F82C17"/>
    <w:rsid w:val="00F82CAE"/>
    <w:rsid w:val="00F835AC"/>
    <w:rsid w:val="00F83ACF"/>
    <w:rsid w:val="00F83BE9"/>
    <w:rsid w:val="00F83DF6"/>
    <w:rsid w:val="00F8473B"/>
    <w:rsid w:val="00F847C3"/>
    <w:rsid w:val="00F848CB"/>
    <w:rsid w:val="00F84A52"/>
    <w:rsid w:val="00F85352"/>
    <w:rsid w:val="00F859F4"/>
    <w:rsid w:val="00F8677C"/>
    <w:rsid w:val="00F86825"/>
    <w:rsid w:val="00F87675"/>
    <w:rsid w:val="00F877F6"/>
    <w:rsid w:val="00F8787D"/>
    <w:rsid w:val="00F87A3A"/>
    <w:rsid w:val="00F90956"/>
    <w:rsid w:val="00F910E9"/>
    <w:rsid w:val="00F9146A"/>
    <w:rsid w:val="00F9228A"/>
    <w:rsid w:val="00F9245B"/>
    <w:rsid w:val="00F92CB9"/>
    <w:rsid w:val="00F92E10"/>
    <w:rsid w:val="00F93332"/>
    <w:rsid w:val="00F93DBC"/>
    <w:rsid w:val="00F94DEB"/>
    <w:rsid w:val="00F94F85"/>
    <w:rsid w:val="00F9645B"/>
    <w:rsid w:val="00F96885"/>
    <w:rsid w:val="00F968EA"/>
    <w:rsid w:val="00F97C6F"/>
    <w:rsid w:val="00FA09D7"/>
    <w:rsid w:val="00FA170A"/>
    <w:rsid w:val="00FA1AFB"/>
    <w:rsid w:val="00FA2452"/>
    <w:rsid w:val="00FA27BA"/>
    <w:rsid w:val="00FA310D"/>
    <w:rsid w:val="00FA32FE"/>
    <w:rsid w:val="00FA3641"/>
    <w:rsid w:val="00FA43BC"/>
    <w:rsid w:val="00FA45A7"/>
    <w:rsid w:val="00FA5B12"/>
    <w:rsid w:val="00FA5D3E"/>
    <w:rsid w:val="00FA656B"/>
    <w:rsid w:val="00FA68D1"/>
    <w:rsid w:val="00FA6C83"/>
    <w:rsid w:val="00FA72C4"/>
    <w:rsid w:val="00FA7A20"/>
    <w:rsid w:val="00FB0265"/>
    <w:rsid w:val="00FB0B88"/>
    <w:rsid w:val="00FB10D4"/>
    <w:rsid w:val="00FB1771"/>
    <w:rsid w:val="00FB1CAD"/>
    <w:rsid w:val="00FB2859"/>
    <w:rsid w:val="00FB2D61"/>
    <w:rsid w:val="00FB3DFF"/>
    <w:rsid w:val="00FB548C"/>
    <w:rsid w:val="00FB5F09"/>
    <w:rsid w:val="00FB60A6"/>
    <w:rsid w:val="00FB649D"/>
    <w:rsid w:val="00FC1069"/>
    <w:rsid w:val="00FC149B"/>
    <w:rsid w:val="00FC1752"/>
    <w:rsid w:val="00FC194B"/>
    <w:rsid w:val="00FC1CFF"/>
    <w:rsid w:val="00FC1F0B"/>
    <w:rsid w:val="00FC3500"/>
    <w:rsid w:val="00FC3530"/>
    <w:rsid w:val="00FC371E"/>
    <w:rsid w:val="00FC3891"/>
    <w:rsid w:val="00FC44E5"/>
    <w:rsid w:val="00FC4A4D"/>
    <w:rsid w:val="00FC4AF3"/>
    <w:rsid w:val="00FC4D9C"/>
    <w:rsid w:val="00FC61D8"/>
    <w:rsid w:val="00FC6726"/>
    <w:rsid w:val="00FC68BF"/>
    <w:rsid w:val="00FC7E13"/>
    <w:rsid w:val="00FC7EDC"/>
    <w:rsid w:val="00FD0979"/>
    <w:rsid w:val="00FD0A2D"/>
    <w:rsid w:val="00FD0D3B"/>
    <w:rsid w:val="00FD4478"/>
    <w:rsid w:val="00FD47FE"/>
    <w:rsid w:val="00FD53DF"/>
    <w:rsid w:val="00FD5652"/>
    <w:rsid w:val="00FD56E6"/>
    <w:rsid w:val="00FD58E3"/>
    <w:rsid w:val="00FD59F2"/>
    <w:rsid w:val="00FD65D9"/>
    <w:rsid w:val="00FD66F7"/>
    <w:rsid w:val="00FD682F"/>
    <w:rsid w:val="00FD6C5C"/>
    <w:rsid w:val="00FD716C"/>
    <w:rsid w:val="00FD75CC"/>
    <w:rsid w:val="00FE1EEA"/>
    <w:rsid w:val="00FE2237"/>
    <w:rsid w:val="00FE2418"/>
    <w:rsid w:val="00FE32D7"/>
    <w:rsid w:val="00FE3721"/>
    <w:rsid w:val="00FE37FA"/>
    <w:rsid w:val="00FE46E3"/>
    <w:rsid w:val="00FE57F5"/>
    <w:rsid w:val="00FE599E"/>
    <w:rsid w:val="00FE6F61"/>
    <w:rsid w:val="00FE7C7F"/>
    <w:rsid w:val="00FF00BB"/>
    <w:rsid w:val="00FF0461"/>
    <w:rsid w:val="00FF054C"/>
    <w:rsid w:val="00FF0E77"/>
    <w:rsid w:val="00FF193A"/>
    <w:rsid w:val="00FF1B7C"/>
    <w:rsid w:val="00FF22FB"/>
    <w:rsid w:val="00FF28BF"/>
    <w:rsid w:val="00FF2A0B"/>
    <w:rsid w:val="00FF2D24"/>
    <w:rsid w:val="00FF2EB2"/>
    <w:rsid w:val="00FF31F5"/>
    <w:rsid w:val="00FF3A63"/>
    <w:rsid w:val="00FF46E0"/>
    <w:rsid w:val="00FF547C"/>
    <w:rsid w:val="00FF6B73"/>
    <w:rsid w:val="00FF6E2C"/>
    <w:rsid w:val="00FF6E5C"/>
    <w:rsid w:val="00FF71C3"/>
    <w:rsid w:val="00FF7EF8"/>
    <w:rsid w:val="015F118D"/>
    <w:rsid w:val="019B1886"/>
    <w:rsid w:val="01E26ED8"/>
    <w:rsid w:val="022745A0"/>
    <w:rsid w:val="02A464AF"/>
    <w:rsid w:val="034E5101"/>
    <w:rsid w:val="03741291"/>
    <w:rsid w:val="042A49BB"/>
    <w:rsid w:val="05257DE5"/>
    <w:rsid w:val="056C533E"/>
    <w:rsid w:val="057F1035"/>
    <w:rsid w:val="06562220"/>
    <w:rsid w:val="06952D48"/>
    <w:rsid w:val="06BC58E5"/>
    <w:rsid w:val="0733411E"/>
    <w:rsid w:val="083C293C"/>
    <w:rsid w:val="094C5896"/>
    <w:rsid w:val="0952686E"/>
    <w:rsid w:val="099E44B9"/>
    <w:rsid w:val="09D74144"/>
    <w:rsid w:val="0A650C83"/>
    <w:rsid w:val="0B1A4DBA"/>
    <w:rsid w:val="0BB93BEF"/>
    <w:rsid w:val="0BEF4CA9"/>
    <w:rsid w:val="0C70789D"/>
    <w:rsid w:val="0D260613"/>
    <w:rsid w:val="0DAE4FB0"/>
    <w:rsid w:val="0DC12C6F"/>
    <w:rsid w:val="0E3C1CFB"/>
    <w:rsid w:val="0E7540EB"/>
    <w:rsid w:val="0F184516"/>
    <w:rsid w:val="103C20C5"/>
    <w:rsid w:val="10A2678D"/>
    <w:rsid w:val="11060F47"/>
    <w:rsid w:val="114F7170"/>
    <w:rsid w:val="117D0437"/>
    <w:rsid w:val="11E3205F"/>
    <w:rsid w:val="11FF0EBC"/>
    <w:rsid w:val="121C0D71"/>
    <w:rsid w:val="13757537"/>
    <w:rsid w:val="14074B59"/>
    <w:rsid w:val="14327D30"/>
    <w:rsid w:val="14F275B8"/>
    <w:rsid w:val="156813EF"/>
    <w:rsid w:val="15B77F66"/>
    <w:rsid w:val="160416FD"/>
    <w:rsid w:val="1609105D"/>
    <w:rsid w:val="16A3500D"/>
    <w:rsid w:val="17675839"/>
    <w:rsid w:val="17AB7057"/>
    <w:rsid w:val="17BB38C8"/>
    <w:rsid w:val="17D411F6"/>
    <w:rsid w:val="17E845CC"/>
    <w:rsid w:val="188D119D"/>
    <w:rsid w:val="18E10538"/>
    <w:rsid w:val="18F93403"/>
    <w:rsid w:val="19495773"/>
    <w:rsid w:val="19F04727"/>
    <w:rsid w:val="1AA262DC"/>
    <w:rsid w:val="1B0E18DE"/>
    <w:rsid w:val="1C5A43C0"/>
    <w:rsid w:val="1CB05C7A"/>
    <w:rsid w:val="1D8611E5"/>
    <w:rsid w:val="1DD0555F"/>
    <w:rsid w:val="1E075D31"/>
    <w:rsid w:val="1E197963"/>
    <w:rsid w:val="1E6F1C79"/>
    <w:rsid w:val="1F165060"/>
    <w:rsid w:val="1F2E7FA7"/>
    <w:rsid w:val="1F607AF6"/>
    <w:rsid w:val="1F9E45C4"/>
    <w:rsid w:val="203B62B7"/>
    <w:rsid w:val="20BC4F1C"/>
    <w:rsid w:val="213173B9"/>
    <w:rsid w:val="21490F71"/>
    <w:rsid w:val="218872DA"/>
    <w:rsid w:val="218F3216"/>
    <w:rsid w:val="22673393"/>
    <w:rsid w:val="22737F8A"/>
    <w:rsid w:val="22893EED"/>
    <w:rsid w:val="23F3183F"/>
    <w:rsid w:val="24211E24"/>
    <w:rsid w:val="248A15BB"/>
    <w:rsid w:val="24F829C8"/>
    <w:rsid w:val="25357778"/>
    <w:rsid w:val="25710085"/>
    <w:rsid w:val="26230EA8"/>
    <w:rsid w:val="26823DBB"/>
    <w:rsid w:val="26936DEC"/>
    <w:rsid w:val="27223D2C"/>
    <w:rsid w:val="272D1A6A"/>
    <w:rsid w:val="278422F1"/>
    <w:rsid w:val="27952750"/>
    <w:rsid w:val="27AA6B16"/>
    <w:rsid w:val="285B3B0A"/>
    <w:rsid w:val="28F813CA"/>
    <w:rsid w:val="2929681F"/>
    <w:rsid w:val="296E79F1"/>
    <w:rsid w:val="2A1A518F"/>
    <w:rsid w:val="2A3C6EB3"/>
    <w:rsid w:val="2A8D5961"/>
    <w:rsid w:val="2B4A209F"/>
    <w:rsid w:val="2B512E32"/>
    <w:rsid w:val="2C493B09"/>
    <w:rsid w:val="2CDF75F8"/>
    <w:rsid w:val="2CF42A63"/>
    <w:rsid w:val="2D4517E6"/>
    <w:rsid w:val="2E695209"/>
    <w:rsid w:val="2EFA733D"/>
    <w:rsid w:val="2F7E39FF"/>
    <w:rsid w:val="2FC55B9D"/>
    <w:rsid w:val="3088423E"/>
    <w:rsid w:val="30B31E99"/>
    <w:rsid w:val="30B96EF9"/>
    <w:rsid w:val="30D07FA5"/>
    <w:rsid w:val="312E53A7"/>
    <w:rsid w:val="31A737AC"/>
    <w:rsid w:val="31AB19F5"/>
    <w:rsid w:val="32103D59"/>
    <w:rsid w:val="32643FD4"/>
    <w:rsid w:val="32935C1D"/>
    <w:rsid w:val="32AA7EC4"/>
    <w:rsid w:val="32C51A10"/>
    <w:rsid w:val="337F42B4"/>
    <w:rsid w:val="33F86270"/>
    <w:rsid w:val="340F73E6"/>
    <w:rsid w:val="34695BBC"/>
    <w:rsid w:val="34847DD4"/>
    <w:rsid w:val="35FC48CB"/>
    <w:rsid w:val="363267BB"/>
    <w:rsid w:val="36B97ADD"/>
    <w:rsid w:val="36E903C3"/>
    <w:rsid w:val="370451FC"/>
    <w:rsid w:val="37FD542B"/>
    <w:rsid w:val="383733B0"/>
    <w:rsid w:val="3851125B"/>
    <w:rsid w:val="387E60D5"/>
    <w:rsid w:val="38BD221F"/>
    <w:rsid w:val="38D26C34"/>
    <w:rsid w:val="38D40EF3"/>
    <w:rsid w:val="394E27FC"/>
    <w:rsid w:val="39786887"/>
    <w:rsid w:val="39D64487"/>
    <w:rsid w:val="39E96462"/>
    <w:rsid w:val="3A1F234D"/>
    <w:rsid w:val="3A570AA3"/>
    <w:rsid w:val="3AAD1707"/>
    <w:rsid w:val="3BF02833"/>
    <w:rsid w:val="3BF1248A"/>
    <w:rsid w:val="3BF21AC7"/>
    <w:rsid w:val="3C7419D1"/>
    <w:rsid w:val="3CA12C30"/>
    <w:rsid w:val="3CE0796D"/>
    <w:rsid w:val="3DBE071F"/>
    <w:rsid w:val="3DD5344F"/>
    <w:rsid w:val="3DE36134"/>
    <w:rsid w:val="3E33432C"/>
    <w:rsid w:val="3E497961"/>
    <w:rsid w:val="3E5D232A"/>
    <w:rsid w:val="3EB70235"/>
    <w:rsid w:val="3F05646B"/>
    <w:rsid w:val="3F1A4AAA"/>
    <w:rsid w:val="3F1E2F47"/>
    <w:rsid w:val="3F2F63A4"/>
    <w:rsid w:val="3FA97382"/>
    <w:rsid w:val="403F1053"/>
    <w:rsid w:val="4090365D"/>
    <w:rsid w:val="41395AA3"/>
    <w:rsid w:val="415E6538"/>
    <w:rsid w:val="41715B61"/>
    <w:rsid w:val="422D0285"/>
    <w:rsid w:val="42985759"/>
    <w:rsid w:val="42EB7271"/>
    <w:rsid w:val="43BC5E5E"/>
    <w:rsid w:val="43C57AC2"/>
    <w:rsid w:val="441445A5"/>
    <w:rsid w:val="442B2E3C"/>
    <w:rsid w:val="44B9151A"/>
    <w:rsid w:val="44C646BA"/>
    <w:rsid w:val="4597723C"/>
    <w:rsid w:val="45BD0F5F"/>
    <w:rsid w:val="45E22BAD"/>
    <w:rsid w:val="460A698B"/>
    <w:rsid w:val="46431B88"/>
    <w:rsid w:val="464C5C8A"/>
    <w:rsid w:val="466C4B8B"/>
    <w:rsid w:val="467C1557"/>
    <w:rsid w:val="475950F1"/>
    <w:rsid w:val="4778588C"/>
    <w:rsid w:val="47C84024"/>
    <w:rsid w:val="47F832DC"/>
    <w:rsid w:val="480E62F4"/>
    <w:rsid w:val="483C0471"/>
    <w:rsid w:val="48406FA3"/>
    <w:rsid w:val="48894D7A"/>
    <w:rsid w:val="4A0550BC"/>
    <w:rsid w:val="4A6F3D98"/>
    <w:rsid w:val="4AFE3C4A"/>
    <w:rsid w:val="4B550C98"/>
    <w:rsid w:val="4B6C4CC7"/>
    <w:rsid w:val="4B7576F8"/>
    <w:rsid w:val="4B777639"/>
    <w:rsid w:val="4BC66ACD"/>
    <w:rsid w:val="4C0A4047"/>
    <w:rsid w:val="4C207F8B"/>
    <w:rsid w:val="4C2E1330"/>
    <w:rsid w:val="4C450B45"/>
    <w:rsid w:val="4CAE783D"/>
    <w:rsid w:val="4CD37C3F"/>
    <w:rsid w:val="4E2634BF"/>
    <w:rsid w:val="4E3B3EF4"/>
    <w:rsid w:val="4ED15F08"/>
    <w:rsid w:val="4F385221"/>
    <w:rsid w:val="4F8D236E"/>
    <w:rsid w:val="504A4D77"/>
    <w:rsid w:val="50A1014B"/>
    <w:rsid w:val="50DE19FF"/>
    <w:rsid w:val="52225C90"/>
    <w:rsid w:val="52253DB2"/>
    <w:rsid w:val="526828D5"/>
    <w:rsid w:val="52D90E94"/>
    <w:rsid w:val="53041EA4"/>
    <w:rsid w:val="5359507A"/>
    <w:rsid w:val="537A68E4"/>
    <w:rsid w:val="538D77CC"/>
    <w:rsid w:val="54040192"/>
    <w:rsid w:val="54331A41"/>
    <w:rsid w:val="54F75FEC"/>
    <w:rsid w:val="5579695E"/>
    <w:rsid w:val="55B160F8"/>
    <w:rsid w:val="55BD2CCA"/>
    <w:rsid w:val="5678175A"/>
    <w:rsid w:val="567C0ACC"/>
    <w:rsid w:val="56A86DBC"/>
    <w:rsid w:val="571D6F41"/>
    <w:rsid w:val="572841C2"/>
    <w:rsid w:val="575B456D"/>
    <w:rsid w:val="57D83E10"/>
    <w:rsid w:val="58242BB1"/>
    <w:rsid w:val="59142C25"/>
    <w:rsid w:val="592B1E87"/>
    <w:rsid w:val="594A21B8"/>
    <w:rsid w:val="599E5E1E"/>
    <w:rsid w:val="59BE0F4B"/>
    <w:rsid w:val="59C56616"/>
    <w:rsid w:val="59EA4667"/>
    <w:rsid w:val="5A4B7070"/>
    <w:rsid w:val="5A555DDB"/>
    <w:rsid w:val="5AA532B9"/>
    <w:rsid w:val="5ABD6F4C"/>
    <w:rsid w:val="5AD20125"/>
    <w:rsid w:val="5AE84EED"/>
    <w:rsid w:val="5B5F4D28"/>
    <w:rsid w:val="5BAD62BB"/>
    <w:rsid w:val="5C9D2F32"/>
    <w:rsid w:val="5CA02C92"/>
    <w:rsid w:val="5CA130DC"/>
    <w:rsid w:val="5CD120DA"/>
    <w:rsid w:val="5CFA6449"/>
    <w:rsid w:val="5D086F45"/>
    <w:rsid w:val="5D1D693C"/>
    <w:rsid w:val="5D2F55D3"/>
    <w:rsid w:val="5D4D6706"/>
    <w:rsid w:val="5F5374FF"/>
    <w:rsid w:val="619052E3"/>
    <w:rsid w:val="622F6EC6"/>
    <w:rsid w:val="623D31CE"/>
    <w:rsid w:val="623F6839"/>
    <w:rsid w:val="62856942"/>
    <w:rsid w:val="63621685"/>
    <w:rsid w:val="640B2E77"/>
    <w:rsid w:val="643E149E"/>
    <w:rsid w:val="644B3C9B"/>
    <w:rsid w:val="64BB6425"/>
    <w:rsid w:val="64C928B5"/>
    <w:rsid w:val="65160F27"/>
    <w:rsid w:val="651C687D"/>
    <w:rsid w:val="65E17231"/>
    <w:rsid w:val="6629174D"/>
    <w:rsid w:val="66754416"/>
    <w:rsid w:val="6695000B"/>
    <w:rsid w:val="66C57C55"/>
    <w:rsid w:val="66F45E44"/>
    <w:rsid w:val="67472418"/>
    <w:rsid w:val="67535405"/>
    <w:rsid w:val="67B10BD0"/>
    <w:rsid w:val="67C577E1"/>
    <w:rsid w:val="686673F9"/>
    <w:rsid w:val="68897DFB"/>
    <w:rsid w:val="68B32117"/>
    <w:rsid w:val="697C05C7"/>
    <w:rsid w:val="697D4CE0"/>
    <w:rsid w:val="69EB1E27"/>
    <w:rsid w:val="6A5D721F"/>
    <w:rsid w:val="6ACE59A0"/>
    <w:rsid w:val="6AF43E35"/>
    <w:rsid w:val="6B373847"/>
    <w:rsid w:val="6B4B024C"/>
    <w:rsid w:val="6B554A60"/>
    <w:rsid w:val="6BBD539F"/>
    <w:rsid w:val="6BCA3618"/>
    <w:rsid w:val="6C203025"/>
    <w:rsid w:val="6C8E2B5A"/>
    <w:rsid w:val="6D175FAA"/>
    <w:rsid w:val="6D5B6C1D"/>
    <w:rsid w:val="6DA06D26"/>
    <w:rsid w:val="6DB004B4"/>
    <w:rsid w:val="6DFE57FA"/>
    <w:rsid w:val="6EDD79F7"/>
    <w:rsid w:val="6F082F26"/>
    <w:rsid w:val="6F0A4A64"/>
    <w:rsid w:val="6F3F4EDC"/>
    <w:rsid w:val="6F655B31"/>
    <w:rsid w:val="70297E02"/>
    <w:rsid w:val="70597ECA"/>
    <w:rsid w:val="709A3F00"/>
    <w:rsid w:val="71B40FF2"/>
    <w:rsid w:val="71CC0A0F"/>
    <w:rsid w:val="71EA3503"/>
    <w:rsid w:val="72623F76"/>
    <w:rsid w:val="72A2344E"/>
    <w:rsid w:val="73005B71"/>
    <w:rsid w:val="7359692B"/>
    <w:rsid w:val="741B2C62"/>
    <w:rsid w:val="744409A7"/>
    <w:rsid w:val="746E5736"/>
    <w:rsid w:val="7479109F"/>
    <w:rsid w:val="748C0004"/>
    <w:rsid w:val="75FD58C2"/>
    <w:rsid w:val="76E063E5"/>
    <w:rsid w:val="772549AA"/>
    <w:rsid w:val="777509E8"/>
    <w:rsid w:val="779A31FE"/>
    <w:rsid w:val="77E365C8"/>
    <w:rsid w:val="780B1240"/>
    <w:rsid w:val="780B29EC"/>
    <w:rsid w:val="78EC62CF"/>
    <w:rsid w:val="78FE11C1"/>
    <w:rsid w:val="792376E1"/>
    <w:rsid w:val="79241C72"/>
    <w:rsid w:val="79C0032F"/>
    <w:rsid w:val="79C603AF"/>
    <w:rsid w:val="79E93803"/>
    <w:rsid w:val="7ADE3D33"/>
    <w:rsid w:val="7AF272FC"/>
    <w:rsid w:val="7B714D2C"/>
    <w:rsid w:val="7B8437E3"/>
    <w:rsid w:val="7CB73744"/>
    <w:rsid w:val="7D137B15"/>
    <w:rsid w:val="7D6E470D"/>
    <w:rsid w:val="7D8C2E23"/>
    <w:rsid w:val="7DE22A43"/>
    <w:rsid w:val="7DE64079"/>
    <w:rsid w:val="7E074257"/>
    <w:rsid w:val="7EC362C7"/>
    <w:rsid w:val="7FA96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99" w:semiHidden="0" w:name="caption"/>
    <w:lsdException w:uiPriority="0" w:name="table of figures"/>
    <w:lsdException w:qFormat="1" w:unhideWhenUsed="0" w:uiPriority="99" w:name="envelope address"/>
    <w:lsdException w:qFormat="1" w:unhideWhenUsed="0" w:uiPriority="99" w:name="envelope return"/>
    <w:lsdException w:uiPriority="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uiPriority="0" w:name="endnote reference"/>
    <w:lsdException w:uiPriority="0" w:name="endnote text"/>
    <w:lsdException w:qFormat="1" w:unhideWhenUsed="0" w:uiPriority="99" w:name="table of authorities"/>
    <w:lsdException w:uiPriority="0" w:name="macro"/>
    <w:lsdException w:qFormat="1" w:unhideWhenUsed="0" w:uiPriority="99" w:name="toa heading"/>
    <w:lsdException w:qFormat="1" w:unhideWhenUsed="0" w:uiPriority="99" w:semiHidden="0" w:name="List"/>
    <w:lsdException w:qFormat="1" w:unhideWhenUsed="0" w:uiPriority="99" w:name="List Bullet"/>
    <w:lsdException w:qFormat="1" w:unhideWhenUsed="0" w:uiPriority="99"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name="List Bullet 2"/>
    <w:lsdException w:qFormat="1" w:unhideWhenUsed="0" w:uiPriority="99" w:name="List Bullet 3"/>
    <w:lsdException w:qFormat="1" w:unhideWhenUsed="0" w:uiPriority="99" w:name="List Bullet 4"/>
    <w:lsdException w:qFormat="1" w:unhideWhenUsed="0" w:uiPriority="99" w:name="List Bullet 5"/>
    <w:lsdException w:qFormat="1" w:unhideWhenUsed="0" w:uiPriority="99" w:name="List Number 2"/>
    <w:lsdException w:qFormat="1" w:unhideWhenUsed="0" w:uiPriority="99" w:name="List Number 3"/>
    <w:lsdException w:qFormat="1" w:unhideWhenUsed="0" w:uiPriority="99" w:name="List Number 4"/>
    <w:lsdException w:qFormat="1" w:unhideWhenUsed="0" w:uiPriority="99" w:name="List Number 5"/>
    <w:lsdException w:qFormat="1" w:unhideWhenUsed="0" w:uiPriority="10" w:semiHidden="0" w:name="Title"/>
    <w:lsdException w:qFormat="1" w:unhideWhenUsed="0" w:uiPriority="99" w:name="Closing"/>
    <w:lsdException w:qFormat="1" w:unhideWhenUsed="0" w:uiPriority="99"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name="List Continue 5"/>
    <w:lsdException w:qFormat="1" w:unhideWhenUsed="0" w:uiPriority="99" w:name="Message Header"/>
    <w:lsdException w:qFormat="1" w:unhideWhenUsed="0" w:uiPriority="11" w:semiHidden="0" w:name="Subtitle"/>
    <w:lsdException w:qFormat="1" w:unhideWhenUsed="0" w:uiPriority="99" w:name="Salutation"/>
    <w:lsdException w:qFormat="1" w:unhideWhenUsed="0" w:uiPriority="99" w:semiHidden="0" w:name="Date"/>
    <w:lsdException w:qFormat="1" w:unhideWhenUsed="0" w:uiPriority="99" w:semiHidden="0" w:name="Body Text First Indent"/>
    <w:lsdException w:qFormat="1" w:unhideWhenUsed="0" w:uiPriority="99" w:name="Body Text First Indent 2"/>
    <w:lsdException w:qFormat="1" w:unhideWhenUsed="0" w:uiPriority="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name="Block Text"/>
    <w:lsdException w:qFormat="1" w:unhideWhenUsed="0" w:uiPriority="99" w:semiHidden="0" w:name="Hyperlink"/>
    <w:lsdException w:qFormat="1" w:uiPriority="99"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qFormat="1" w:unhideWhenUsed="0" w:uiPriority="99" w:name="E-mail Signature"/>
    <w:lsdException w:qFormat="1" w:unhideWhenUsed="0" w:uiPriority="0" w:semiHidden="0" w:name="Normal (Web)"/>
    <w:lsdException w:qFormat="1" w:unhideWhenUsed="0" w:uiPriority="99" w:name="HTML Acronym"/>
    <w:lsdException w:qFormat="1" w:unhideWhenUsed="0" w:uiPriority="99" w:name="HTML Address"/>
    <w:lsdException w:qFormat="1" w:unhideWhenUsed="0" w:uiPriority="99" w:name="HTML Cite"/>
    <w:lsdException w:qFormat="1" w:unhideWhenUsed="0" w:uiPriority="99" w:name="HTML Code"/>
    <w:lsdException w:qFormat="1" w:unhideWhenUsed="0" w:uiPriority="99" w:name="HTML Definition"/>
    <w:lsdException w:qFormat="1" w:unhideWhenUsed="0" w:uiPriority="99" w:name="HTML Keyboard"/>
    <w:lsdException w:qFormat="1" w:unhideWhenUsed="0" w:uiPriority="99" w:name="HTML Preformatted"/>
    <w:lsdException w:qFormat="1" w:unhideWhenUsed="0" w:uiPriority="99" w:name="HTML Sample"/>
    <w:lsdException w:qFormat="1" w:unhideWhenUsed="0" w:uiPriority="99" w:name="HTML Typewriter"/>
    <w:lsdException w:qFormat="1" w:unhideWhenUsed="0" w:uiPriority="99" w:name="HTML Variable"/>
    <w:lsdException w:qFormat="1" w:uiPriority="99" w:name="Normal Table"/>
    <w:lsdException w:qFormat="1" w:unhideWhenUsed="0" w:uiPriority="99" w:name="annotation subject"/>
    <w:lsdException w:qFormat="1" w:unhideWhenUsed="0" w:uiPriority="99" w:name="Table Simple 1"/>
    <w:lsdException w:qFormat="1" w:unhideWhenUsed="0" w:uiPriority="99" w:name="Table Simple 2"/>
    <w:lsdException w:qFormat="1" w:unhideWhenUsed="0" w:uiPriority="99" w:name="Table Simple 3"/>
    <w:lsdException w:qFormat="1" w:unhideWhenUsed="0" w:uiPriority="99" w:name="Table Classic 1"/>
    <w:lsdException w:qFormat="1" w:unhideWhenUsed="0" w:uiPriority="99" w:name="Table Classic 2"/>
    <w:lsdException w:qFormat="1" w:unhideWhenUsed="0" w:uiPriority="99" w:name="Table Classic 3"/>
    <w:lsdException w:qFormat="1" w:unhideWhenUsed="0" w:uiPriority="99" w:name="Table Classic 4"/>
    <w:lsdException w:qFormat="1" w:unhideWhenUsed="0" w:uiPriority="99" w:name="Table Colorful 1"/>
    <w:lsdException w:qFormat="1" w:unhideWhenUsed="0" w:uiPriority="99" w:name="Table Colorful 2"/>
    <w:lsdException w:qFormat="1" w:unhideWhenUsed="0" w:uiPriority="99" w:name="Table Colorful 3"/>
    <w:lsdException w:qFormat="1" w:unhideWhenUsed="0" w:uiPriority="99" w:name="Table Columns 1"/>
    <w:lsdException w:qFormat="1" w:unhideWhenUsed="0" w:uiPriority="99" w:name="Table Columns 2"/>
    <w:lsdException w:qFormat="1" w:unhideWhenUsed="0" w:uiPriority="99" w:name="Table Columns 3"/>
    <w:lsdException w:qFormat="1" w:unhideWhenUsed="0" w:uiPriority="99" w:name="Table Columns 4"/>
    <w:lsdException w:qFormat="1" w:unhideWhenUsed="0" w:uiPriority="99" w:name="Table Columns 5"/>
    <w:lsdException w:qFormat="1" w:unhideWhenUsed="0" w:uiPriority="99" w:name="Table Grid 1"/>
    <w:lsdException w:qFormat="1" w:unhideWhenUsed="0" w:uiPriority="99" w:name="Table Grid 2"/>
    <w:lsdException w:qFormat="1" w:unhideWhenUsed="0" w:uiPriority="99" w:name="Table Grid 3"/>
    <w:lsdException w:qFormat="1" w:unhideWhenUsed="0" w:uiPriority="99" w:name="Table Grid 4"/>
    <w:lsdException w:qFormat="1" w:unhideWhenUsed="0" w:uiPriority="99" w:name="Table Grid 5"/>
    <w:lsdException w:qFormat="1" w:unhideWhenUsed="0" w:uiPriority="99" w:name="Table Grid 6"/>
    <w:lsdException w:qFormat="1" w:unhideWhenUsed="0" w:uiPriority="99" w:name="Table Grid 7"/>
    <w:lsdException w:qFormat="1" w:unhideWhenUsed="0" w:uiPriority="99" w:name="Table Grid 8"/>
    <w:lsdException w:qFormat="1" w:unhideWhenUsed="0" w:uiPriority="99" w:name="Table List 1"/>
    <w:lsdException w:qFormat="1" w:unhideWhenUsed="0" w:uiPriority="99" w:name="Table List 2"/>
    <w:lsdException w:qFormat="1" w:unhideWhenUsed="0" w:uiPriority="99" w:name="Table List 3"/>
    <w:lsdException w:qFormat="1" w:unhideWhenUsed="0" w:uiPriority="99" w:name="Table List 4"/>
    <w:lsdException w:qFormat="1" w:unhideWhenUsed="0" w:uiPriority="99" w:name="Table List 5"/>
    <w:lsdException w:qFormat="1" w:unhideWhenUsed="0" w:uiPriority="99" w:name="Table List 6"/>
    <w:lsdException w:qFormat="1" w:unhideWhenUsed="0" w:uiPriority="99" w:name="Table List 7"/>
    <w:lsdException w:qFormat="1" w:unhideWhenUsed="0" w:uiPriority="99" w:name="Table List 8"/>
    <w:lsdException w:qFormat="1" w:unhideWhenUsed="0" w:uiPriority="99" w:name="Table 3D effects 1"/>
    <w:lsdException w:qFormat="1" w:unhideWhenUsed="0" w:uiPriority="99" w:name="Table 3D effects 2"/>
    <w:lsdException w:qFormat="1" w:unhideWhenUsed="0" w:uiPriority="99" w:name="Table 3D effects 3"/>
    <w:lsdException w:qFormat="1" w:unhideWhenUsed="0" w:uiPriority="99" w:name="Table Contemporary"/>
    <w:lsdException w:qFormat="1" w:unhideWhenUsed="0" w:uiPriority="99" w:name="Table Elegant"/>
    <w:lsdException w:qFormat="1" w:unhideWhenUsed="0" w:uiPriority="99" w:name="Table Professional"/>
    <w:lsdException w:qFormat="1" w:unhideWhenUsed="0" w:uiPriority="99" w:name="Table Subtle 1"/>
    <w:lsdException w:qFormat="1" w:unhideWhenUsed="0" w:uiPriority="99" w:name="Table Subtle 2"/>
    <w:lsdException w:qFormat="1" w:unhideWhenUsed="0" w:uiPriority="99" w:name="Table Web 1"/>
    <w:lsdException w:qFormat="1" w:unhideWhenUsed="0" w:uiPriority="99" w:name="Table Web 2"/>
    <w:lsdException w:qFormat="1" w:unhideWhenUsed="0" w:uiPriority="99" w:name="Table Web 3"/>
    <w:lsdException w:qFormat="1" w:unhideWhenUsed="0" w:uiPriority="99" w:semiHidden="0" w:name="Balloon Text"/>
    <w:lsdException w:qFormat="1" w:unhideWhenUsed="0" w:uiPriority="99" w:name="Table Grid"/>
    <w:lsdException w:qFormat="1" w:unhideWhenUsed="0"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39"/>
    <w:qFormat/>
    <w:uiPriority w:val="99"/>
    <w:pPr>
      <w:keepNext/>
      <w:keepLines/>
      <w:spacing w:before="340" w:after="330" w:line="578" w:lineRule="auto"/>
      <w:outlineLvl w:val="0"/>
    </w:pPr>
    <w:rPr>
      <w:b/>
      <w:bCs/>
      <w:kern w:val="44"/>
      <w:sz w:val="44"/>
      <w:szCs w:val="44"/>
    </w:rPr>
  </w:style>
  <w:style w:type="paragraph" w:styleId="4">
    <w:name w:val="heading 2"/>
    <w:basedOn w:val="1"/>
    <w:next w:val="5"/>
    <w:link w:val="137"/>
    <w:qFormat/>
    <w:uiPriority w:val="99"/>
    <w:pPr>
      <w:keepNext/>
      <w:keepLines/>
      <w:spacing w:before="260" w:after="260" w:line="416" w:lineRule="auto"/>
      <w:outlineLvl w:val="1"/>
    </w:pPr>
    <w:rPr>
      <w:rFonts w:ascii="Arial" w:hAnsi="Arial" w:eastAsia="黑体"/>
      <w:b/>
      <w:bCs/>
      <w:kern w:val="0"/>
      <w:sz w:val="32"/>
      <w:szCs w:val="32"/>
    </w:rPr>
  </w:style>
  <w:style w:type="paragraph" w:styleId="6">
    <w:name w:val="heading 3"/>
    <w:basedOn w:val="1"/>
    <w:next w:val="1"/>
    <w:link w:val="141"/>
    <w:qFormat/>
    <w:uiPriority w:val="99"/>
    <w:pPr>
      <w:keepNext/>
      <w:keepLines/>
      <w:spacing w:before="260" w:after="260" w:line="416" w:lineRule="auto"/>
      <w:outlineLvl w:val="2"/>
    </w:pPr>
    <w:rPr>
      <w:b/>
      <w:bCs/>
      <w:kern w:val="0"/>
      <w:sz w:val="32"/>
      <w:szCs w:val="32"/>
    </w:rPr>
  </w:style>
  <w:style w:type="paragraph" w:styleId="7">
    <w:name w:val="heading 4"/>
    <w:basedOn w:val="1"/>
    <w:next w:val="1"/>
    <w:link w:val="142"/>
    <w:qFormat/>
    <w:uiPriority w:val="99"/>
    <w:pPr>
      <w:keepNext/>
      <w:keepLines/>
      <w:spacing w:before="280" w:after="290" w:line="376" w:lineRule="auto"/>
      <w:outlineLvl w:val="3"/>
    </w:pPr>
    <w:rPr>
      <w:rFonts w:ascii="Arial" w:hAnsi="Arial" w:eastAsia="黑体"/>
      <w:b/>
      <w:bCs/>
      <w:kern w:val="0"/>
      <w:sz w:val="28"/>
      <w:szCs w:val="28"/>
    </w:rPr>
  </w:style>
  <w:style w:type="paragraph" w:styleId="8">
    <w:name w:val="heading 5"/>
    <w:basedOn w:val="1"/>
    <w:next w:val="1"/>
    <w:link w:val="143"/>
    <w:qFormat/>
    <w:uiPriority w:val="99"/>
    <w:pPr>
      <w:keepNext/>
      <w:keepLines/>
      <w:spacing w:before="280" w:after="290" w:line="376" w:lineRule="auto"/>
      <w:outlineLvl w:val="4"/>
    </w:pPr>
    <w:rPr>
      <w:b/>
      <w:bCs/>
      <w:kern w:val="0"/>
      <w:sz w:val="28"/>
      <w:szCs w:val="28"/>
    </w:rPr>
  </w:style>
  <w:style w:type="paragraph" w:styleId="9">
    <w:name w:val="heading 6"/>
    <w:basedOn w:val="1"/>
    <w:next w:val="1"/>
    <w:link w:val="144"/>
    <w:qFormat/>
    <w:uiPriority w:val="99"/>
    <w:pPr>
      <w:keepNext/>
      <w:keepLines/>
      <w:spacing w:before="240" w:after="64" w:line="320" w:lineRule="auto"/>
      <w:outlineLvl w:val="5"/>
    </w:pPr>
    <w:rPr>
      <w:rFonts w:ascii="Arial" w:hAnsi="Arial" w:eastAsia="黑体"/>
      <w:b/>
      <w:bCs/>
      <w:kern w:val="0"/>
      <w:sz w:val="20"/>
      <w:szCs w:val="20"/>
    </w:rPr>
  </w:style>
  <w:style w:type="paragraph" w:styleId="10">
    <w:name w:val="heading 7"/>
    <w:basedOn w:val="1"/>
    <w:next w:val="1"/>
    <w:link w:val="145"/>
    <w:qFormat/>
    <w:uiPriority w:val="9"/>
    <w:pPr>
      <w:keepNext/>
      <w:keepLines/>
      <w:spacing w:before="240" w:after="64" w:line="320" w:lineRule="auto"/>
      <w:jc w:val="left"/>
      <w:outlineLvl w:val="6"/>
    </w:pPr>
    <w:rPr>
      <w:b/>
      <w:bCs/>
      <w:kern w:val="0"/>
      <w:sz w:val="24"/>
    </w:rPr>
  </w:style>
  <w:style w:type="paragraph" w:styleId="11">
    <w:name w:val="heading 8"/>
    <w:basedOn w:val="1"/>
    <w:next w:val="1"/>
    <w:link w:val="146"/>
    <w:qFormat/>
    <w:uiPriority w:val="9"/>
    <w:pPr>
      <w:keepNext/>
      <w:keepLines/>
      <w:tabs>
        <w:tab w:val="left" w:pos="1440"/>
      </w:tabs>
      <w:adjustRightInd w:val="0"/>
      <w:spacing w:line="360" w:lineRule="atLeast"/>
      <w:ind w:left="1440" w:hanging="1440"/>
      <w:outlineLvl w:val="7"/>
    </w:pPr>
    <w:rPr>
      <w:rFonts w:ascii="Cambria" w:hAnsi="Cambria"/>
      <w:kern w:val="0"/>
      <w:sz w:val="24"/>
    </w:rPr>
  </w:style>
  <w:style w:type="paragraph" w:styleId="12">
    <w:name w:val="heading 9"/>
    <w:basedOn w:val="1"/>
    <w:next w:val="1"/>
    <w:link w:val="147"/>
    <w:qFormat/>
    <w:uiPriority w:val="9"/>
    <w:pPr>
      <w:keepNext/>
      <w:keepLines/>
      <w:tabs>
        <w:tab w:val="left" w:pos="1584"/>
      </w:tabs>
      <w:adjustRightInd w:val="0"/>
      <w:spacing w:line="360" w:lineRule="atLeast"/>
      <w:ind w:left="1584" w:hanging="1584"/>
      <w:outlineLvl w:val="8"/>
    </w:pPr>
    <w:rPr>
      <w:rFonts w:ascii="Cambria" w:hAnsi="Cambria"/>
      <w:kern w:val="0"/>
      <w:sz w:val="20"/>
      <w:szCs w:val="21"/>
    </w:rPr>
  </w:style>
  <w:style w:type="character" w:default="1" w:styleId="121">
    <w:name w:val="Default Paragraph Font"/>
    <w:semiHidden/>
    <w:unhideWhenUsed/>
    <w:qFormat/>
    <w:uiPriority w:val="1"/>
  </w:style>
  <w:style w:type="table" w:default="1" w:styleId="76">
    <w:name w:val="Normal Table"/>
    <w:semiHidden/>
    <w:unhideWhenUsed/>
    <w:qFormat/>
    <w:uiPriority w:val="99"/>
    <w:tblPr>
      <w:tblCellMar>
        <w:top w:w="0" w:type="dxa"/>
        <w:left w:w="108" w:type="dxa"/>
        <w:bottom w:w="0" w:type="dxa"/>
        <w:right w:w="108" w:type="dxa"/>
      </w:tblCellMar>
    </w:tblPr>
  </w:style>
  <w:style w:type="paragraph" w:customStyle="1" w:styleId="2">
    <w:name w:val="UserStyle_0"/>
    <w:qFormat/>
    <w:uiPriority w:val="0"/>
    <w:pPr>
      <w:textAlignment w:val="baseline"/>
    </w:pPr>
    <w:rPr>
      <w:rFonts w:ascii="宋体" w:hAnsi="Times New Roman" w:eastAsia="宋体" w:cstheme="minorBidi"/>
      <w:color w:val="000000"/>
      <w:sz w:val="24"/>
      <w:szCs w:val="24"/>
      <w:lang w:val="en-US" w:eastAsia="zh-CN" w:bidi="ar-SA"/>
    </w:rPr>
  </w:style>
  <w:style w:type="paragraph" w:styleId="5">
    <w:name w:val="Normal Indent"/>
    <w:basedOn w:val="1"/>
    <w:link w:val="140"/>
    <w:qFormat/>
    <w:uiPriority w:val="99"/>
    <w:pPr>
      <w:ind w:firstLine="420" w:firstLineChars="200"/>
    </w:pPr>
    <w:rPr>
      <w:kern w:val="0"/>
      <w:szCs w:val="20"/>
    </w:rPr>
  </w:style>
  <w:style w:type="paragraph" w:styleId="13">
    <w:name w:val="List 3"/>
    <w:basedOn w:val="1"/>
    <w:qFormat/>
    <w:uiPriority w:val="99"/>
    <w:pPr>
      <w:ind w:left="100" w:leftChars="400" w:hanging="200" w:hangingChars="200"/>
    </w:pPr>
  </w:style>
  <w:style w:type="paragraph" w:styleId="14">
    <w:name w:val="toc 7"/>
    <w:basedOn w:val="1"/>
    <w:next w:val="1"/>
    <w:semiHidden/>
    <w:qFormat/>
    <w:uiPriority w:val="99"/>
    <w:pPr>
      <w:ind w:left="1260"/>
      <w:jc w:val="left"/>
    </w:pPr>
    <w:rPr>
      <w:sz w:val="18"/>
      <w:szCs w:val="18"/>
    </w:rPr>
  </w:style>
  <w:style w:type="paragraph" w:styleId="15">
    <w:name w:val="List Number 2"/>
    <w:basedOn w:val="1"/>
    <w:semiHidden/>
    <w:qFormat/>
    <w:uiPriority w:val="99"/>
    <w:pPr>
      <w:tabs>
        <w:tab w:val="left" w:pos="780"/>
      </w:tabs>
      <w:spacing w:after="200" w:line="276" w:lineRule="auto"/>
      <w:ind w:left="780" w:leftChars="200" w:hanging="360" w:hangingChars="200"/>
      <w:jc w:val="left"/>
    </w:pPr>
    <w:rPr>
      <w:rFonts w:ascii="Calibri" w:hAnsi="Calibri"/>
      <w:kern w:val="0"/>
      <w:sz w:val="22"/>
      <w:szCs w:val="22"/>
      <w:lang w:eastAsia="en-US"/>
    </w:rPr>
  </w:style>
  <w:style w:type="paragraph" w:styleId="16">
    <w:name w:val="table of authorities"/>
    <w:basedOn w:val="1"/>
    <w:next w:val="1"/>
    <w:semiHidden/>
    <w:qFormat/>
    <w:uiPriority w:val="99"/>
    <w:pPr>
      <w:spacing w:after="200" w:line="276" w:lineRule="auto"/>
      <w:ind w:left="420" w:leftChars="200"/>
      <w:jc w:val="left"/>
    </w:pPr>
    <w:rPr>
      <w:rFonts w:ascii="Calibri" w:hAnsi="Calibri"/>
      <w:kern w:val="0"/>
      <w:sz w:val="22"/>
      <w:szCs w:val="22"/>
      <w:lang w:eastAsia="en-US"/>
    </w:rPr>
  </w:style>
  <w:style w:type="paragraph" w:styleId="17">
    <w:name w:val="Note Heading"/>
    <w:basedOn w:val="1"/>
    <w:next w:val="1"/>
    <w:link w:val="148"/>
    <w:semiHidden/>
    <w:qFormat/>
    <w:uiPriority w:val="0"/>
    <w:pPr>
      <w:spacing w:after="200" w:line="276" w:lineRule="auto"/>
      <w:jc w:val="center"/>
    </w:pPr>
    <w:rPr>
      <w:kern w:val="0"/>
      <w:sz w:val="20"/>
    </w:rPr>
  </w:style>
  <w:style w:type="paragraph" w:styleId="18">
    <w:name w:val="List Bullet 4"/>
    <w:basedOn w:val="1"/>
    <w:semiHidden/>
    <w:qFormat/>
    <w:uiPriority w:val="99"/>
    <w:pPr>
      <w:tabs>
        <w:tab w:val="left" w:pos="360"/>
      </w:tabs>
      <w:spacing w:after="200" w:line="276" w:lineRule="auto"/>
      <w:ind w:left="360" w:hanging="360"/>
      <w:jc w:val="left"/>
    </w:pPr>
    <w:rPr>
      <w:rFonts w:ascii="Calibri" w:hAnsi="Calibri"/>
      <w:kern w:val="0"/>
      <w:sz w:val="22"/>
      <w:szCs w:val="22"/>
      <w:lang w:eastAsia="en-US"/>
    </w:rPr>
  </w:style>
  <w:style w:type="paragraph" w:styleId="19">
    <w:name w:val="E-mail Signature"/>
    <w:basedOn w:val="1"/>
    <w:link w:val="149"/>
    <w:semiHidden/>
    <w:qFormat/>
    <w:uiPriority w:val="99"/>
    <w:pPr>
      <w:spacing w:after="200" w:line="276" w:lineRule="auto"/>
      <w:jc w:val="left"/>
    </w:pPr>
    <w:rPr>
      <w:kern w:val="0"/>
      <w:sz w:val="20"/>
    </w:rPr>
  </w:style>
  <w:style w:type="paragraph" w:styleId="20">
    <w:name w:val="List Number"/>
    <w:basedOn w:val="1"/>
    <w:semiHidden/>
    <w:qFormat/>
    <w:uiPriority w:val="99"/>
    <w:pPr>
      <w:tabs>
        <w:tab w:val="left" w:pos="360"/>
      </w:tabs>
      <w:spacing w:after="200" w:line="276" w:lineRule="auto"/>
      <w:ind w:left="360" w:hanging="360" w:hangingChars="200"/>
      <w:jc w:val="left"/>
    </w:pPr>
    <w:rPr>
      <w:rFonts w:ascii="Calibri" w:hAnsi="Calibri"/>
      <w:kern w:val="0"/>
      <w:sz w:val="22"/>
      <w:szCs w:val="22"/>
      <w:lang w:eastAsia="en-US"/>
    </w:rPr>
  </w:style>
  <w:style w:type="paragraph" w:styleId="21">
    <w:name w:val="caption"/>
    <w:basedOn w:val="1"/>
    <w:next w:val="1"/>
    <w:qFormat/>
    <w:uiPriority w:val="99"/>
    <w:pPr>
      <w:spacing w:before="152" w:after="160"/>
    </w:pPr>
    <w:rPr>
      <w:rFonts w:ascii="Arial" w:hAnsi="Arial" w:eastAsia="黑体" w:cs="Arial"/>
      <w:sz w:val="20"/>
      <w:szCs w:val="20"/>
    </w:rPr>
  </w:style>
  <w:style w:type="paragraph" w:styleId="22">
    <w:name w:val="List Bullet"/>
    <w:basedOn w:val="1"/>
    <w:semiHidden/>
    <w:qFormat/>
    <w:uiPriority w:val="99"/>
    <w:pPr>
      <w:tabs>
        <w:tab w:val="left" w:pos="360"/>
      </w:tabs>
      <w:spacing w:after="200" w:line="276" w:lineRule="auto"/>
      <w:ind w:left="360" w:hanging="360"/>
      <w:jc w:val="left"/>
    </w:pPr>
    <w:rPr>
      <w:rFonts w:ascii="Calibri" w:hAnsi="Calibri"/>
      <w:kern w:val="0"/>
      <w:sz w:val="22"/>
      <w:szCs w:val="22"/>
      <w:lang w:eastAsia="en-US"/>
    </w:rPr>
  </w:style>
  <w:style w:type="paragraph" w:styleId="23">
    <w:name w:val="envelope address"/>
    <w:basedOn w:val="1"/>
    <w:semiHidden/>
    <w:qFormat/>
    <w:uiPriority w:val="99"/>
    <w:pPr>
      <w:framePr w:w="7920" w:h="1980" w:hRule="exact" w:hSpace="180" w:wrap="around" w:vAnchor="margin" w:hAnchor="page" w:xAlign="center" w:yAlign="bottom"/>
      <w:snapToGrid w:val="0"/>
      <w:spacing w:after="200" w:line="276" w:lineRule="auto"/>
      <w:ind w:left="100" w:leftChars="1400"/>
      <w:jc w:val="left"/>
    </w:pPr>
    <w:rPr>
      <w:rFonts w:ascii="Arial" w:hAnsi="Arial" w:cs="Arial"/>
      <w:kern w:val="0"/>
      <w:sz w:val="24"/>
      <w:lang w:eastAsia="en-US"/>
    </w:rPr>
  </w:style>
  <w:style w:type="paragraph" w:styleId="24">
    <w:name w:val="Document Map"/>
    <w:basedOn w:val="1"/>
    <w:link w:val="150"/>
    <w:semiHidden/>
    <w:qFormat/>
    <w:uiPriority w:val="99"/>
    <w:pPr>
      <w:shd w:val="clear" w:color="auto" w:fill="000080"/>
    </w:pPr>
    <w:rPr>
      <w:kern w:val="0"/>
      <w:sz w:val="16"/>
      <w:szCs w:val="16"/>
    </w:rPr>
  </w:style>
  <w:style w:type="paragraph" w:styleId="25">
    <w:name w:val="toa heading"/>
    <w:basedOn w:val="1"/>
    <w:next w:val="1"/>
    <w:semiHidden/>
    <w:qFormat/>
    <w:uiPriority w:val="99"/>
    <w:pPr>
      <w:spacing w:before="120"/>
    </w:pPr>
    <w:rPr>
      <w:rFonts w:ascii="Arial" w:hAnsi="Arial"/>
      <w:sz w:val="24"/>
      <w:szCs w:val="20"/>
    </w:rPr>
  </w:style>
  <w:style w:type="paragraph" w:styleId="26">
    <w:name w:val="annotation text"/>
    <w:basedOn w:val="1"/>
    <w:link w:val="151"/>
    <w:qFormat/>
    <w:uiPriority w:val="99"/>
    <w:pPr>
      <w:spacing w:after="200" w:line="276" w:lineRule="auto"/>
      <w:jc w:val="left"/>
    </w:pPr>
    <w:rPr>
      <w:kern w:val="0"/>
      <w:sz w:val="20"/>
    </w:rPr>
  </w:style>
  <w:style w:type="paragraph" w:styleId="27">
    <w:name w:val="Salutation"/>
    <w:basedOn w:val="1"/>
    <w:next w:val="1"/>
    <w:link w:val="152"/>
    <w:semiHidden/>
    <w:qFormat/>
    <w:uiPriority w:val="99"/>
    <w:pPr>
      <w:spacing w:after="200" w:line="276" w:lineRule="auto"/>
      <w:jc w:val="left"/>
    </w:pPr>
    <w:rPr>
      <w:kern w:val="0"/>
      <w:sz w:val="20"/>
    </w:rPr>
  </w:style>
  <w:style w:type="paragraph" w:styleId="28">
    <w:name w:val="Body Text 3"/>
    <w:basedOn w:val="1"/>
    <w:link w:val="153"/>
    <w:qFormat/>
    <w:uiPriority w:val="99"/>
    <w:rPr>
      <w:kern w:val="0"/>
      <w:sz w:val="16"/>
      <w:szCs w:val="16"/>
    </w:rPr>
  </w:style>
  <w:style w:type="paragraph" w:styleId="29">
    <w:name w:val="Closing"/>
    <w:basedOn w:val="1"/>
    <w:link w:val="154"/>
    <w:semiHidden/>
    <w:qFormat/>
    <w:uiPriority w:val="99"/>
    <w:pPr>
      <w:spacing w:after="200" w:line="276" w:lineRule="auto"/>
      <w:ind w:left="100" w:leftChars="2100"/>
      <w:jc w:val="left"/>
    </w:pPr>
    <w:rPr>
      <w:kern w:val="0"/>
      <w:sz w:val="20"/>
    </w:rPr>
  </w:style>
  <w:style w:type="paragraph" w:styleId="30">
    <w:name w:val="List Bullet 3"/>
    <w:basedOn w:val="1"/>
    <w:semiHidden/>
    <w:qFormat/>
    <w:uiPriority w:val="99"/>
    <w:pPr>
      <w:tabs>
        <w:tab w:val="left" w:pos="360"/>
      </w:tabs>
      <w:spacing w:after="200" w:line="276" w:lineRule="auto"/>
      <w:ind w:left="360" w:hanging="360"/>
      <w:jc w:val="left"/>
    </w:pPr>
    <w:rPr>
      <w:rFonts w:ascii="Calibri" w:hAnsi="Calibri"/>
      <w:kern w:val="0"/>
      <w:sz w:val="22"/>
      <w:szCs w:val="22"/>
      <w:lang w:eastAsia="en-US"/>
    </w:rPr>
  </w:style>
  <w:style w:type="paragraph" w:styleId="31">
    <w:name w:val="Body Text"/>
    <w:basedOn w:val="1"/>
    <w:next w:val="32"/>
    <w:link w:val="155"/>
    <w:qFormat/>
    <w:uiPriority w:val="99"/>
    <w:pPr>
      <w:spacing w:after="120"/>
    </w:pPr>
    <w:rPr>
      <w:kern w:val="0"/>
      <w:sz w:val="20"/>
    </w:rPr>
  </w:style>
  <w:style w:type="paragraph" w:styleId="32">
    <w:name w:val="Body Text 2"/>
    <w:basedOn w:val="1"/>
    <w:link w:val="167"/>
    <w:qFormat/>
    <w:uiPriority w:val="99"/>
    <w:rPr>
      <w:kern w:val="0"/>
      <w:sz w:val="20"/>
    </w:rPr>
  </w:style>
  <w:style w:type="paragraph" w:styleId="33">
    <w:name w:val="Body Text Indent"/>
    <w:basedOn w:val="1"/>
    <w:link w:val="156"/>
    <w:qFormat/>
    <w:uiPriority w:val="99"/>
    <w:pPr>
      <w:spacing w:line="500" w:lineRule="exact"/>
      <w:ind w:left="1588" w:leftChars="832" w:firstLine="433" w:firstLineChars="196"/>
    </w:pPr>
    <w:rPr>
      <w:kern w:val="0"/>
      <w:sz w:val="20"/>
    </w:rPr>
  </w:style>
  <w:style w:type="paragraph" w:styleId="34">
    <w:name w:val="List Number 3"/>
    <w:basedOn w:val="1"/>
    <w:semiHidden/>
    <w:qFormat/>
    <w:uiPriority w:val="99"/>
    <w:pPr>
      <w:tabs>
        <w:tab w:val="left" w:pos="360"/>
      </w:tabs>
      <w:spacing w:after="200" w:line="276" w:lineRule="auto"/>
      <w:ind w:left="360" w:hanging="360"/>
      <w:jc w:val="left"/>
    </w:pPr>
    <w:rPr>
      <w:rFonts w:ascii="Calibri" w:hAnsi="Calibri"/>
      <w:kern w:val="0"/>
      <w:sz w:val="22"/>
      <w:szCs w:val="22"/>
      <w:lang w:eastAsia="en-US"/>
    </w:rPr>
  </w:style>
  <w:style w:type="paragraph" w:styleId="35">
    <w:name w:val="List 2"/>
    <w:basedOn w:val="1"/>
    <w:qFormat/>
    <w:uiPriority w:val="99"/>
    <w:pPr>
      <w:ind w:left="100" w:leftChars="200" w:hanging="200" w:hangingChars="200"/>
    </w:pPr>
  </w:style>
  <w:style w:type="paragraph" w:styleId="36">
    <w:name w:val="List Continue"/>
    <w:basedOn w:val="1"/>
    <w:qFormat/>
    <w:uiPriority w:val="99"/>
    <w:pPr>
      <w:spacing w:after="120"/>
      <w:ind w:left="420" w:leftChars="200"/>
    </w:pPr>
  </w:style>
  <w:style w:type="paragraph" w:styleId="37">
    <w:name w:val="Block Text"/>
    <w:basedOn w:val="1"/>
    <w:semiHidden/>
    <w:qFormat/>
    <w:uiPriority w:val="99"/>
    <w:pPr>
      <w:spacing w:after="120" w:line="276" w:lineRule="auto"/>
      <w:ind w:left="1440" w:leftChars="700" w:right="1440" w:rightChars="700"/>
      <w:jc w:val="left"/>
    </w:pPr>
    <w:rPr>
      <w:rFonts w:ascii="Calibri" w:hAnsi="Calibri"/>
      <w:kern w:val="0"/>
      <w:sz w:val="22"/>
      <w:szCs w:val="22"/>
      <w:lang w:eastAsia="en-US"/>
    </w:rPr>
  </w:style>
  <w:style w:type="paragraph" w:styleId="38">
    <w:name w:val="List Bullet 2"/>
    <w:basedOn w:val="1"/>
    <w:semiHidden/>
    <w:qFormat/>
    <w:uiPriority w:val="99"/>
    <w:pPr>
      <w:tabs>
        <w:tab w:val="left" w:pos="360"/>
      </w:tabs>
      <w:spacing w:after="200" w:line="276" w:lineRule="auto"/>
      <w:ind w:left="360" w:hanging="360"/>
      <w:jc w:val="left"/>
    </w:pPr>
    <w:rPr>
      <w:rFonts w:ascii="Calibri" w:hAnsi="Calibri"/>
      <w:kern w:val="0"/>
      <w:sz w:val="22"/>
      <w:szCs w:val="22"/>
      <w:lang w:eastAsia="en-US"/>
    </w:rPr>
  </w:style>
  <w:style w:type="paragraph" w:styleId="39">
    <w:name w:val="HTML Address"/>
    <w:basedOn w:val="1"/>
    <w:link w:val="157"/>
    <w:semiHidden/>
    <w:qFormat/>
    <w:uiPriority w:val="99"/>
    <w:pPr>
      <w:spacing w:after="200" w:line="276" w:lineRule="auto"/>
      <w:jc w:val="left"/>
    </w:pPr>
    <w:rPr>
      <w:i/>
      <w:iCs/>
      <w:kern w:val="0"/>
      <w:sz w:val="20"/>
    </w:rPr>
  </w:style>
  <w:style w:type="paragraph" w:styleId="40">
    <w:name w:val="index 4"/>
    <w:basedOn w:val="1"/>
    <w:next w:val="1"/>
    <w:qFormat/>
    <w:uiPriority w:val="0"/>
    <w:pPr>
      <w:ind w:left="428" w:firstLine="140"/>
    </w:pPr>
    <w:rPr>
      <w:rFonts w:eastAsia="华文仿宋"/>
      <w:sz w:val="28"/>
    </w:rPr>
  </w:style>
  <w:style w:type="paragraph" w:styleId="41">
    <w:name w:val="toc 5"/>
    <w:basedOn w:val="1"/>
    <w:next w:val="1"/>
    <w:semiHidden/>
    <w:qFormat/>
    <w:uiPriority w:val="99"/>
    <w:pPr>
      <w:ind w:left="840"/>
      <w:jc w:val="left"/>
    </w:pPr>
    <w:rPr>
      <w:sz w:val="18"/>
      <w:szCs w:val="18"/>
    </w:rPr>
  </w:style>
  <w:style w:type="paragraph" w:styleId="42">
    <w:name w:val="toc 3"/>
    <w:basedOn w:val="1"/>
    <w:next w:val="1"/>
    <w:qFormat/>
    <w:uiPriority w:val="39"/>
    <w:pPr>
      <w:ind w:left="420"/>
      <w:jc w:val="left"/>
    </w:pPr>
    <w:rPr>
      <w:i/>
      <w:iCs/>
      <w:sz w:val="20"/>
      <w:szCs w:val="20"/>
    </w:rPr>
  </w:style>
  <w:style w:type="paragraph" w:styleId="43">
    <w:name w:val="Plain Text"/>
    <w:basedOn w:val="1"/>
    <w:link w:val="158"/>
    <w:qFormat/>
    <w:uiPriority w:val="99"/>
    <w:rPr>
      <w:rFonts w:ascii="宋体" w:hAnsi="Courier New"/>
      <w:kern w:val="0"/>
      <w:sz w:val="20"/>
      <w:szCs w:val="21"/>
    </w:rPr>
  </w:style>
  <w:style w:type="paragraph" w:styleId="44">
    <w:name w:val="List Bullet 5"/>
    <w:basedOn w:val="1"/>
    <w:semiHidden/>
    <w:qFormat/>
    <w:uiPriority w:val="99"/>
    <w:pPr>
      <w:tabs>
        <w:tab w:val="left" w:pos="360"/>
      </w:tabs>
      <w:spacing w:after="200" w:line="276" w:lineRule="auto"/>
      <w:ind w:left="360" w:hanging="360"/>
      <w:jc w:val="left"/>
    </w:pPr>
    <w:rPr>
      <w:rFonts w:ascii="Calibri" w:hAnsi="Calibri"/>
      <w:kern w:val="0"/>
      <w:sz w:val="22"/>
      <w:szCs w:val="22"/>
      <w:lang w:eastAsia="en-US"/>
    </w:rPr>
  </w:style>
  <w:style w:type="paragraph" w:styleId="45">
    <w:name w:val="List Number 4"/>
    <w:basedOn w:val="1"/>
    <w:semiHidden/>
    <w:qFormat/>
    <w:uiPriority w:val="99"/>
    <w:pPr>
      <w:numPr>
        <w:ilvl w:val="0"/>
        <w:numId w:val="1"/>
      </w:numPr>
      <w:spacing w:after="200" w:line="276" w:lineRule="auto"/>
      <w:jc w:val="left"/>
    </w:pPr>
    <w:rPr>
      <w:rFonts w:ascii="Calibri" w:hAnsi="Calibri"/>
      <w:kern w:val="0"/>
      <w:sz w:val="22"/>
      <w:szCs w:val="22"/>
      <w:lang w:eastAsia="en-US"/>
    </w:rPr>
  </w:style>
  <w:style w:type="paragraph" w:styleId="46">
    <w:name w:val="toc 8"/>
    <w:basedOn w:val="1"/>
    <w:next w:val="1"/>
    <w:semiHidden/>
    <w:qFormat/>
    <w:uiPriority w:val="99"/>
    <w:pPr>
      <w:ind w:left="1470"/>
      <w:jc w:val="left"/>
    </w:pPr>
    <w:rPr>
      <w:sz w:val="18"/>
      <w:szCs w:val="18"/>
    </w:rPr>
  </w:style>
  <w:style w:type="paragraph" w:styleId="47">
    <w:name w:val="Date"/>
    <w:basedOn w:val="1"/>
    <w:next w:val="1"/>
    <w:link w:val="159"/>
    <w:qFormat/>
    <w:uiPriority w:val="99"/>
    <w:pPr>
      <w:ind w:left="100" w:leftChars="2500"/>
    </w:pPr>
    <w:rPr>
      <w:kern w:val="0"/>
      <w:sz w:val="20"/>
    </w:rPr>
  </w:style>
  <w:style w:type="paragraph" w:styleId="48">
    <w:name w:val="Body Text Indent 2"/>
    <w:basedOn w:val="1"/>
    <w:link w:val="160"/>
    <w:qFormat/>
    <w:uiPriority w:val="99"/>
    <w:pPr>
      <w:spacing w:line="500" w:lineRule="exact"/>
      <w:ind w:firstLine="442" w:firstLineChars="200"/>
    </w:pPr>
    <w:rPr>
      <w:kern w:val="0"/>
      <w:sz w:val="20"/>
    </w:rPr>
  </w:style>
  <w:style w:type="paragraph" w:styleId="49">
    <w:name w:val="List Continue 5"/>
    <w:basedOn w:val="1"/>
    <w:semiHidden/>
    <w:qFormat/>
    <w:uiPriority w:val="99"/>
    <w:pPr>
      <w:spacing w:after="120" w:line="276" w:lineRule="auto"/>
      <w:ind w:left="2100" w:leftChars="1000"/>
      <w:jc w:val="left"/>
    </w:pPr>
    <w:rPr>
      <w:rFonts w:ascii="Calibri" w:hAnsi="Calibri"/>
      <w:kern w:val="0"/>
      <w:sz w:val="22"/>
      <w:szCs w:val="22"/>
      <w:lang w:eastAsia="en-US"/>
    </w:rPr>
  </w:style>
  <w:style w:type="paragraph" w:styleId="50">
    <w:name w:val="Balloon Text"/>
    <w:basedOn w:val="1"/>
    <w:link w:val="161"/>
    <w:qFormat/>
    <w:uiPriority w:val="99"/>
    <w:rPr>
      <w:kern w:val="0"/>
      <w:sz w:val="16"/>
      <w:szCs w:val="16"/>
    </w:rPr>
  </w:style>
  <w:style w:type="paragraph" w:styleId="51">
    <w:name w:val="footer"/>
    <w:basedOn w:val="1"/>
    <w:link w:val="162"/>
    <w:qFormat/>
    <w:uiPriority w:val="99"/>
    <w:pPr>
      <w:tabs>
        <w:tab w:val="center" w:pos="4153"/>
        <w:tab w:val="right" w:pos="8306"/>
      </w:tabs>
      <w:snapToGrid w:val="0"/>
      <w:jc w:val="left"/>
    </w:pPr>
    <w:rPr>
      <w:kern w:val="0"/>
      <w:sz w:val="18"/>
      <w:szCs w:val="18"/>
    </w:rPr>
  </w:style>
  <w:style w:type="paragraph" w:styleId="52">
    <w:name w:val="envelope return"/>
    <w:basedOn w:val="1"/>
    <w:semiHidden/>
    <w:qFormat/>
    <w:uiPriority w:val="99"/>
    <w:pPr>
      <w:snapToGrid w:val="0"/>
      <w:spacing w:after="200" w:line="276" w:lineRule="auto"/>
      <w:jc w:val="left"/>
    </w:pPr>
    <w:rPr>
      <w:rFonts w:ascii="Arial" w:hAnsi="Arial" w:cs="Arial"/>
      <w:kern w:val="0"/>
      <w:sz w:val="22"/>
      <w:szCs w:val="22"/>
      <w:lang w:eastAsia="en-US"/>
    </w:rPr>
  </w:style>
  <w:style w:type="paragraph" w:styleId="53">
    <w:name w:val="header"/>
    <w:basedOn w:val="1"/>
    <w:link w:val="163"/>
    <w:qFormat/>
    <w:uiPriority w:val="99"/>
    <w:pPr>
      <w:pBdr>
        <w:bottom w:val="single" w:color="auto" w:sz="6" w:space="1"/>
      </w:pBdr>
      <w:tabs>
        <w:tab w:val="center" w:pos="4153"/>
        <w:tab w:val="right" w:pos="8306"/>
      </w:tabs>
      <w:snapToGrid w:val="0"/>
      <w:jc w:val="center"/>
    </w:pPr>
    <w:rPr>
      <w:kern w:val="0"/>
      <w:sz w:val="18"/>
      <w:szCs w:val="18"/>
    </w:rPr>
  </w:style>
  <w:style w:type="paragraph" w:styleId="54">
    <w:name w:val="Signature"/>
    <w:basedOn w:val="1"/>
    <w:link w:val="164"/>
    <w:qFormat/>
    <w:uiPriority w:val="99"/>
    <w:pPr>
      <w:ind w:left="100" w:leftChars="2100"/>
    </w:pPr>
    <w:rPr>
      <w:kern w:val="0"/>
      <w:sz w:val="20"/>
    </w:rPr>
  </w:style>
  <w:style w:type="paragraph" w:styleId="55">
    <w:name w:val="toc 1"/>
    <w:basedOn w:val="1"/>
    <w:next w:val="1"/>
    <w:qFormat/>
    <w:uiPriority w:val="39"/>
    <w:pPr>
      <w:spacing w:before="120" w:after="120"/>
      <w:jc w:val="left"/>
    </w:pPr>
    <w:rPr>
      <w:b/>
      <w:bCs/>
      <w:caps/>
      <w:sz w:val="20"/>
      <w:szCs w:val="20"/>
    </w:rPr>
  </w:style>
  <w:style w:type="paragraph" w:styleId="56">
    <w:name w:val="List Continue 4"/>
    <w:basedOn w:val="1"/>
    <w:qFormat/>
    <w:uiPriority w:val="99"/>
    <w:pPr>
      <w:spacing w:after="120"/>
      <w:ind w:left="1680" w:leftChars="800"/>
    </w:pPr>
  </w:style>
  <w:style w:type="paragraph" w:styleId="57">
    <w:name w:val="toc 4"/>
    <w:basedOn w:val="1"/>
    <w:next w:val="1"/>
    <w:semiHidden/>
    <w:qFormat/>
    <w:uiPriority w:val="99"/>
    <w:pPr>
      <w:ind w:left="630"/>
      <w:jc w:val="left"/>
    </w:pPr>
    <w:rPr>
      <w:sz w:val="18"/>
      <w:szCs w:val="18"/>
    </w:rPr>
  </w:style>
  <w:style w:type="paragraph" w:styleId="58">
    <w:name w:val="Subtitle"/>
    <w:basedOn w:val="1"/>
    <w:link w:val="165"/>
    <w:qFormat/>
    <w:uiPriority w:val="11"/>
    <w:pPr>
      <w:spacing w:before="240" w:after="60" w:line="312" w:lineRule="auto"/>
      <w:jc w:val="center"/>
      <w:outlineLvl w:val="1"/>
    </w:pPr>
    <w:rPr>
      <w:rFonts w:ascii="Cambria" w:hAnsi="Cambria"/>
      <w:b/>
      <w:bCs/>
      <w:kern w:val="28"/>
      <w:sz w:val="32"/>
      <w:szCs w:val="32"/>
    </w:rPr>
  </w:style>
  <w:style w:type="paragraph" w:styleId="59">
    <w:name w:val="List Number 5"/>
    <w:basedOn w:val="1"/>
    <w:semiHidden/>
    <w:qFormat/>
    <w:uiPriority w:val="99"/>
    <w:pPr>
      <w:tabs>
        <w:tab w:val="left" w:pos="360"/>
      </w:tabs>
      <w:spacing w:after="200" w:line="276" w:lineRule="auto"/>
      <w:ind w:left="360" w:hanging="360"/>
      <w:jc w:val="left"/>
    </w:pPr>
    <w:rPr>
      <w:rFonts w:ascii="Calibri" w:hAnsi="Calibri"/>
      <w:kern w:val="0"/>
      <w:sz w:val="22"/>
      <w:szCs w:val="22"/>
      <w:lang w:eastAsia="en-US"/>
    </w:rPr>
  </w:style>
  <w:style w:type="paragraph" w:styleId="60">
    <w:name w:val="List"/>
    <w:basedOn w:val="1"/>
    <w:qFormat/>
    <w:uiPriority w:val="99"/>
    <w:pPr>
      <w:ind w:left="200" w:hanging="200" w:hangingChars="200"/>
    </w:pPr>
  </w:style>
  <w:style w:type="paragraph" w:styleId="61">
    <w:name w:val="toc 6"/>
    <w:basedOn w:val="1"/>
    <w:next w:val="1"/>
    <w:semiHidden/>
    <w:qFormat/>
    <w:uiPriority w:val="99"/>
    <w:pPr>
      <w:ind w:left="1050"/>
      <w:jc w:val="left"/>
    </w:pPr>
    <w:rPr>
      <w:sz w:val="18"/>
      <w:szCs w:val="18"/>
    </w:rPr>
  </w:style>
  <w:style w:type="paragraph" w:styleId="62">
    <w:name w:val="List 5"/>
    <w:basedOn w:val="1"/>
    <w:qFormat/>
    <w:uiPriority w:val="99"/>
    <w:pPr>
      <w:ind w:left="100" w:leftChars="800" w:hanging="200" w:hangingChars="200"/>
    </w:pPr>
  </w:style>
  <w:style w:type="paragraph" w:styleId="63">
    <w:name w:val="Body Text Indent 3"/>
    <w:basedOn w:val="1"/>
    <w:link w:val="166"/>
    <w:qFormat/>
    <w:uiPriority w:val="99"/>
    <w:pPr>
      <w:tabs>
        <w:tab w:val="left" w:pos="1134"/>
        <w:tab w:val="left" w:pos="5481"/>
        <w:tab w:val="left" w:pos="5859"/>
      </w:tabs>
      <w:spacing w:line="500" w:lineRule="exact"/>
      <w:ind w:firstLine="8275" w:firstLineChars="1200"/>
    </w:pPr>
    <w:rPr>
      <w:kern w:val="0"/>
      <w:sz w:val="16"/>
      <w:szCs w:val="16"/>
    </w:rPr>
  </w:style>
  <w:style w:type="paragraph" w:styleId="64">
    <w:name w:val="toc 2"/>
    <w:basedOn w:val="1"/>
    <w:next w:val="1"/>
    <w:qFormat/>
    <w:uiPriority w:val="39"/>
    <w:pPr>
      <w:tabs>
        <w:tab w:val="right" w:leader="dot" w:pos="8597"/>
      </w:tabs>
      <w:spacing w:line="360" w:lineRule="auto"/>
      <w:ind w:left="210"/>
      <w:jc w:val="left"/>
    </w:pPr>
    <w:rPr>
      <w:smallCaps/>
      <w:sz w:val="20"/>
      <w:szCs w:val="20"/>
    </w:rPr>
  </w:style>
  <w:style w:type="paragraph" w:styleId="65">
    <w:name w:val="toc 9"/>
    <w:basedOn w:val="1"/>
    <w:next w:val="1"/>
    <w:semiHidden/>
    <w:qFormat/>
    <w:uiPriority w:val="99"/>
    <w:pPr>
      <w:ind w:left="1680"/>
      <w:jc w:val="left"/>
    </w:pPr>
    <w:rPr>
      <w:sz w:val="18"/>
      <w:szCs w:val="18"/>
    </w:rPr>
  </w:style>
  <w:style w:type="paragraph" w:styleId="66">
    <w:name w:val="List 4"/>
    <w:basedOn w:val="1"/>
    <w:qFormat/>
    <w:uiPriority w:val="99"/>
    <w:pPr>
      <w:ind w:left="100" w:leftChars="600" w:hanging="200" w:hangingChars="200"/>
    </w:pPr>
  </w:style>
  <w:style w:type="paragraph" w:styleId="67">
    <w:name w:val="List Continue 2"/>
    <w:basedOn w:val="1"/>
    <w:qFormat/>
    <w:uiPriority w:val="99"/>
    <w:pPr>
      <w:spacing w:after="120"/>
      <w:ind w:left="840" w:leftChars="400"/>
    </w:pPr>
  </w:style>
  <w:style w:type="paragraph" w:styleId="68">
    <w:name w:val="Message Header"/>
    <w:basedOn w:val="1"/>
    <w:link w:val="168"/>
    <w:semiHidden/>
    <w:qFormat/>
    <w:uiPriority w:val="99"/>
    <w:pPr>
      <w:pBdr>
        <w:top w:val="single" w:color="auto" w:sz="6" w:space="1"/>
        <w:left w:val="single" w:color="auto" w:sz="6" w:space="1"/>
        <w:bottom w:val="single" w:color="auto" w:sz="6" w:space="1"/>
        <w:right w:val="single" w:color="auto" w:sz="6" w:space="1"/>
      </w:pBdr>
      <w:shd w:val="pct20" w:color="auto" w:fill="auto"/>
      <w:spacing w:after="200" w:line="276" w:lineRule="auto"/>
      <w:ind w:left="1080" w:leftChars="500" w:hanging="1080" w:hangingChars="500"/>
      <w:jc w:val="left"/>
    </w:pPr>
    <w:rPr>
      <w:rFonts w:ascii="Cambria" w:hAnsi="Cambria"/>
      <w:kern w:val="0"/>
      <w:sz w:val="24"/>
    </w:rPr>
  </w:style>
  <w:style w:type="paragraph" w:styleId="69">
    <w:name w:val="HTML Preformatted"/>
    <w:basedOn w:val="1"/>
    <w:link w:val="169"/>
    <w:semiHidden/>
    <w:qFormat/>
    <w:uiPriority w:val="99"/>
    <w:pPr>
      <w:spacing w:after="200" w:line="276" w:lineRule="auto"/>
      <w:jc w:val="left"/>
    </w:pPr>
    <w:rPr>
      <w:rFonts w:ascii="Courier New" w:hAnsi="Courier New"/>
      <w:kern w:val="0"/>
      <w:sz w:val="20"/>
      <w:szCs w:val="20"/>
    </w:rPr>
  </w:style>
  <w:style w:type="paragraph" w:styleId="7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71">
    <w:name w:val="List Continue 3"/>
    <w:basedOn w:val="1"/>
    <w:qFormat/>
    <w:uiPriority w:val="99"/>
    <w:pPr>
      <w:spacing w:after="120"/>
      <w:ind w:left="1260" w:leftChars="600"/>
    </w:pPr>
  </w:style>
  <w:style w:type="paragraph" w:styleId="72">
    <w:name w:val="Title"/>
    <w:basedOn w:val="1"/>
    <w:link w:val="170"/>
    <w:qFormat/>
    <w:uiPriority w:val="10"/>
    <w:pPr>
      <w:spacing w:before="240" w:after="60" w:line="276" w:lineRule="auto"/>
      <w:jc w:val="center"/>
      <w:outlineLvl w:val="0"/>
    </w:pPr>
    <w:rPr>
      <w:rFonts w:ascii="Cambria" w:hAnsi="Cambria"/>
      <w:b/>
      <w:bCs/>
      <w:kern w:val="0"/>
      <w:sz w:val="32"/>
      <w:szCs w:val="32"/>
    </w:rPr>
  </w:style>
  <w:style w:type="paragraph" w:styleId="73">
    <w:name w:val="annotation subject"/>
    <w:basedOn w:val="26"/>
    <w:next w:val="26"/>
    <w:link w:val="171"/>
    <w:semiHidden/>
    <w:qFormat/>
    <w:uiPriority w:val="99"/>
    <w:pPr>
      <w:spacing w:after="0" w:line="240" w:lineRule="auto"/>
    </w:pPr>
    <w:rPr>
      <w:rFonts w:ascii="Calibri" w:hAnsi="Calibri"/>
      <w:b/>
      <w:bCs/>
      <w:sz w:val="22"/>
      <w:lang w:eastAsia="en-US"/>
    </w:rPr>
  </w:style>
  <w:style w:type="paragraph" w:styleId="74">
    <w:name w:val="Body Text First Indent"/>
    <w:basedOn w:val="31"/>
    <w:link w:val="172"/>
    <w:qFormat/>
    <w:uiPriority w:val="99"/>
    <w:pPr>
      <w:spacing w:line="400" w:lineRule="exact"/>
      <w:ind w:firstLine="200" w:firstLineChars="200"/>
    </w:pPr>
    <w:rPr>
      <w:sz w:val="21"/>
    </w:rPr>
  </w:style>
  <w:style w:type="paragraph" w:styleId="75">
    <w:name w:val="Body Text First Indent 2"/>
    <w:basedOn w:val="33"/>
    <w:link w:val="173"/>
    <w:semiHidden/>
    <w:qFormat/>
    <w:uiPriority w:val="99"/>
    <w:pPr>
      <w:spacing w:after="120" w:line="276" w:lineRule="auto"/>
      <w:ind w:left="420" w:leftChars="200" w:firstLine="420" w:firstLineChars="200"/>
      <w:jc w:val="left"/>
    </w:pPr>
  </w:style>
  <w:style w:type="table" w:styleId="77">
    <w:name w:val="Table Grid"/>
    <w:basedOn w:val="76"/>
    <w:semiHidden/>
    <w:qFormat/>
    <w:uiPriority w:val="99"/>
    <w:pPr>
      <w:widowControl w:val="0"/>
      <w:spacing w:after="200" w:line="276" w:lineRule="auto"/>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8">
    <w:name w:val="Table Theme"/>
    <w:basedOn w:val="76"/>
    <w:semiHidden/>
    <w:qFormat/>
    <w:uiPriority w:val="99"/>
    <w:pPr>
      <w:widowControl w:val="0"/>
      <w:spacing w:after="200" w:line="276" w:lineRule="auto"/>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9">
    <w:name w:val="Table Colorful 1"/>
    <w:basedOn w:val="76"/>
    <w:semiHidden/>
    <w:qFormat/>
    <w:uiPriority w:val="99"/>
    <w:pPr>
      <w:widowControl w:val="0"/>
      <w:spacing w:after="200" w:line="276" w:lineRule="auto"/>
    </w:pPr>
    <w:rPr>
      <w:rFonts w:ascii="Calibri" w:hAnsi="Calibri"/>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op w:val="nil"/>
          <w:left w:val="nil"/>
          <w:bottom w:val="nil"/>
          <w:right w:val="nil"/>
          <w:insideH w:val="nil"/>
          <w:insideV w:val="nil"/>
          <w:tl2br w:val="nil"/>
          <w:tr2bl w:val="nil"/>
        </w:tcBorders>
        <w:shd w:val="solid" w:color="000000" w:fill="FFFFFF"/>
      </w:tcPr>
    </w:tblStylePr>
    <w:tblStylePr w:type="firstCol">
      <w:rPr>
        <w:rFonts w:cs="Times New Roman"/>
        <w:b/>
        <w:bCs/>
        <w:i/>
        <w:iCs/>
      </w:rPr>
      <w:tblPr/>
      <w:tcPr>
        <w:tcBorders>
          <w:top w:val="nil"/>
          <w:left w:val="nil"/>
          <w:bottom w:val="nil"/>
          <w:right w:val="nil"/>
          <w:insideH w:val="nil"/>
          <w:insideV w:val="nil"/>
          <w:tl2br w:val="nil"/>
          <w:tr2bl w:val="nil"/>
        </w:tcBorders>
        <w:shd w:val="solid" w:color="000080" w:fill="FFFFFF"/>
      </w:tcPr>
    </w:tblStylePr>
    <w:tblStylePr w:type="nwCell">
      <w:rPr>
        <w:rFonts w:cs="Times New Roman"/>
      </w:rPr>
      <w:tblPr/>
      <w:tcPr>
        <w:tcBorders>
          <w:top w:val="nil"/>
          <w:left w:val="nil"/>
          <w:bottom w:val="nil"/>
          <w:right w:val="nil"/>
          <w:insideH w:val="nil"/>
          <w:insideV w:val="nil"/>
          <w:tl2br w:val="nil"/>
          <w:tr2bl w:val="nil"/>
        </w:tcBorders>
        <w:shd w:val="solid" w:color="000000" w:fill="FFFFFF"/>
      </w:tcPr>
    </w:tblStylePr>
    <w:tblStylePr w:type="swCell">
      <w:rPr>
        <w:rFonts w:cs="Times New Roman"/>
        <w:b/>
        <w:bCs/>
        <w:i w:val="0"/>
        <w:iCs w:val="0"/>
      </w:rPr>
      <w:tblPr/>
      <w:tcPr>
        <w:tcBorders>
          <w:top w:val="nil"/>
          <w:left w:val="nil"/>
          <w:bottom w:val="nil"/>
          <w:right w:val="nil"/>
          <w:insideH w:val="nil"/>
          <w:insideV w:val="nil"/>
          <w:tl2br w:val="nil"/>
          <w:tr2bl w:val="nil"/>
        </w:tcBorders>
      </w:tcPr>
    </w:tblStylePr>
  </w:style>
  <w:style w:type="table" w:styleId="80">
    <w:name w:val="Table Colorful 2"/>
    <w:basedOn w:val="76"/>
    <w:semiHidden/>
    <w:qFormat/>
    <w:uiPriority w:val="99"/>
    <w:pPr>
      <w:widowControl w:val="0"/>
      <w:spacing w:after="200" w:line="276" w:lineRule="auto"/>
    </w:pPr>
    <w:rPr>
      <w:rFonts w:ascii="Calibri" w:hAnsi="Calibri"/>
    </w:rPr>
    <w:tblPr>
      <w:tblBorders>
        <w:bottom w:val="single" w:color="000000" w:sz="12" w:space="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top w:val="nil"/>
          <w:left w:val="nil"/>
          <w:bottom w:val="single" w:color="000000" w:sz="12" w:space="0"/>
          <w:right w:val="nil"/>
          <w:insideH w:val="nil"/>
          <w:insideV w:val="nil"/>
          <w:tl2br w:val="nil"/>
          <w:tr2bl w:val="nil"/>
        </w:tcBorders>
        <w:shd w:val="solid" w:color="800000" w:fill="FFFFFF"/>
      </w:tcPr>
    </w:tblStylePr>
    <w:tblStylePr w:type="firstCol">
      <w:rPr>
        <w:rFonts w:cs="Times New Roman"/>
        <w:b/>
        <w:bCs/>
        <w:i/>
        <w:iCs/>
      </w:rPr>
      <w:tblPr/>
      <w:tcPr>
        <w:tcBorders>
          <w:top w:val="nil"/>
          <w:left w:val="nil"/>
          <w:bottom w:val="nil"/>
          <w:right w:val="nil"/>
          <w:insideH w:val="nil"/>
          <w:insideV w:val="nil"/>
          <w:tl2br w:val="nil"/>
          <w:tr2bl w:val="nil"/>
        </w:tcBorders>
      </w:tcPr>
    </w:tblStylePr>
    <w:tblStylePr w:type="lastCol">
      <w:rPr>
        <w:rFonts w:cs="Times New Roman"/>
      </w:rPr>
      <w:tblPr/>
      <w:tcPr>
        <w:tcBorders>
          <w:top w:val="nil"/>
          <w:left w:val="nil"/>
          <w:bottom w:val="nil"/>
          <w:right w:val="nil"/>
          <w:insideH w:val="nil"/>
          <w:insideV w:val="nil"/>
          <w:tl2br w:val="nil"/>
          <w:tr2bl w:val="nil"/>
        </w:tcBorders>
        <w:shd w:val="solid" w:color="C0C0C0" w:fill="FFFFFF"/>
      </w:tcPr>
    </w:tblStylePr>
    <w:tblStylePr w:type="swCell">
      <w:rPr>
        <w:rFonts w:cs="Times New Roman"/>
        <w:b/>
        <w:bCs/>
        <w:i w:val="0"/>
        <w:iCs w:val="0"/>
      </w:rPr>
      <w:tblPr/>
      <w:tcPr>
        <w:tcBorders>
          <w:top w:val="nil"/>
          <w:left w:val="nil"/>
          <w:bottom w:val="nil"/>
          <w:right w:val="nil"/>
          <w:insideH w:val="nil"/>
          <w:insideV w:val="nil"/>
          <w:tl2br w:val="nil"/>
          <w:tr2bl w:val="nil"/>
        </w:tcBorders>
      </w:tcPr>
    </w:tblStylePr>
  </w:style>
  <w:style w:type="table" w:styleId="81">
    <w:name w:val="Table Colorful 3"/>
    <w:basedOn w:val="76"/>
    <w:semiHidden/>
    <w:qFormat/>
    <w:uiPriority w:val="99"/>
    <w:pPr>
      <w:widowControl w:val="0"/>
      <w:spacing w:after="200" w:line="276" w:lineRule="auto"/>
    </w:pPr>
    <w:rPr>
      <w:rFonts w:ascii="Calibri" w:hAnsi="Calibri"/>
    </w:rPr>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rPr>
        <w:rFonts w:cs="Times New Roman"/>
      </w:rPr>
      <w:tblPr/>
      <w:tcPr>
        <w:tcBorders>
          <w:top w:val="nil"/>
          <w:left w:val="nil"/>
          <w:bottom w:val="single" w:color="000000" w:sz="6" w:space="0"/>
          <w:right w:val="nil"/>
          <w:insideH w:val="nil"/>
          <w:insideV w:val="nil"/>
          <w:tl2br w:val="nil"/>
          <w:tr2bl w:val="nil"/>
        </w:tcBorders>
        <w:shd w:val="solid" w:color="008080" w:fill="FFFFFF"/>
      </w:tcPr>
    </w:tblStylePr>
    <w:tblStylePr w:type="firstCol">
      <w:rPr>
        <w:rFonts w:cs="Times New Roman"/>
      </w:rPr>
      <w:tblPr/>
      <w:tcPr>
        <w:tcBorders>
          <w:top w:val="nil"/>
          <w:left w:val="single" w:color="000000" w:sz="36" w:space="0"/>
          <w:bottom w:val="nil"/>
          <w:right w:val="single" w:color="000000" w:sz="6" w:space="0"/>
          <w:insideH w:val="nil"/>
          <w:insideV w:val="nil"/>
          <w:tl2br w:val="nil"/>
          <w:tr2bl w:val="nil"/>
        </w:tcBorders>
        <w:shd w:val="solid" w:color="008080" w:fill="FFFFFF"/>
      </w:tcPr>
    </w:tblStylePr>
    <w:tblStylePr w:type="nwCell">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82">
    <w:name w:val="Table Elegant"/>
    <w:basedOn w:val="76"/>
    <w:semiHidden/>
    <w:qFormat/>
    <w:uiPriority w:val="99"/>
    <w:pPr>
      <w:widowControl w:val="0"/>
      <w:spacing w:after="200" w:line="276" w:lineRule="auto"/>
    </w:pPr>
    <w:rPr>
      <w:rFonts w:ascii="Calibri" w:hAnsi="Calibri"/>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caps/>
        <w:color w:val="auto"/>
      </w:rPr>
      <w:tblPr/>
      <w:tcPr>
        <w:tcBorders>
          <w:top w:val="nil"/>
          <w:left w:val="nil"/>
          <w:bottom w:val="nil"/>
          <w:right w:val="nil"/>
          <w:insideH w:val="nil"/>
          <w:insideV w:val="nil"/>
          <w:tl2br w:val="nil"/>
          <w:tr2bl w:val="nil"/>
        </w:tcBorders>
      </w:tcPr>
    </w:tblStylePr>
  </w:style>
  <w:style w:type="table" w:styleId="83">
    <w:name w:val="Table Classic 1"/>
    <w:basedOn w:val="76"/>
    <w:semiHidden/>
    <w:qFormat/>
    <w:uiPriority w:val="99"/>
    <w:pPr>
      <w:widowControl w:val="0"/>
      <w:spacing w:after="200" w:line="276" w:lineRule="auto"/>
    </w:pPr>
    <w:rPr>
      <w:rFonts w:ascii="Calibri" w:hAnsi="Calibri"/>
    </w:rPr>
    <w:tblPr>
      <w:tblBorders>
        <w:top w:val="single" w:color="000000" w:sz="12" w:space="0"/>
        <w:bottom w:val="single" w:color="000000" w:sz="12" w:space="0"/>
      </w:tblBorders>
      <w:tblCellMar>
        <w:top w:w="0" w:type="dxa"/>
        <w:left w:w="108" w:type="dxa"/>
        <w:bottom w:w="0" w:type="dxa"/>
        <w:right w:w="108" w:type="dxa"/>
      </w:tblCellMar>
    </w:tblPr>
    <w:tblStylePr w:type="firstRow">
      <w:rPr>
        <w:rFonts w:cs="Times New Roman"/>
        <w:i/>
        <w:iCs/>
      </w:rPr>
      <w:tblPr/>
      <w:tcPr>
        <w:tcBorders>
          <w:top w:val="nil"/>
          <w:left w:val="nil"/>
          <w:bottom w:val="single" w:color="000000" w:sz="6" w:space="0"/>
          <w:right w:val="nil"/>
          <w:insideH w:val="nil"/>
          <w:insideV w:val="nil"/>
          <w:tl2br w:val="nil"/>
          <w:tr2bl w:val="nil"/>
        </w:tcBorders>
      </w:tcPr>
    </w:tblStylePr>
    <w:tblStylePr w:type="lastRow">
      <w:rPr>
        <w:rFonts w:cs="Times New Roman"/>
        <w:color w:val="auto"/>
      </w:rPr>
      <w:tblPr/>
      <w:tcPr>
        <w:tcBorders>
          <w:top w:val="single" w:color="000000" w:sz="6" w:space="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color="000000" w:sz="6" w:space="0"/>
          <w:insideH w:val="nil"/>
          <w:insideV w:val="nil"/>
          <w:tl2br w:val="nil"/>
          <w:tr2bl w:val="nil"/>
        </w:tcBorders>
      </w:tcPr>
    </w:tblStylePr>
    <w:tblStylePr w:type="neCell">
      <w:rPr>
        <w:rFonts w:cs="Times New Roman"/>
        <w:b/>
        <w:bCs/>
        <w:i w:val="0"/>
        <w:iCs w:val="0"/>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84">
    <w:name w:val="Table Classic 2"/>
    <w:basedOn w:val="76"/>
    <w:semiHidden/>
    <w:qFormat/>
    <w:uiPriority w:val="99"/>
    <w:pPr>
      <w:widowControl w:val="0"/>
      <w:spacing w:after="200" w:line="276" w:lineRule="auto"/>
    </w:pPr>
    <w:rPr>
      <w:rFonts w:ascii="Calibri" w:hAnsi="Calibri"/>
    </w:rPr>
    <w:tblPr>
      <w:tblBorders>
        <w:top w:val="single" w:color="000000" w:sz="12" w:space="0"/>
        <w:bottom w:val="single" w:color="000000" w:sz="12" w:space="0"/>
      </w:tblBorders>
      <w:tblCellMar>
        <w:top w:w="0" w:type="dxa"/>
        <w:left w:w="108" w:type="dxa"/>
        <w:bottom w:w="0" w:type="dxa"/>
        <w:right w:w="108" w:type="dxa"/>
      </w:tblCellMar>
    </w:tblPr>
    <w:tblStylePr w:type="firstRow">
      <w:rPr>
        <w:rFonts w:cs="Times New Roman"/>
        <w:color w:val="FFFFFF"/>
      </w:rPr>
      <w:tblPr/>
      <w:tcPr>
        <w:tcBorders>
          <w:top w:val="nil"/>
          <w:left w:val="nil"/>
          <w:bottom w:val="single" w:color="000000" w:sz="6" w:space="0"/>
          <w:right w:val="nil"/>
          <w:insideH w:val="nil"/>
          <w:insideV w:val="nil"/>
          <w:tl2br w:val="nil"/>
          <w:tr2bl w:val="nil"/>
        </w:tcBorders>
        <w:shd w:val="solid" w:color="800080" w:fill="FFFFFF"/>
      </w:tcPr>
    </w:tblStylePr>
    <w:tblStylePr w:type="lastRow">
      <w:rPr>
        <w:rFonts w:cs="Times New Roman"/>
      </w:rPr>
      <w:tblPr/>
      <w:tcPr>
        <w:tcBorders>
          <w:top w:val="single" w:color="000000" w:sz="6" w:space="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shd w:val="solid" w:color="C0C0C0" w:fill="FFFFFF"/>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nil"/>
          <w:tr2bl w:val="nil"/>
        </w:tcBorders>
        <w:shd w:val="solid" w:color="800080" w:fill="FFFFFF"/>
      </w:tcPr>
    </w:tblStylePr>
    <w:tblStylePr w:type="swCell">
      <w:rPr>
        <w:rFonts w:cs="Times New Roman"/>
        <w:color w:val="000080"/>
      </w:rPr>
      <w:tblPr/>
      <w:tcPr>
        <w:tcBorders>
          <w:top w:val="nil"/>
          <w:left w:val="nil"/>
          <w:bottom w:val="nil"/>
          <w:right w:val="nil"/>
          <w:insideH w:val="nil"/>
          <w:insideV w:val="nil"/>
          <w:tl2br w:val="nil"/>
          <w:tr2bl w:val="nil"/>
        </w:tcBorders>
      </w:tcPr>
    </w:tblStylePr>
  </w:style>
  <w:style w:type="table" w:styleId="85">
    <w:name w:val="Table Classic 3"/>
    <w:basedOn w:val="76"/>
    <w:semiHidden/>
    <w:qFormat/>
    <w:uiPriority w:val="99"/>
    <w:pPr>
      <w:widowControl w:val="0"/>
      <w:spacing w:after="200" w:line="276" w:lineRule="auto"/>
    </w:pPr>
    <w:rPr>
      <w:rFonts w:ascii="Calibri" w:hAnsi="Calibri"/>
      <w:color w:val="00008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top w:val="nil"/>
          <w:left w:val="nil"/>
          <w:bottom w:val="single" w:color="000000" w:sz="6" w:space="0"/>
          <w:right w:val="nil"/>
          <w:insideH w:val="nil"/>
          <w:insideV w:val="nil"/>
          <w:tl2br w:val="nil"/>
          <w:tr2bl w:val="nil"/>
        </w:tcBorders>
        <w:shd w:val="solid" w:color="000080" w:fill="FFFFFF"/>
      </w:tcPr>
    </w:tblStylePr>
    <w:tblStylePr w:type="lastRow">
      <w:rPr>
        <w:rFonts w:cs="Times New Roman"/>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rFonts w:cs="Times New Roman"/>
        <w:b/>
        <w:bCs/>
        <w:color w:val="000000"/>
      </w:rPr>
      <w:tblPr/>
      <w:tcPr>
        <w:tcBorders>
          <w:top w:val="nil"/>
          <w:left w:val="nil"/>
          <w:bottom w:val="nil"/>
          <w:right w:val="nil"/>
          <w:insideH w:val="nil"/>
          <w:insideV w:val="nil"/>
          <w:tl2br w:val="nil"/>
          <w:tr2bl w:val="nil"/>
        </w:tcBorders>
      </w:tcPr>
    </w:tblStylePr>
  </w:style>
  <w:style w:type="table" w:styleId="86">
    <w:name w:val="Table Classic 4"/>
    <w:basedOn w:val="76"/>
    <w:semiHidden/>
    <w:qFormat/>
    <w:uiPriority w:val="99"/>
    <w:pPr>
      <w:widowControl w:val="0"/>
      <w:spacing w:after="200" w:line="276" w:lineRule="auto"/>
    </w:pPr>
    <w:rPr>
      <w:rFonts w:ascii="Calibri" w:hAnsi="Calibri"/>
    </w:rPr>
    <w:tblPr>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blStylePr w:type="firstRow">
      <w:rPr>
        <w:rFonts w:cs="Times New Roman"/>
        <w:b/>
        <w:bCs/>
        <w:i/>
        <w:iCs/>
        <w:color w:val="FFFFFF"/>
      </w:rPr>
      <w:tblPr/>
      <w:tcPr>
        <w:tcBorders>
          <w:top w:val="nil"/>
          <w:left w:val="nil"/>
          <w:bottom w:val="single" w:color="000000" w:sz="6" w:space="0"/>
          <w:right w:val="nil"/>
          <w:insideH w:val="nil"/>
          <w:insideV w:val="nil"/>
          <w:tl2br w:val="nil"/>
          <w:tr2bl w:val="nil"/>
        </w:tcBorders>
        <w:shd w:val="pct50" w:color="000080" w:fill="FFFFFF"/>
      </w:tcPr>
    </w:tblStylePr>
    <w:tblStylePr w:type="lastRow">
      <w:rPr>
        <w:rFonts w:cs="Times New Roman"/>
        <w:color w:val="000080"/>
      </w:rPr>
      <w:tblPr/>
      <w:tcPr>
        <w:tcBorders>
          <w:top w:val="nil"/>
          <w:left w:val="nil"/>
          <w:bottom w:val="single" w:color="000000" w:sz="6" w:space="0"/>
          <w:right w:val="nil"/>
          <w:insideH w:val="nil"/>
          <w:insideV w:val="nil"/>
          <w:tl2br w:val="nil"/>
          <w:tr2bl w:val="nil"/>
        </w:tcBorders>
        <w:shd w:val="pct50" w:color="000000" w:fill="FFFFFF"/>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color w:val="000080"/>
      </w:rPr>
      <w:tblPr/>
      <w:tcPr>
        <w:tcBorders>
          <w:top w:val="nil"/>
          <w:left w:val="nil"/>
          <w:bottom w:val="nil"/>
          <w:right w:val="nil"/>
          <w:insideH w:val="nil"/>
          <w:insideV w:val="nil"/>
          <w:tl2br w:val="nil"/>
          <w:tr2bl w:val="nil"/>
        </w:tcBorders>
      </w:tcPr>
    </w:tblStylePr>
  </w:style>
  <w:style w:type="table" w:styleId="87">
    <w:name w:val="Table Simple 1"/>
    <w:basedOn w:val="76"/>
    <w:semiHidden/>
    <w:qFormat/>
    <w:uiPriority w:val="99"/>
    <w:pPr>
      <w:widowControl w:val="0"/>
      <w:spacing w:after="200" w:line="276" w:lineRule="auto"/>
    </w:pPr>
    <w:rPr>
      <w:rFonts w:ascii="Calibri" w:hAnsi="Calibri"/>
    </w:rPr>
    <w:tblPr>
      <w:tblBorders>
        <w:top w:val="single" w:color="008000" w:sz="12" w:space="0"/>
        <w:bottom w:val="single" w:color="008000" w:sz="12" w:space="0"/>
      </w:tblBorders>
      <w:tblCellMar>
        <w:top w:w="0" w:type="dxa"/>
        <w:left w:w="108" w:type="dxa"/>
        <w:bottom w:w="0" w:type="dxa"/>
        <w:right w:w="108" w:type="dxa"/>
      </w:tblCellMar>
    </w:tblPr>
    <w:tblStylePr w:type="firstRow">
      <w:rPr>
        <w:rFonts w:cs="Times New Roman"/>
      </w:rPr>
      <w:tblPr/>
      <w:tcPr>
        <w:tcBorders>
          <w:top w:val="nil"/>
          <w:left w:val="nil"/>
          <w:bottom w:val="single" w:color="008000" w:sz="6" w:space="0"/>
          <w:right w:val="nil"/>
          <w:insideH w:val="nil"/>
          <w:insideV w:val="nil"/>
          <w:tl2br w:val="nil"/>
          <w:tr2bl w:val="nil"/>
        </w:tcBorders>
      </w:tcPr>
    </w:tblStylePr>
    <w:tblStylePr w:type="lastRow">
      <w:rPr>
        <w:rFonts w:cs="Times New Roman"/>
      </w:rPr>
      <w:tblPr/>
      <w:tcPr>
        <w:tcBorders>
          <w:top w:val="single" w:color="008000" w:sz="6" w:space="0"/>
          <w:left w:val="nil"/>
          <w:bottom w:val="nil"/>
          <w:right w:val="nil"/>
          <w:insideH w:val="nil"/>
          <w:insideV w:val="nil"/>
          <w:tl2br w:val="nil"/>
          <w:tr2bl w:val="nil"/>
        </w:tcBorders>
      </w:tcPr>
    </w:tblStylePr>
  </w:style>
  <w:style w:type="table" w:styleId="88">
    <w:name w:val="Table Simple 2"/>
    <w:basedOn w:val="76"/>
    <w:semiHidden/>
    <w:qFormat/>
    <w:uiPriority w:val="99"/>
    <w:pPr>
      <w:widowControl w:val="0"/>
      <w:spacing w:after="200" w:line="276" w:lineRule="auto"/>
    </w:pPr>
    <w:rPr>
      <w:rFonts w:ascii="Calibri" w:hAnsi="Calibri"/>
    </w:rPr>
    <w:tblPr>
      <w:tblCellMar>
        <w:top w:w="0" w:type="dxa"/>
        <w:left w:w="108" w:type="dxa"/>
        <w:bottom w:w="0" w:type="dxa"/>
        <w:right w:w="108" w:type="dxa"/>
      </w:tblCellMar>
    </w:tblPr>
    <w:tblStylePr w:type="firstRow">
      <w:rPr>
        <w:rFonts w:cs="Times New Roman"/>
        <w:b/>
        <w:bCs/>
      </w:rPr>
      <w:tblPr/>
      <w:tcPr>
        <w:tcBorders>
          <w:top w:val="nil"/>
          <w:left w:val="nil"/>
          <w:bottom w:val="single" w:color="000000" w:sz="12" w:space="0"/>
          <w:right w:val="nil"/>
          <w:insideH w:val="nil"/>
          <w:insideV w:val="nil"/>
          <w:tl2br w:val="nil"/>
          <w:tr2bl w:val="nil"/>
        </w:tcBorders>
      </w:tcPr>
    </w:tblStylePr>
    <w:tblStylePr w:type="lastRow">
      <w:rPr>
        <w:rFonts w:cs="Times New Roman"/>
        <w:b/>
        <w:bCs/>
        <w:color w:val="auto"/>
      </w:rPr>
      <w:tblPr/>
      <w:tcPr>
        <w:tcBorders>
          <w:top w:val="single" w:color="000000" w:sz="6" w:space="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single" w:color="000000" w:sz="12" w:space="0"/>
          <w:insideH w:val="nil"/>
          <w:insideV w:val="nil"/>
          <w:tl2br w:val="nil"/>
          <w:tr2bl w:val="nil"/>
        </w:tcBorders>
      </w:tcPr>
    </w:tblStylePr>
    <w:tblStylePr w:type="lastCol">
      <w:rPr>
        <w:rFonts w:cs="Times New Roman"/>
        <w:b/>
        <w:bCs/>
      </w:rPr>
      <w:tblPr/>
      <w:tcPr>
        <w:tcBorders>
          <w:top w:val="nil"/>
          <w:left w:val="single" w:color="000000" w:sz="6" w:space="0"/>
          <w:bottom w:val="nil"/>
          <w:right w:val="nil"/>
          <w:insideH w:val="nil"/>
          <w:insideV w:val="nil"/>
          <w:tl2br w:val="nil"/>
          <w:tr2bl w:val="nil"/>
        </w:tcBorders>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89">
    <w:name w:val="Table Simple 3"/>
    <w:basedOn w:val="76"/>
    <w:semiHidden/>
    <w:qFormat/>
    <w:uiPriority w:val="99"/>
    <w:pPr>
      <w:widowControl w:val="0"/>
      <w:spacing w:after="200" w:line="276" w:lineRule="auto"/>
    </w:pPr>
    <w:rPr>
      <w:rFonts w:ascii="Calibri" w:hAnsi="Calibri"/>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90">
    <w:name w:val="Table Subtle 1"/>
    <w:basedOn w:val="76"/>
    <w:semiHidden/>
    <w:qFormat/>
    <w:uiPriority w:val="99"/>
    <w:pPr>
      <w:widowControl w:val="0"/>
      <w:spacing w:after="200" w:line="276" w:lineRule="auto"/>
    </w:pPr>
    <w:rPr>
      <w:rFonts w:ascii="Calibri" w:hAnsi="Calibri"/>
    </w:rPr>
    <w:tblPr>
      <w:tblCellMar>
        <w:top w:w="0" w:type="dxa"/>
        <w:left w:w="108" w:type="dxa"/>
        <w:bottom w:w="0" w:type="dxa"/>
        <w:right w:w="108" w:type="dxa"/>
      </w:tblCellMar>
    </w:tblPr>
    <w:tblStylePr w:type="firstRow">
      <w:rPr>
        <w:rFonts w:cs="Times New Roman"/>
      </w:rPr>
      <w:tblPr/>
      <w:tcPr>
        <w:tcBorders>
          <w:top w:val="single" w:color="000000" w:sz="6" w:space="0"/>
          <w:left w:val="nil"/>
          <w:bottom w:val="single" w:color="000000" w:sz="12" w:space="0"/>
          <w:right w:val="nil"/>
          <w:insideH w:val="nil"/>
          <w:insideV w:val="nil"/>
          <w:tl2br w:val="nil"/>
          <w:tr2bl w:val="nil"/>
        </w:tcBorders>
      </w:tcPr>
    </w:tblStylePr>
    <w:tblStylePr w:type="lastRow">
      <w:rPr>
        <w:rFonts w:cs="Times New Roman"/>
      </w:rPr>
      <w:tblPr/>
      <w:tcPr>
        <w:tcBorders>
          <w:top w:val="single" w:color="000000" w:sz="12" w:space="0"/>
          <w:left w:val="nil"/>
          <w:bottom w:val="nil"/>
          <w:right w:val="nil"/>
          <w:insideH w:val="nil"/>
          <w:insideV w:val="nil"/>
          <w:tl2br w:val="nil"/>
          <w:tr2bl w:val="nil"/>
        </w:tcBorders>
        <w:shd w:val="pct25" w:color="800080" w:fill="FFFFFF"/>
      </w:tcPr>
    </w:tblStylePr>
    <w:tblStylePr w:type="firstCol">
      <w:rPr>
        <w:rFonts w:cs="Times New Roman"/>
      </w:rPr>
      <w:tblPr/>
      <w:tcPr>
        <w:tcBorders>
          <w:top w:val="nil"/>
          <w:left w:val="nil"/>
          <w:bottom w:val="nil"/>
          <w:right w:val="single" w:color="000000" w:sz="12" w:space="0"/>
          <w:insideH w:val="nil"/>
          <w:insideV w:val="nil"/>
          <w:tl2br w:val="nil"/>
          <w:tr2bl w:val="nil"/>
        </w:tcBorders>
      </w:tcPr>
    </w:tblStylePr>
    <w:tblStylePr w:type="lastCol">
      <w:rPr>
        <w:rFonts w:cs="Times New Roman"/>
      </w:rPr>
      <w:tblPr/>
      <w:tcPr>
        <w:tcBorders>
          <w:top w:val="nil"/>
          <w:left w:val="single" w:color="000000" w:sz="12" w:space="0"/>
          <w:bottom w:val="nil"/>
          <w:right w:val="nil"/>
          <w:insideH w:val="nil"/>
          <w:insideV w:val="nil"/>
          <w:tl2br w:val="nil"/>
          <w:tr2bl w:val="nil"/>
        </w:tcBorders>
      </w:tcPr>
    </w:tblStylePr>
    <w:tblStylePr w:type="band1Horz">
      <w:rPr>
        <w:rFonts w:cs="Times New Roman"/>
      </w:rPr>
      <w:tblPr/>
      <w:tcPr>
        <w:tcBorders>
          <w:top w:val="nil"/>
          <w:left w:val="nil"/>
          <w:bottom w:val="single" w:color="000000" w:sz="6" w:space="0"/>
          <w:right w:val="nil"/>
          <w:insideH w:val="nil"/>
          <w:insideV w:val="nil"/>
          <w:tl2br w:val="nil"/>
          <w:tr2bl w:val="nil"/>
        </w:tcBorders>
        <w:shd w:val="pct25" w:color="808000" w:fill="FFFFFF"/>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91">
    <w:name w:val="Table Subtle 2"/>
    <w:basedOn w:val="76"/>
    <w:semiHidden/>
    <w:qFormat/>
    <w:uiPriority w:val="99"/>
    <w:pPr>
      <w:widowControl w:val="0"/>
      <w:spacing w:after="200" w:line="276" w:lineRule="auto"/>
    </w:pPr>
    <w:rPr>
      <w:rFonts w:ascii="Calibri" w:hAnsi="Calibri"/>
    </w:rPr>
    <w:tblPr>
      <w:tblBorders>
        <w:left w:val="single" w:color="000000" w:sz="6" w:space="0"/>
        <w:right w:val="single" w:color="000000" w:sz="6" w:space="0"/>
      </w:tblBorders>
      <w:tblCellMar>
        <w:top w:w="0" w:type="dxa"/>
        <w:left w:w="108" w:type="dxa"/>
        <w:bottom w:w="0" w:type="dxa"/>
        <w:right w:w="108" w:type="dxa"/>
      </w:tblCellMar>
    </w:tblPr>
    <w:tblStylePr w:type="firstRow">
      <w:rPr>
        <w:rFonts w:cs="Times New Roman"/>
      </w:rPr>
      <w:tblPr/>
      <w:tcPr>
        <w:tcBorders>
          <w:top w:val="nil"/>
          <w:left w:val="nil"/>
          <w:bottom w:val="single" w:color="000000" w:sz="12" w:space="0"/>
          <w:right w:val="nil"/>
          <w:insideH w:val="nil"/>
          <w:insideV w:val="nil"/>
          <w:tl2br w:val="nil"/>
          <w:tr2bl w:val="nil"/>
        </w:tcBorders>
      </w:tcPr>
    </w:tblStylePr>
    <w:tblStylePr w:type="lastRow">
      <w:rPr>
        <w:rFonts w:cs="Times New Roman"/>
      </w:rPr>
      <w:tblPr/>
      <w:tcPr>
        <w:tcBorders>
          <w:top w:val="single" w:color="000000" w:sz="12" w:space="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color="000000" w:sz="12" w:space="0"/>
          <w:insideH w:val="nil"/>
          <w:insideV w:val="nil"/>
          <w:tl2br w:val="nil"/>
          <w:tr2bl w:val="nil"/>
        </w:tcBorders>
        <w:shd w:val="pct25" w:color="008000" w:fill="FFFFFF"/>
      </w:tcPr>
    </w:tblStylePr>
    <w:tblStylePr w:type="lastCol">
      <w:rPr>
        <w:rFonts w:cs="Times New Roman"/>
      </w:rPr>
      <w:tblPr/>
      <w:tcPr>
        <w:tcBorders>
          <w:top w:val="nil"/>
          <w:left w:val="single" w:color="000000" w:sz="12" w:space="0"/>
          <w:bottom w:val="nil"/>
          <w:right w:val="nil"/>
          <w:insideH w:val="nil"/>
          <w:insideV w:val="nil"/>
          <w:tl2br w:val="nil"/>
          <w:tr2bl w:val="nil"/>
        </w:tcBorders>
        <w:shd w:val="pct25" w:color="808000" w:fill="FFFFFF"/>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92">
    <w:name w:val="Table 3D effects 1"/>
    <w:basedOn w:val="76"/>
    <w:semiHidden/>
    <w:qFormat/>
    <w:uiPriority w:val="99"/>
    <w:pPr>
      <w:widowControl w:val="0"/>
      <w:spacing w:after="200" w:line="276" w:lineRule="auto"/>
    </w:pPr>
    <w:rPr>
      <w:rFonts w:ascii="Calibri" w:hAnsi="Calibri"/>
    </w:rPr>
    <w:tblPr>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top w:val="nil"/>
          <w:left w:val="nil"/>
          <w:bottom w:val="single" w:color="808080" w:sz="6" w:space="0"/>
          <w:right w:val="nil"/>
          <w:insideH w:val="nil"/>
          <w:insideV w:val="nil"/>
          <w:tl2br w:val="nil"/>
          <w:tr2bl w:val="nil"/>
        </w:tcBorders>
      </w:tcPr>
    </w:tblStylePr>
    <w:tblStylePr w:type="lastRow">
      <w:rPr>
        <w:rFonts w:cs="Times New Roman"/>
      </w:rPr>
      <w:tblPr/>
      <w:tcPr>
        <w:tcBorders>
          <w:top w:val="single" w:color="FFFFFF" w:sz="6" w:space="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single" w:color="808080" w:sz="6" w:space="0"/>
          <w:insideH w:val="nil"/>
          <w:insideV w:val="nil"/>
          <w:tl2br w:val="nil"/>
          <w:tr2bl w:val="nil"/>
        </w:tcBorders>
      </w:tcPr>
    </w:tblStylePr>
    <w:tblStylePr w:type="lastCol">
      <w:rPr>
        <w:rFonts w:cs="Times New Roman"/>
      </w:rPr>
      <w:tblPr/>
      <w:tcPr>
        <w:tcBorders>
          <w:top w:val="nil"/>
          <w:left w:val="single" w:color="FFFFFF" w:sz="6" w:space="0"/>
          <w:bottom w:val="nil"/>
          <w:right w:val="nil"/>
          <w:insideH w:val="nil"/>
          <w:insideV w:val="nil"/>
          <w:tl2br w:val="nil"/>
          <w:tr2bl w:val="nil"/>
        </w:tcBorders>
      </w:tcPr>
    </w:tblStylePr>
    <w:tblStylePr w:type="neCell">
      <w:rPr>
        <w:rFonts w:cs="Times New Roman"/>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nil"/>
          <w:tr2bl w:val="nil"/>
        </w:tcBorders>
      </w:tcPr>
    </w:tblStylePr>
    <w:tblStylePr w:type="seCell">
      <w:rPr>
        <w:rFonts w:cs="Times New Roman"/>
      </w:rPr>
      <w:tblPr/>
      <w:tcPr>
        <w:tcBorders>
          <w:top w:val="nil"/>
          <w:left w:val="nil"/>
          <w:bottom w:val="nil"/>
          <w:right w:val="nil"/>
          <w:insideH w:val="nil"/>
          <w:insideV w:val="nil"/>
          <w:tl2br w:val="nil"/>
          <w:tr2bl w:val="nil"/>
        </w:tcBorders>
      </w:tcPr>
    </w:tblStylePr>
    <w:tblStylePr w:type="swCell">
      <w:rPr>
        <w:rFonts w:cs="Times New Roman"/>
        <w:color w:val="000080"/>
      </w:rPr>
      <w:tblPr/>
      <w:tcPr>
        <w:tcBorders>
          <w:top w:val="nil"/>
          <w:left w:val="nil"/>
          <w:bottom w:val="nil"/>
          <w:right w:val="nil"/>
          <w:insideH w:val="nil"/>
          <w:insideV w:val="nil"/>
          <w:tl2br w:val="nil"/>
          <w:tr2bl w:val="nil"/>
        </w:tcBorders>
      </w:tcPr>
    </w:tblStylePr>
  </w:style>
  <w:style w:type="table" w:styleId="93">
    <w:name w:val="Table 3D effects 2"/>
    <w:basedOn w:val="76"/>
    <w:semiHidden/>
    <w:qFormat/>
    <w:uiPriority w:val="99"/>
    <w:pPr>
      <w:widowControl w:val="0"/>
      <w:spacing w:after="200" w:line="276" w:lineRule="auto"/>
    </w:pPr>
    <w:rPr>
      <w:rFonts w:ascii="Calibri" w:hAnsi="Calibri"/>
    </w:rPr>
    <w:tblPr>
      <w:tblCellMar>
        <w:top w:w="0" w:type="dxa"/>
        <w:left w:w="108" w:type="dxa"/>
        <w:bottom w:w="0" w:type="dxa"/>
        <w:right w:w="108" w:type="dxa"/>
      </w:tblCellMar>
    </w:tblPr>
    <w:tcPr>
      <w:shd w:val="solid" w:color="C0C0C0" w:fill="FFFFFF"/>
    </w:tcPr>
    <w:tblStylePr w:type="firstRow">
      <w:rPr>
        <w:rFonts w:cs="Times New Roman"/>
        <w:b/>
        <w:bCs/>
      </w:rPr>
      <w:tblPr/>
      <w:tcPr>
        <w:tcBorders>
          <w:top w:val="nil"/>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color="808080" w:sz="6" w:space="0"/>
          <w:insideH w:val="nil"/>
          <w:insideV w:val="nil"/>
          <w:tl2br w:val="nil"/>
          <w:tr2bl w:val="nil"/>
        </w:tcBorders>
      </w:tcPr>
    </w:tblStylePr>
    <w:tblStylePr w:type="lastCol">
      <w:rPr>
        <w:rFonts w:cs="Times New Roman"/>
      </w:rPr>
      <w:tblPr/>
      <w:tcPr>
        <w:tcBorders>
          <w:top w:val="nil"/>
          <w:left w:val="nil"/>
          <w:bottom w:val="nil"/>
          <w:right w:val="single" w:color="FFFFFF" w:sz="6" w:space="0"/>
          <w:insideH w:val="nil"/>
          <w:insideV w:val="nil"/>
          <w:tl2br w:val="nil"/>
          <w:tr2bl w:val="nil"/>
        </w:tcBorders>
      </w:tcPr>
    </w:tblStylePr>
    <w:tblStylePr w:type="band1Horz">
      <w:rPr>
        <w:rFonts w:cs="Times New Roman"/>
      </w:rPr>
      <w:tblPr/>
      <w:tcPr>
        <w:tcBorders>
          <w:top w:val="single" w:color="808080" w:sz="6" w:space="0"/>
          <w:left w:val="nil"/>
          <w:bottom w:val="single" w:color="FFFFFF" w:sz="6" w:space="0"/>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94">
    <w:name w:val="Table 3D effects 3"/>
    <w:basedOn w:val="76"/>
    <w:semiHidden/>
    <w:qFormat/>
    <w:uiPriority w:val="99"/>
    <w:pPr>
      <w:widowControl w:val="0"/>
      <w:spacing w:after="200" w:line="276" w:lineRule="auto"/>
    </w:pPr>
    <w:rPr>
      <w:rFonts w:ascii="Calibri" w:hAnsi="Calibri"/>
    </w:rPr>
    <w:tblPr>
      <w:tblCellMar>
        <w:top w:w="0" w:type="dxa"/>
        <w:left w:w="108" w:type="dxa"/>
        <w:bottom w:w="0" w:type="dxa"/>
        <w:right w:w="108" w:type="dxa"/>
      </w:tblCellMar>
    </w:tblPr>
    <w:tblStylePr w:type="firstRow">
      <w:rPr>
        <w:rFonts w:cs="Times New Roman"/>
        <w:b/>
        <w:bCs/>
      </w:rPr>
      <w:tblPr/>
      <w:tcPr>
        <w:tcBorders>
          <w:top w:val="nil"/>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color="808080" w:sz="6" w:space="0"/>
          <w:insideH w:val="nil"/>
          <w:insideV w:val="nil"/>
          <w:tl2br w:val="nil"/>
          <w:tr2bl w:val="nil"/>
        </w:tcBorders>
      </w:tcPr>
    </w:tblStylePr>
    <w:tblStylePr w:type="lastCol">
      <w:rPr>
        <w:rFonts w:cs="Times New Roman"/>
      </w:rPr>
      <w:tblPr/>
      <w:tcPr>
        <w:tcBorders>
          <w:top w:val="nil"/>
          <w:left w:val="nil"/>
          <w:bottom w:val="nil"/>
          <w:right w:val="single" w:color="FFFFFF" w:sz="6" w:space="0"/>
          <w:insideH w:val="nil"/>
          <w:insideV w:val="nil"/>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color="808080" w:sz="6" w:space="0"/>
          <w:left w:val="nil"/>
          <w:bottom w:val="single" w:color="FFFFFF" w:sz="6" w:space="0"/>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95">
    <w:name w:val="Table List 1"/>
    <w:basedOn w:val="76"/>
    <w:semiHidden/>
    <w:qFormat/>
    <w:uiPriority w:val="99"/>
    <w:pPr>
      <w:widowControl w:val="0"/>
      <w:spacing w:after="200" w:line="276" w:lineRule="auto"/>
    </w:pPr>
    <w:rPr>
      <w:rFonts w:ascii="Calibri" w:hAnsi="Calibri"/>
    </w:rPr>
    <w:tblPr>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rFonts w:cs="Times New Roman"/>
        <w:b/>
        <w:bCs/>
        <w:i/>
        <w:iCs/>
        <w:color w:val="800000"/>
      </w:rPr>
      <w:tblPr/>
      <w:tcPr>
        <w:tcBorders>
          <w:top w:val="nil"/>
          <w:left w:val="nil"/>
          <w:bottom w:val="single" w:color="000000" w:sz="6" w:space="0"/>
          <w:right w:val="nil"/>
          <w:insideH w:val="nil"/>
          <w:insideV w:val="nil"/>
          <w:tl2br w:val="nil"/>
          <w:tr2bl w:val="nil"/>
        </w:tcBorders>
        <w:shd w:val="solid" w:color="C0C0C0" w:fill="FFFFFF"/>
      </w:tcPr>
    </w:tblStylePr>
    <w:tblStylePr w:type="lastRow">
      <w:rPr>
        <w:rFonts w:cs="Times New Roman"/>
      </w:rPr>
      <w:tblPr/>
      <w:tcPr>
        <w:tcBorders>
          <w:top w:val="single" w:color="000000" w:sz="6" w:space="0"/>
          <w:left w:val="nil"/>
          <w:bottom w:val="nil"/>
          <w:right w:val="nil"/>
          <w:insideH w:val="nil"/>
          <w:insideV w:val="nil"/>
          <w:tl2br w:val="nil"/>
          <w:tr2bl w:val="nil"/>
        </w:tcBorders>
      </w:tcPr>
    </w:tblStylePr>
    <w:tblStylePr w:type="band1Horz">
      <w:rPr>
        <w:rFonts w:cs="Times New Roman"/>
        <w:color w:val="auto"/>
      </w:rPr>
      <w:tblPr/>
      <w:tcPr>
        <w:tcBorders>
          <w:top w:val="nil"/>
          <w:left w:val="nil"/>
          <w:bottom w:val="nil"/>
          <w:right w:val="nil"/>
          <w:insideH w:val="nil"/>
          <w:insideV w:val="nil"/>
          <w:tl2br w:val="nil"/>
          <w:tr2bl w:val="nil"/>
        </w:tcBorders>
        <w:shd w:val="solid" w:color="C0C0C0" w:fill="FFFFFF"/>
      </w:tcPr>
    </w:tblStylePr>
    <w:tblStylePr w:type="band2Horz">
      <w:rPr>
        <w:rFonts w:cs="Times New Roman"/>
        <w:color w:val="auto"/>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96">
    <w:name w:val="Table List 2"/>
    <w:basedOn w:val="76"/>
    <w:semiHidden/>
    <w:qFormat/>
    <w:uiPriority w:val="99"/>
    <w:pPr>
      <w:widowControl w:val="0"/>
      <w:spacing w:after="200" w:line="276" w:lineRule="auto"/>
    </w:pPr>
    <w:rPr>
      <w:rFonts w:ascii="Calibri" w:hAnsi="Calibri"/>
    </w:rPr>
    <w:tblPr>
      <w:tblBorders>
        <w:bottom w:val="single" w:color="808080" w:sz="12" w:space="0"/>
      </w:tblBorders>
      <w:tblCellMar>
        <w:top w:w="0" w:type="dxa"/>
        <w:left w:w="108" w:type="dxa"/>
        <w:bottom w:w="0" w:type="dxa"/>
        <w:right w:w="108" w:type="dxa"/>
      </w:tblCellMar>
    </w:tblPr>
    <w:tblStylePr w:type="firstRow">
      <w:rPr>
        <w:rFonts w:cs="Times New Roman"/>
        <w:b/>
        <w:bCs/>
        <w:color w:val="FFFFFF"/>
      </w:rPr>
      <w:tblPr/>
      <w:tcPr>
        <w:tcBorders>
          <w:top w:val="nil"/>
          <w:left w:val="nil"/>
          <w:bottom w:val="single" w:color="000000" w:sz="6" w:space="0"/>
          <w:right w:val="nil"/>
          <w:insideH w:val="nil"/>
          <w:insideV w:val="nil"/>
          <w:tl2br w:val="nil"/>
          <w:tr2bl w:val="nil"/>
        </w:tcBorders>
        <w:shd w:val="pct75" w:color="008080" w:fill="008000"/>
      </w:tcPr>
    </w:tblStylePr>
    <w:tblStylePr w:type="lastRow">
      <w:rPr>
        <w:rFonts w:cs="Times New Roman"/>
      </w:rPr>
      <w:tblPr/>
      <w:tcPr>
        <w:tcBorders>
          <w:top w:val="single" w:color="000000" w:sz="6" w:space="0"/>
          <w:left w:val="nil"/>
          <w:bottom w:val="nil"/>
          <w:right w:val="nil"/>
          <w:insideH w:val="nil"/>
          <w:insideV w:val="nil"/>
          <w:tl2br w:val="nil"/>
          <w:tr2bl w:val="nil"/>
        </w:tcBorders>
      </w:tcPr>
    </w:tblStylePr>
    <w:tblStylePr w:type="band1Horz">
      <w:rPr>
        <w:rFonts w:cs="Times New Roman"/>
        <w:color w:val="auto"/>
      </w:rPr>
      <w:tblPr/>
      <w:tcPr>
        <w:tcBorders>
          <w:top w:val="nil"/>
          <w:left w:val="nil"/>
          <w:bottom w:val="nil"/>
          <w:right w:val="nil"/>
          <w:insideH w:val="nil"/>
          <w:insideV w:val="nil"/>
          <w:tl2br w:val="nil"/>
          <w:tr2bl w:val="nil"/>
        </w:tcBorders>
        <w:shd w:val="pct20" w:color="00FF00" w:fill="FFFFFF"/>
      </w:tcPr>
    </w:tblStylePr>
    <w:tblStylePr w:type="band2Horz">
      <w:rPr>
        <w:rFonts w:cs="Times New Roman"/>
        <w:color w:val="auto"/>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97">
    <w:name w:val="Table List 3"/>
    <w:basedOn w:val="76"/>
    <w:semiHidden/>
    <w:qFormat/>
    <w:uiPriority w:val="99"/>
    <w:pPr>
      <w:widowControl w:val="0"/>
      <w:spacing w:after="200" w:line="276" w:lineRule="auto"/>
    </w:pPr>
    <w:rPr>
      <w:rFonts w:ascii="Calibri" w:hAnsi="Calibri"/>
    </w:r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blStylePr w:type="firstRow">
      <w:rPr>
        <w:rFonts w:cs="Times New Roman"/>
        <w:b/>
        <w:bCs/>
        <w:color w:val="000080"/>
      </w:rPr>
      <w:tblPr/>
      <w:tcPr>
        <w:tcBorders>
          <w:top w:val="nil"/>
          <w:left w:val="nil"/>
          <w:bottom w:val="single" w:color="000000" w:sz="12" w:space="0"/>
          <w:right w:val="nil"/>
          <w:insideH w:val="nil"/>
          <w:insideV w:val="nil"/>
          <w:tl2br w:val="nil"/>
          <w:tr2bl w:val="nil"/>
        </w:tcBorders>
      </w:tcPr>
    </w:tblStylePr>
    <w:tblStylePr w:type="lastRow">
      <w:rPr>
        <w:rFonts w:cs="Times New Roman"/>
      </w:rPr>
      <w:tblPr/>
      <w:tcPr>
        <w:tcBorders>
          <w:top w:val="single" w:color="000000" w:sz="12" w:space="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styleId="98">
    <w:name w:val="Table List 4"/>
    <w:basedOn w:val="76"/>
    <w:semiHidden/>
    <w:qFormat/>
    <w:uiPriority w:val="99"/>
    <w:pPr>
      <w:widowControl w:val="0"/>
      <w:spacing w:after="200" w:line="276" w:lineRule="auto"/>
    </w:pPr>
    <w:rPr>
      <w:rFonts w:ascii="Calibri" w:hAnsi="Calibri"/>
    </w:rPr>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blStylePr w:type="firstRow">
      <w:rPr>
        <w:rFonts w:cs="Times New Roman"/>
        <w:b/>
        <w:bCs/>
        <w:color w:val="FFFFFF"/>
      </w:rPr>
      <w:tblPr/>
      <w:tcPr>
        <w:tcBorders>
          <w:top w:val="nil"/>
          <w:left w:val="nil"/>
          <w:bottom w:val="single" w:color="000000" w:sz="12" w:space="0"/>
          <w:right w:val="nil"/>
          <w:insideH w:val="nil"/>
          <w:insideV w:val="nil"/>
          <w:tl2br w:val="nil"/>
          <w:tr2bl w:val="nil"/>
        </w:tcBorders>
        <w:shd w:val="solid" w:color="808080" w:fill="FFFFFF"/>
      </w:tcPr>
    </w:tblStylePr>
  </w:style>
  <w:style w:type="table" w:styleId="99">
    <w:name w:val="Table List 5"/>
    <w:basedOn w:val="76"/>
    <w:semiHidden/>
    <w:qFormat/>
    <w:uiPriority w:val="99"/>
    <w:pPr>
      <w:widowControl w:val="0"/>
      <w:spacing w:after="200" w:line="276" w:lineRule="auto"/>
    </w:pPr>
    <w:rPr>
      <w:rFonts w:ascii="Calibri" w:hAnsi="Calibri"/>
    </w:rPr>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blStylePr w:type="firstRow">
      <w:rPr>
        <w:rFonts w:cs="Times New Roman"/>
        <w:b/>
        <w:bCs/>
      </w:rPr>
      <w:tblPr/>
      <w:tcPr>
        <w:tcBorders>
          <w:top w:val="nil"/>
          <w:left w:val="nil"/>
          <w:bottom w:val="single" w:color="000000" w:sz="12" w:space="0"/>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style>
  <w:style w:type="table" w:styleId="100">
    <w:name w:val="Table List 6"/>
    <w:basedOn w:val="76"/>
    <w:semiHidden/>
    <w:qFormat/>
    <w:uiPriority w:val="99"/>
    <w:pPr>
      <w:widowControl w:val="0"/>
      <w:spacing w:after="200" w:line="276" w:lineRule="auto"/>
    </w:pPr>
    <w:rPr>
      <w:rFonts w:ascii="Calibri" w:hAnsi="Calibri"/>
    </w:rPr>
    <w:tblPr>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rFonts w:cs="Times New Roman"/>
        <w:b/>
        <w:bCs/>
      </w:rPr>
      <w:tblPr/>
      <w:tcPr>
        <w:tcBorders>
          <w:top w:val="nil"/>
          <w:left w:val="nil"/>
          <w:bottom w:val="single" w:color="000000" w:sz="12" w:space="0"/>
          <w:right w:val="nil"/>
          <w:insideH w:val="nil"/>
          <w:insideV w:val="nil"/>
          <w:tl2br w:val="nil"/>
          <w:tr2bl w:val="nil"/>
        </w:tcBorders>
      </w:tcPr>
    </w:tblStylePr>
    <w:tblStylePr w:type="firstCol">
      <w:rPr>
        <w:rFonts w:cs="Times New Roman"/>
        <w:b/>
        <w:bCs/>
      </w:rPr>
      <w:tblPr/>
      <w:tcPr>
        <w:tcBorders>
          <w:top w:val="nil"/>
          <w:left w:val="nil"/>
          <w:bottom w:val="nil"/>
          <w:right w:val="single" w:color="000000" w:sz="12" w:space="0"/>
          <w:insideH w:val="nil"/>
          <w:insideV w:val="nil"/>
          <w:tl2br w:val="nil"/>
          <w:tr2bl w:val="nil"/>
        </w:tcBorders>
      </w:tcPr>
    </w:tblStylePr>
    <w:tblStylePr w:type="band1Horz">
      <w:rPr>
        <w:rFonts w:cs="Times New Roman"/>
      </w:rPr>
      <w:tblPr/>
      <w:tcPr>
        <w:tcBorders>
          <w:top w:val="nil"/>
          <w:left w:val="nil"/>
          <w:bottom w:val="nil"/>
          <w:right w:val="nil"/>
          <w:insideH w:val="nil"/>
          <w:insideV w:val="nil"/>
          <w:tl2br w:val="nil"/>
          <w:tr2bl w:val="nil"/>
        </w:tcBorders>
        <w:shd w:val="pct25" w:color="000000" w:fill="FFFFFF"/>
      </w:tcPr>
    </w:tblStylePr>
    <w:tblStylePr w:type="nwCell">
      <w:rPr>
        <w:rFonts w:cs="Times New Roman"/>
      </w:rPr>
      <w:tblPr/>
      <w:tcPr>
        <w:tcBorders>
          <w:top w:val="nil"/>
          <w:left w:val="nil"/>
          <w:bottom w:val="nil"/>
          <w:right w:val="nil"/>
          <w:insideH w:val="nil"/>
          <w:insideV w:val="nil"/>
          <w:tl2br w:val="single" w:color="000000" w:sz="6" w:space="0"/>
          <w:tr2bl w:val="nil"/>
        </w:tcBorders>
      </w:tcPr>
    </w:tblStylePr>
  </w:style>
  <w:style w:type="table" w:styleId="101">
    <w:name w:val="Table List 7"/>
    <w:basedOn w:val="76"/>
    <w:semiHidden/>
    <w:qFormat/>
    <w:uiPriority w:val="99"/>
    <w:pPr>
      <w:widowControl w:val="0"/>
      <w:spacing w:after="200" w:line="276" w:lineRule="auto"/>
    </w:pPr>
    <w:rPr>
      <w:rFonts w:ascii="Calibri" w:hAnsi="Calibri"/>
    </w:rPr>
    <w:tblPr>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rFonts w:cs="Times New Roman"/>
        <w:b/>
        <w:bCs/>
      </w:rPr>
      <w:tblPr/>
      <w:tcPr>
        <w:tcBorders>
          <w:top w:val="nil"/>
          <w:left w:val="nil"/>
          <w:bottom w:val="single" w:color="008000" w:sz="12" w:space="0"/>
          <w:right w:val="nil"/>
          <w:insideH w:val="nil"/>
          <w:insideV w:val="nil"/>
          <w:tl2br w:val="nil"/>
          <w:tr2bl w:val="nil"/>
        </w:tcBorders>
        <w:shd w:val="solid" w:color="C0C0C0" w:fill="FFFFFF"/>
      </w:tcPr>
    </w:tblStylePr>
    <w:tblStylePr w:type="lastRow">
      <w:rPr>
        <w:rFonts w:cs="Times New Roman"/>
        <w:b/>
        <w:bCs/>
      </w:rPr>
      <w:tblPr/>
      <w:tcPr>
        <w:tcBorders>
          <w:top w:val="single" w:color="008000" w:sz="12" w:space="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band1Horz">
      <w:rPr>
        <w:rFonts w:cs="Times New Roman"/>
        <w:color w:val="auto"/>
      </w:rPr>
      <w:tblPr/>
      <w:tcPr>
        <w:tcBorders>
          <w:top w:val="nil"/>
          <w:left w:val="nil"/>
          <w:bottom w:val="nil"/>
          <w:right w:val="nil"/>
          <w:insideH w:val="nil"/>
          <w:insideV w:val="nil"/>
          <w:tl2br w:val="nil"/>
          <w:tr2bl w:val="nil"/>
        </w:tcBorders>
        <w:shd w:val="pct20" w:color="000000" w:fill="FFFFFF"/>
      </w:tcPr>
    </w:tblStylePr>
    <w:tblStylePr w:type="band2Horz">
      <w:rPr>
        <w:rFonts w:cs="Times New Roman"/>
      </w:rPr>
      <w:tblPr/>
      <w:tcPr>
        <w:tcBorders>
          <w:top w:val="nil"/>
          <w:left w:val="nil"/>
          <w:bottom w:val="nil"/>
          <w:right w:val="nil"/>
          <w:insideH w:val="nil"/>
          <w:insideV w:val="nil"/>
          <w:tl2br w:val="nil"/>
          <w:tr2bl w:val="nil"/>
        </w:tcBorders>
        <w:shd w:val="pct25" w:color="FFFF00" w:fill="FFFFFF"/>
      </w:tcPr>
    </w:tblStylePr>
  </w:style>
  <w:style w:type="table" w:styleId="102">
    <w:name w:val="Table List 8"/>
    <w:basedOn w:val="76"/>
    <w:semiHidden/>
    <w:qFormat/>
    <w:uiPriority w:val="99"/>
    <w:pPr>
      <w:widowControl w:val="0"/>
      <w:spacing w:after="200" w:line="276" w:lineRule="auto"/>
    </w:pPr>
    <w:rPr>
      <w:rFonts w:ascii="Calibri" w:hAnsi="Calibri"/>
    </w:rPr>
    <w:tblPr>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rFonts w:cs="Times New Roman"/>
        <w:b/>
        <w:bCs/>
        <w:i/>
        <w:iCs/>
      </w:rPr>
      <w:tblPr/>
      <w:tcPr>
        <w:tcBorders>
          <w:top w:val="nil"/>
          <w:left w:val="nil"/>
          <w:bottom w:val="single" w:color="000000" w:sz="6" w:space="0"/>
          <w:right w:val="nil"/>
          <w:insideH w:val="nil"/>
          <w:insideV w:val="nil"/>
          <w:tl2br w:val="nil"/>
          <w:tr2bl w:val="nil"/>
        </w:tcBorders>
        <w:shd w:val="solid" w:color="FFFF00" w:fill="FFFFFF"/>
      </w:tcPr>
    </w:tblStylePr>
    <w:tblStylePr w:type="lastRow">
      <w:rPr>
        <w:rFonts w:cs="Times New Roman"/>
        <w:b/>
        <w:bCs/>
      </w:rPr>
      <w:tblPr/>
      <w:tcPr>
        <w:tcBorders>
          <w:top w:val="single" w:color="000000" w:sz="6" w:space="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band1Horz">
      <w:rPr>
        <w:rFonts w:cs="Times New Roman"/>
        <w:color w:val="auto"/>
      </w:rPr>
      <w:tblPr/>
      <w:tcPr>
        <w:tcBorders>
          <w:top w:val="nil"/>
          <w:left w:val="nil"/>
          <w:bottom w:val="nil"/>
          <w:right w:val="nil"/>
          <w:insideH w:val="nil"/>
          <w:insideV w:val="nil"/>
          <w:tl2br w:val="nil"/>
          <w:tr2bl w:val="nil"/>
        </w:tcBorders>
        <w:shd w:val="pct25" w:color="FFFF00" w:fill="FFFFFF"/>
      </w:tcPr>
    </w:tblStylePr>
    <w:tblStylePr w:type="band2Horz">
      <w:rPr>
        <w:rFonts w:cs="Times New Roman"/>
      </w:rPr>
      <w:tblPr/>
      <w:tcPr>
        <w:tcBorders>
          <w:top w:val="nil"/>
          <w:left w:val="nil"/>
          <w:bottom w:val="nil"/>
          <w:right w:val="nil"/>
          <w:insideH w:val="nil"/>
          <w:insideV w:val="nil"/>
          <w:tl2br w:val="nil"/>
          <w:tr2bl w:val="nil"/>
        </w:tcBorders>
        <w:shd w:val="pct50" w:color="FF0000" w:fill="FFFFFF"/>
      </w:tcPr>
    </w:tblStylePr>
    <w:tblStylePr w:type="nwCell">
      <w:rPr>
        <w:rFonts w:cs="Times New Roman"/>
      </w:rPr>
      <w:tblPr/>
      <w:tcPr>
        <w:tcBorders>
          <w:top w:val="nil"/>
          <w:left w:val="nil"/>
          <w:bottom w:val="nil"/>
          <w:right w:val="nil"/>
          <w:insideH w:val="nil"/>
          <w:insideV w:val="nil"/>
          <w:tl2br w:val="single" w:color="auto" w:sz="6" w:space="0"/>
          <w:tr2bl w:val="nil"/>
        </w:tcBorders>
      </w:tcPr>
    </w:tblStylePr>
  </w:style>
  <w:style w:type="table" w:styleId="103">
    <w:name w:val="Table Contemporary"/>
    <w:basedOn w:val="76"/>
    <w:semiHidden/>
    <w:qFormat/>
    <w:uiPriority w:val="99"/>
    <w:pPr>
      <w:widowControl w:val="0"/>
      <w:spacing w:after="200" w:line="276" w:lineRule="auto"/>
    </w:pPr>
    <w:rPr>
      <w:rFonts w:ascii="Calibri" w:hAnsi="Calibri"/>
    </w:rPr>
    <w:tblPr>
      <w:tblBorders>
        <w:insideH w:val="single" w:color="FFFFFF" w:sz="18" w:space="0"/>
        <w:insideV w:val="single" w:color="FFFFFF" w:sz="18" w:space="0"/>
      </w:tblBorders>
      <w:tblCellMar>
        <w:top w:w="0" w:type="dxa"/>
        <w:left w:w="108" w:type="dxa"/>
        <w:bottom w:w="0" w:type="dxa"/>
        <w:right w:w="108" w:type="dxa"/>
      </w:tblCellMar>
    </w:tblPr>
    <w:tblStylePr w:type="firstRow">
      <w:rPr>
        <w:rFonts w:cs="Times New Roman"/>
        <w:b/>
        <w:bCs/>
        <w:color w:val="auto"/>
      </w:rPr>
      <w:tblPr/>
      <w:tcPr>
        <w:tcBorders>
          <w:top w:val="nil"/>
          <w:left w:val="nil"/>
          <w:bottom w:val="nil"/>
          <w:right w:val="nil"/>
          <w:insideH w:val="nil"/>
          <w:insideV w:val="nil"/>
          <w:tl2br w:val="nil"/>
          <w:tr2bl w:val="nil"/>
        </w:tcBorders>
        <w:shd w:val="pct20" w:color="000000" w:fill="FFFFFF"/>
      </w:tcPr>
    </w:tblStylePr>
    <w:tblStylePr w:type="band1Horz">
      <w:rPr>
        <w:rFonts w:cs="Times New Roman"/>
        <w:color w:val="auto"/>
      </w:rPr>
      <w:tblPr/>
      <w:tcPr>
        <w:tcBorders>
          <w:top w:val="nil"/>
          <w:left w:val="nil"/>
          <w:bottom w:val="nil"/>
          <w:right w:val="nil"/>
          <w:insideH w:val="nil"/>
          <w:insideV w:val="nil"/>
          <w:tl2br w:val="nil"/>
          <w:tr2bl w:val="nil"/>
        </w:tcBorders>
        <w:shd w:val="pct5" w:color="000000" w:fill="FFFFFF"/>
      </w:tcPr>
    </w:tblStylePr>
    <w:tblStylePr w:type="band2Horz">
      <w:rPr>
        <w:rFonts w:cs="Times New Roman"/>
        <w:color w:val="auto"/>
      </w:rPr>
      <w:tblPr/>
      <w:tcPr>
        <w:tcBorders>
          <w:top w:val="nil"/>
          <w:left w:val="nil"/>
          <w:bottom w:val="nil"/>
          <w:right w:val="nil"/>
          <w:insideH w:val="nil"/>
          <w:insideV w:val="nil"/>
          <w:tl2br w:val="nil"/>
          <w:tr2bl w:val="nil"/>
        </w:tcBorders>
        <w:shd w:val="pct20" w:color="000000" w:fill="FFFFFF"/>
      </w:tcPr>
    </w:tblStylePr>
  </w:style>
  <w:style w:type="table" w:styleId="104">
    <w:name w:val="Table Columns 1"/>
    <w:basedOn w:val="76"/>
    <w:semiHidden/>
    <w:qFormat/>
    <w:uiPriority w:val="99"/>
    <w:pPr>
      <w:widowControl w:val="0"/>
      <w:spacing w:after="200" w:line="276" w:lineRule="auto"/>
    </w:pPr>
    <w:rPr>
      <w:rFonts w:ascii="Calibri" w:hAnsi="Calibri"/>
      <w:b/>
      <w:bCs/>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rFonts w:cs="Times New Roman"/>
        <w:b w:val="0"/>
        <w:bCs w:val="0"/>
      </w:rPr>
      <w:tblPr/>
      <w:tcPr>
        <w:tcBorders>
          <w:top w:val="nil"/>
          <w:left w:val="nil"/>
          <w:bottom w:val="double" w:color="000000" w:sz="6" w:space="0"/>
          <w:right w:val="nil"/>
          <w:insideH w:val="nil"/>
          <w:insideV w:val="nil"/>
          <w:tl2br w:val="nil"/>
          <w:tr2bl w:val="nil"/>
        </w:tcBorders>
      </w:tcPr>
    </w:tblStylePr>
    <w:tblStylePr w:type="lastRow">
      <w:rPr>
        <w:rFonts w:cs="Times New Roman"/>
        <w:b w:val="0"/>
        <w:bCs w:val="0"/>
      </w:rPr>
      <w:tblPr/>
      <w:tcPr>
        <w:tcBorders>
          <w:top w:val="nil"/>
          <w:left w:val="nil"/>
          <w:bottom w:val="nil"/>
          <w:right w:val="nil"/>
          <w:insideH w:val="nil"/>
          <w:insideV w:val="nil"/>
          <w:tl2br w:val="nil"/>
          <w:tr2bl w:val="nil"/>
        </w:tcBorders>
      </w:tcPr>
    </w:tblStylePr>
    <w:tblStylePr w:type="firstCol">
      <w:rPr>
        <w:rFonts w:cs="Times New Roman"/>
        <w:b w:val="0"/>
        <w:bCs w:val="0"/>
      </w:rPr>
      <w:tblPr/>
      <w:tcPr>
        <w:tcBorders>
          <w:top w:val="nil"/>
          <w:left w:val="nil"/>
          <w:bottom w:val="nil"/>
          <w:right w:val="nil"/>
          <w:insideH w:val="nil"/>
          <w:insideV w:val="nil"/>
          <w:tl2br w:val="nil"/>
          <w:tr2bl w:val="nil"/>
        </w:tcBorders>
      </w:tcPr>
    </w:tblStylePr>
    <w:tblStylePr w:type="lastCol">
      <w:rPr>
        <w:rFonts w:cs="Times New Roman"/>
        <w:b w:val="0"/>
        <w:bCs w:val="0"/>
      </w:rPr>
      <w:tblPr/>
      <w:tcPr>
        <w:tcBorders>
          <w:top w:val="nil"/>
          <w:left w:val="nil"/>
          <w:bottom w:val="nil"/>
          <w:right w:val="nil"/>
          <w:insideH w:val="nil"/>
          <w:insideV w:val="nil"/>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105">
    <w:name w:val="Table Columns 2"/>
    <w:basedOn w:val="76"/>
    <w:semiHidden/>
    <w:qFormat/>
    <w:uiPriority w:val="99"/>
    <w:pPr>
      <w:widowControl w:val="0"/>
      <w:spacing w:after="200" w:line="276" w:lineRule="auto"/>
    </w:pPr>
    <w:rPr>
      <w:rFonts w:ascii="Calibri" w:hAnsi="Calibri"/>
      <w:b/>
      <w:bCs/>
    </w:rPr>
    <w:tblPr>
      <w:tblCellMar>
        <w:top w:w="0" w:type="dxa"/>
        <w:left w:w="108" w:type="dxa"/>
        <w:bottom w:w="0" w:type="dxa"/>
        <w:right w:w="108" w:type="dxa"/>
      </w:tblCellMar>
    </w:tblPr>
    <w:tblStylePr w:type="firstRow">
      <w:rPr>
        <w:rFonts w:cs="Times New Roman"/>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Times New Roman"/>
        <w:b w:val="0"/>
        <w:bCs w:val="0"/>
      </w:rPr>
      <w:tblPr/>
      <w:tcPr>
        <w:tcBorders>
          <w:top w:val="nil"/>
          <w:left w:val="nil"/>
          <w:bottom w:val="nil"/>
          <w:right w:val="nil"/>
          <w:insideH w:val="nil"/>
          <w:insideV w:val="nil"/>
          <w:tl2br w:val="nil"/>
          <w:tr2bl w:val="nil"/>
        </w:tcBorders>
      </w:tcPr>
    </w:tblStylePr>
    <w:tblStylePr w:type="firstCol">
      <w:rPr>
        <w:rFonts w:cs="Times New Roman"/>
        <w:b w:val="0"/>
        <w:bCs w:val="0"/>
        <w:color w:val="000000"/>
      </w:rPr>
      <w:tblPr/>
      <w:tcPr>
        <w:tcBorders>
          <w:top w:val="nil"/>
          <w:left w:val="nil"/>
          <w:bottom w:val="nil"/>
          <w:right w:val="nil"/>
          <w:insideH w:val="nil"/>
          <w:insideV w:val="nil"/>
          <w:tl2br w:val="nil"/>
          <w:tr2bl w:val="nil"/>
        </w:tcBorders>
      </w:tcPr>
    </w:tblStylePr>
    <w:tblStylePr w:type="lastCol">
      <w:rPr>
        <w:rFonts w:cs="Times New Roman"/>
        <w:b w:val="0"/>
        <w:bCs w:val="0"/>
      </w:rPr>
      <w:tblPr/>
      <w:tcPr>
        <w:tcBorders>
          <w:top w:val="nil"/>
          <w:left w:val="nil"/>
          <w:bottom w:val="nil"/>
          <w:right w:val="nil"/>
          <w:insideH w:val="nil"/>
          <w:insideV w:val="nil"/>
          <w:tl2br w:val="nil"/>
          <w:tr2bl w:val="nil"/>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106">
    <w:name w:val="Table Columns 3"/>
    <w:basedOn w:val="76"/>
    <w:semiHidden/>
    <w:qFormat/>
    <w:uiPriority w:val="99"/>
    <w:pPr>
      <w:widowControl w:val="0"/>
      <w:spacing w:after="200" w:line="276" w:lineRule="auto"/>
    </w:pPr>
    <w:rPr>
      <w:rFonts w:ascii="Calibri" w:hAnsi="Calibri"/>
      <w:b/>
      <w:bCs/>
    </w:rPr>
    <w:tblPr>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rFonts w:cs="Times New Roman"/>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Times New Roman"/>
        <w:b w:val="0"/>
        <w:bCs w:val="0"/>
      </w:rPr>
      <w:tblPr/>
      <w:tcPr>
        <w:tcBorders>
          <w:top w:val="single" w:color="000080" w:sz="6" w:space="0"/>
          <w:left w:val="nil"/>
          <w:bottom w:val="nil"/>
          <w:right w:val="nil"/>
          <w:insideH w:val="nil"/>
          <w:insideV w:val="nil"/>
          <w:tl2br w:val="nil"/>
          <w:tr2bl w:val="nil"/>
        </w:tcBorders>
      </w:tcPr>
    </w:tblStylePr>
    <w:tblStylePr w:type="firstCol">
      <w:rPr>
        <w:rFonts w:cs="Times New Roman"/>
        <w:b w:val="0"/>
        <w:bCs w:val="0"/>
      </w:rPr>
      <w:tblPr/>
      <w:tcPr>
        <w:tcBorders>
          <w:top w:val="nil"/>
          <w:left w:val="nil"/>
          <w:bottom w:val="nil"/>
          <w:right w:val="nil"/>
          <w:insideH w:val="nil"/>
          <w:insideV w:val="nil"/>
          <w:tl2br w:val="nil"/>
          <w:tr2bl w:val="nil"/>
        </w:tcBorders>
      </w:tcPr>
    </w:tblStylePr>
    <w:tblStylePr w:type="lastCol">
      <w:rPr>
        <w:rFonts w:cs="Times New Roman"/>
        <w:b w:val="0"/>
        <w:bCs w:val="0"/>
      </w:rPr>
      <w:tblPr/>
      <w:tcPr>
        <w:tcBorders>
          <w:top w:val="nil"/>
          <w:left w:val="nil"/>
          <w:bottom w:val="nil"/>
          <w:right w:val="nil"/>
          <w:insideH w:val="nil"/>
          <w:insideV w:val="nil"/>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op w:val="nil"/>
          <w:left w:val="nil"/>
          <w:bottom w:val="nil"/>
          <w:right w:val="nil"/>
          <w:insideH w:val="nil"/>
          <w:insideV w:val="nil"/>
          <w:tl2br w:val="nil"/>
          <w:tr2bl w:val="nil"/>
        </w:tcBorders>
      </w:tcPr>
    </w:tblStylePr>
  </w:style>
  <w:style w:type="table" w:styleId="107">
    <w:name w:val="Table Columns 4"/>
    <w:basedOn w:val="76"/>
    <w:semiHidden/>
    <w:qFormat/>
    <w:uiPriority w:val="99"/>
    <w:pPr>
      <w:widowControl w:val="0"/>
      <w:spacing w:after="200" w:line="276" w:lineRule="auto"/>
    </w:pPr>
    <w:rPr>
      <w:rFonts w:ascii="Calibri" w:hAnsi="Calibri"/>
    </w:rPr>
    <w:tblPr>
      <w:tblCellMar>
        <w:top w:w="0" w:type="dxa"/>
        <w:left w:w="108" w:type="dxa"/>
        <w:bottom w:w="0" w:type="dxa"/>
        <w:right w:w="108" w:type="dxa"/>
      </w:tblCellMar>
    </w:tblPr>
    <w:tblStylePr w:type="firstRow">
      <w:rPr>
        <w:rFonts w:cs="Times New Roman"/>
        <w:color w:val="FFFFFF"/>
      </w:rPr>
      <w:tblPr/>
      <w:tcPr>
        <w:tcBorders>
          <w:top w:val="nil"/>
          <w:left w:val="nil"/>
          <w:bottom w:val="nil"/>
          <w:right w:val="nil"/>
          <w:insideH w:val="nil"/>
          <w:insideV w:val="nil"/>
          <w:tl2br w:val="nil"/>
          <w:tr2bl w:val="nil"/>
        </w:tcBorders>
        <w:shd w:val="solid" w:color="000000" w:fill="FFFFFF"/>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108">
    <w:name w:val="Table Columns 5"/>
    <w:basedOn w:val="76"/>
    <w:semiHidden/>
    <w:qFormat/>
    <w:uiPriority w:val="99"/>
    <w:pPr>
      <w:widowControl w:val="0"/>
      <w:spacing w:after="200" w:line="276" w:lineRule="auto"/>
    </w:pPr>
    <w:rPr>
      <w:rFonts w:ascii="Calibri" w:hAnsi="Calibri"/>
    </w:rPr>
    <w:tblPr>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rFonts w:cs="Times New Roman"/>
        <w:b/>
        <w:bCs/>
        <w:i/>
        <w:iCs/>
      </w:rPr>
      <w:tblPr/>
      <w:tcPr>
        <w:tcBorders>
          <w:top w:val="nil"/>
          <w:left w:val="nil"/>
          <w:bottom w:val="single" w:color="808080" w:sz="6" w:space="0"/>
          <w:right w:val="nil"/>
          <w:insideH w:val="nil"/>
          <w:insideV w:val="nil"/>
          <w:tl2br w:val="nil"/>
          <w:tr2bl w:val="nil"/>
        </w:tcBorders>
      </w:tcPr>
    </w:tblStylePr>
    <w:tblStylePr w:type="lastRow">
      <w:rPr>
        <w:rFonts w:cs="Times New Roman"/>
        <w:b/>
        <w:bCs/>
      </w:rPr>
      <w:tblPr/>
      <w:tcPr>
        <w:tcBorders>
          <w:top w:val="single" w:color="808080" w:sz="6" w:space="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9">
    <w:name w:val="Table Grid 1"/>
    <w:basedOn w:val="76"/>
    <w:semiHidden/>
    <w:qFormat/>
    <w:uiPriority w:val="99"/>
    <w:pPr>
      <w:widowControl w:val="0"/>
      <w:spacing w:after="200" w:line="276" w:lineRule="auto"/>
    </w:pPr>
    <w:rPr>
      <w:rFonts w:ascii="Calibri" w:hAnsi="Calibri"/>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lastRow">
      <w:rPr>
        <w:rFonts w:cs="Times New Roman"/>
        <w:i/>
        <w:iCs/>
      </w:rPr>
      <w:tblPr/>
      <w:tcPr>
        <w:tcBorders>
          <w:top w:val="nil"/>
          <w:left w:val="nil"/>
          <w:bottom w:val="nil"/>
          <w:right w:val="nil"/>
          <w:insideH w:val="nil"/>
          <w:insideV w:val="nil"/>
          <w:tl2br w:val="nil"/>
          <w:tr2bl w:val="nil"/>
        </w:tcBorders>
      </w:tcPr>
    </w:tblStylePr>
    <w:tblStylePr w:type="lastCol">
      <w:rPr>
        <w:rFonts w:cs="Times New Roman"/>
        <w:i/>
        <w:i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color="000000" w:sz="6" w:space="0"/>
          <w:tr2bl w:val="nil"/>
        </w:tcBorders>
      </w:tcPr>
    </w:tblStylePr>
  </w:style>
  <w:style w:type="table" w:styleId="110">
    <w:name w:val="Table Grid 2"/>
    <w:basedOn w:val="76"/>
    <w:semiHidden/>
    <w:qFormat/>
    <w:uiPriority w:val="99"/>
    <w:pPr>
      <w:widowControl w:val="0"/>
      <w:spacing w:after="200" w:line="276" w:lineRule="auto"/>
    </w:pPr>
    <w:rPr>
      <w:rFonts w:ascii="Calibri" w:hAnsi="Calibri"/>
    </w:rPr>
    <w:tblPr>
      <w:tblBorders>
        <w:insideH w:val="single" w:color="000000" w:sz="6" w:space="0"/>
        <w:insideV w:val="single" w:color="000000" w:sz="6" w:space="0"/>
      </w:tblBorders>
      <w:tblCellMar>
        <w:top w:w="0" w:type="dxa"/>
        <w:left w:w="108" w:type="dxa"/>
        <w:bottom w:w="0" w:type="dxa"/>
        <w:right w:w="108" w:type="dxa"/>
      </w:tblCellMar>
    </w:tblPr>
    <w:tblStylePr w:type="firstRow">
      <w:rPr>
        <w:rFonts w:cs="Times New Roman"/>
        <w:b/>
        <w:bCs/>
      </w:rPr>
      <w:tblPr/>
      <w:tcPr>
        <w:tcBorders>
          <w:top w:val="nil"/>
          <w:left w:val="nil"/>
          <w:bottom w:val="nil"/>
          <w:right w:val="nil"/>
          <w:insideH w:val="nil"/>
          <w:insideV w:val="nil"/>
          <w:tl2br w:val="nil"/>
          <w:tr2bl w:val="nil"/>
        </w:tcBorders>
      </w:tcPr>
    </w:tblStylePr>
    <w:tblStylePr w:type="lastRow">
      <w:rPr>
        <w:rFonts w:cs="Times New Roman"/>
        <w:b/>
        <w:bCs/>
      </w:rPr>
      <w:tblPr/>
      <w:tcPr>
        <w:tcBorders>
          <w:top w:val="single" w:color="000000" w:sz="6" w:space="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style>
  <w:style w:type="table" w:styleId="111">
    <w:name w:val="Table Grid 3"/>
    <w:basedOn w:val="76"/>
    <w:semiHidden/>
    <w:qFormat/>
    <w:uiPriority w:val="99"/>
    <w:pPr>
      <w:widowControl w:val="0"/>
      <w:spacing w:after="200" w:line="276" w:lineRule="auto"/>
    </w:pPr>
    <w:rPr>
      <w:rFonts w:ascii="Calibri" w:hAnsi="Calibri"/>
    </w:rPr>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blStylePr w:type="firstRow">
      <w:rPr>
        <w:rFonts w:cs="Times New Roman"/>
      </w:rPr>
      <w:tblPr/>
      <w:tcPr>
        <w:tcBorders>
          <w:top w:val="nil"/>
          <w:left w:val="nil"/>
          <w:bottom w:val="single" w:color="000000" w:sz="6" w:space="0"/>
          <w:right w:val="nil"/>
          <w:insideH w:val="nil"/>
          <w:insideV w:val="nil"/>
          <w:tl2br w:val="nil"/>
          <w:tr2bl w:val="nil"/>
        </w:tcBorders>
        <w:shd w:val="pct30" w:color="FFFF00" w:fill="FFFFFF"/>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color="000000" w:sz="6" w:space="0"/>
          <w:tr2bl w:val="nil"/>
        </w:tcBorders>
      </w:tcPr>
    </w:tblStylePr>
  </w:style>
  <w:style w:type="table" w:styleId="112">
    <w:name w:val="Table Grid 4"/>
    <w:basedOn w:val="76"/>
    <w:semiHidden/>
    <w:qFormat/>
    <w:uiPriority w:val="99"/>
    <w:pPr>
      <w:widowControl w:val="0"/>
      <w:spacing w:after="200" w:line="276" w:lineRule="auto"/>
    </w:pPr>
    <w:rPr>
      <w:rFonts w:ascii="Calibri" w:hAnsi="Calibri"/>
    </w:rPr>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color w:val="auto"/>
      </w:rPr>
      <w:tblPr/>
      <w:tcPr>
        <w:tcBorders>
          <w:top w:val="nil"/>
          <w:left w:val="nil"/>
          <w:bottom w:val="single" w:color="000000" w:sz="6" w:space="0"/>
          <w:right w:val="nil"/>
          <w:insideH w:val="nil"/>
          <w:insideV w:val="nil"/>
          <w:tl2br w:val="nil"/>
          <w:tr2bl w:val="nil"/>
        </w:tcBorders>
        <w:shd w:val="pct30" w:color="FFFF00" w:fill="FFFFFF"/>
      </w:tcPr>
    </w:tblStylePr>
    <w:tblStylePr w:type="lastRow">
      <w:rPr>
        <w:rFonts w:cs="Times New Roman"/>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rFonts w:cs="Times New Roman"/>
        <w:b/>
        <w:bCs/>
        <w:color w:val="auto"/>
      </w:rPr>
      <w:tblPr/>
      <w:tcPr>
        <w:tcBorders>
          <w:top w:val="nil"/>
          <w:left w:val="nil"/>
          <w:bottom w:val="nil"/>
          <w:right w:val="nil"/>
          <w:insideH w:val="nil"/>
          <w:insideV w:val="nil"/>
          <w:tl2br w:val="nil"/>
          <w:tr2bl w:val="nil"/>
        </w:tcBorders>
      </w:tcPr>
    </w:tblStylePr>
  </w:style>
  <w:style w:type="table" w:styleId="113">
    <w:name w:val="Table Grid 5"/>
    <w:basedOn w:val="76"/>
    <w:semiHidden/>
    <w:qFormat/>
    <w:uiPriority w:val="99"/>
    <w:pPr>
      <w:widowControl w:val="0"/>
      <w:spacing w:after="200" w:line="276" w:lineRule="auto"/>
    </w:pPr>
    <w:rPr>
      <w:rFonts w:ascii="Calibri" w:hAnsi="Calibri"/>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rPr>
      <w:tblPr/>
      <w:tcPr>
        <w:tcBorders>
          <w:top w:val="nil"/>
          <w:left w:val="nil"/>
          <w:bottom w:val="single" w:color="000000" w:sz="12" w:space="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color="000000" w:sz="6" w:space="0"/>
          <w:tr2bl w:val="nil"/>
        </w:tcBorders>
      </w:tcPr>
    </w:tblStylePr>
  </w:style>
  <w:style w:type="table" w:styleId="114">
    <w:name w:val="Table Grid 6"/>
    <w:basedOn w:val="76"/>
    <w:semiHidden/>
    <w:qFormat/>
    <w:uiPriority w:val="99"/>
    <w:pPr>
      <w:widowControl w:val="0"/>
      <w:spacing w:after="200" w:line="276" w:lineRule="auto"/>
    </w:pPr>
    <w:rPr>
      <w:rFonts w:ascii="Calibri" w:hAnsi="Calibri"/>
    </w:rPr>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blStylePr w:type="firstRow">
      <w:rPr>
        <w:rFonts w:cs="Times New Roman"/>
        <w:b/>
        <w:bCs/>
      </w:rPr>
      <w:tblPr/>
      <w:tcPr>
        <w:tcBorders>
          <w:top w:val="nil"/>
          <w:left w:val="nil"/>
          <w:bottom w:val="single" w:color="000000" w:sz="6" w:space="0"/>
          <w:right w:val="nil"/>
          <w:insideH w:val="nil"/>
          <w:insideV w:val="nil"/>
          <w:tl2br w:val="nil"/>
          <w:tr2bl w:val="nil"/>
        </w:tcBorders>
      </w:tcPr>
    </w:tblStylePr>
    <w:tblStylePr w:type="lastRow">
      <w:rPr>
        <w:rFonts w:cs="Times New Roman"/>
        <w:color w:val="auto"/>
      </w:rPr>
      <w:tblPr/>
      <w:tcPr>
        <w:tcBorders>
          <w:top w:val="single" w:color="000000" w:sz="6" w:space="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color="000000" w:sz="6" w:space="0"/>
          <w:tr2bl w:val="nil"/>
        </w:tcBorders>
      </w:tcPr>
    </w:tblStylePr>
  </w:style>
  <w:style w:type="table" w:styleId="115">
    <w:name w:val="Table Grid 7"/>
    <w:basedOn w:val="76"/>
    <w:semiHidden/>
    <w:qFormat/>
    <w:uiPriority w:val="99"/>
    <w:pPr>
      <w:widowControl w:val="0"/>
      <w:spacing w:after="200" w:line="276" w:lineRule="auto"/>
    </w:pPr>
    <w:rPr>
      <w:rFonts w:ascii="Calibri" w:hAnsi="Calibri"/>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b w:val="0"/>
        <w:bCs w:val="0"/>
      </w:rPr>
      <w:tblPr/>
      <w:tcPr>
        <w:tcBorders>
          <w:top w:val="nil"/>
          <w:left w:val="nil"/>
          <w:bottom w:val="single" w:color="000000" w:sz="12" w:space="0"/>
          <w:right w:val="nil"/>
          <w:insideH w:val="nil"/>
          <w:insideV w:val="nil"/>
          <w:tl2br w:val="nil"/>
          <w:tr2bl w:val="nil"/>
        </w:tcBorders>
      </w:tcPr>
    </w:tblStylePr>
    <w:tblStylePr w:type="lastRow">
      <w:rPr>
        <w:rFonts w:cs="Times New Roman"/>
        <w:b w:val="0"/>
        <w:bCs w:val="0"/>
      </w:rPr>
      <w:tblPr/>
      <w:tcPr>
        <w:tcBorders>
          <w:top w:val="single" w:color="000000" w:sz="6" w:space="0"/>
          <w:left w:val="nil"/>
          <w:bottom w:val="nil"/>
          <w:right w:val="nil"/>
          <w:insideH w:val="nil"/>
          <w:insideV w:val="nil"/>
          <w:tl2br w:val="nil"/>
          <w:tr2bl w:val="nil"/>
        </w:tcBorders>
      </w:tcPr>
    </w:tblStylePr>
    <w:tblStylePr w:type="firstCol">
      <w:rPr>
        <w:rFonts w:cs="Times New Roman"/>
        <w:b w:val="0"/>
        <w:bCs w:val="0"/>
      </w:rPr>
      <w:tblPr/>
      <w:tcPr>
        <w:tcBorders>
          <w:top w:val="nil"/>
          <w:left w:val="nil"/>
          <w:bottom w:val="nil"/>
          <w:right w:val="nil"/>
          <w:insideH w:val="nil"/>
          <w:insideV w:val="nil"/>
          <w:tl2br w:val="nil"/>
          <w:tr2bl w:val="nil"/>
        </w:tcBorders>
      </w:tcPr>
    </w:tblStylePr>
    <w:tblStylePr w:type="lastCol">
      <w:rPr>
        <w:rFonts w:cs="Times New Roman"/>
        <w:b w:val="0"/>
        <w:bCs w:val="0"/>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color="000000" w:sz="6" w:space="0"/>
          <w:tr2bl w:val="nil"/>
        </w:tcBorders>
      </w:tcPr>
    </w:tblStylePr>
  </w:style>
  <w:style w:type="table" w:styleId="116">
    <w:name w:val="Table Grid 8"/>
    <w:basedOn w:val="76"/>
    <w:semiHidden/>
    <w:qFormat/>
    <w:uiPriority w:val="99"/>
    <w:pPr>
      <w:widowControl w:val="0"/>
      <w:spacing w:after="200" w:line="276" w:lineRule="auto"/>
    </w:pPr>
    <w:rPr>
      <w:rFonts w:ascii="Calibri" w:hAnsi="Calibri"/>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blStylePr w:type="firstRow">
      <w:rPr>
        <w:rFonts w:cs="Times New Roman"/>
        <w:b/>
        <w:bCs/>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Times New Roman"/>
        <w:b/>
        <w:bCs/>
        <w:color w:val="auto"/>
      </w:rPr>
      <w:tblPr/>
      <w:tcPr>
        <w:tcBorders>
          <w:top w:val="nil"/>
          <w:left w:val="nil"/>
          <w:bottom w:val="nil"/>
          <w:right w:val="nil"/>
          <w:insideH w:val="nil"/>
          <w:insideV w:val="nil"/>
          <w:tl2br w:val="nil"/>
          <w:tr2bl w:val="nil"/>
        </w:tcBorders>
      </w:tcPr>
    </w:tblStylePr>
    <w:tblStylePr w:type="lastCol">
      <w:rPr>
        <w:rFonts w:cs="Times New Roman"/>
        <w:b/>
        <w:bCs/>
        <w:color w:val="auto"/>
      </w:rPr>
      <w:tblPr/>
      <w:tcPr>
        <w:tcBorders>
          <w:top w:val="nil"/>
          <w:left w:val="nil"/>
          <w:bottom w:val="nil"/>
          <w:right w:val="nil"/>
          <w:insideH w:val="nil"/>
          <w:insideV w:val="nil"/>
          <w:tl2br w:val="nil"/>
          <w:tr2bl w:val="nil"/>
        </w:tcBorders>
      </w:tcPr>
    </w:tblStylePr>
  </w:style>
  <w:style w:type="table" w:styleId="117">
    <w:name w:val="Table Web 1"/>
    <w:basedOn w:val="76"/>
    <w:semiHidden/>
    <w:qFormat/>
    <w:uiPriority w:val="99"/>
    <w:pPr>
      <w:widowControl w:val="0"/>
      <w:spacing w:after="200" w:line="276" w:lineRule="auto"/>
    </w:pPr>
    <w:rPr>
      <w:rFonts w:ascii="Calibri" w:hAnsi="Calibri"/>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blStylePr w:type="firstRow">
      <w:rPr>
        <w:rFonts w:cs="Times New Roman"/>
        <w:color w:val="auto"/>
      </w:rPr>
      <w:tblPr/>
      <w:tcPr>
        <w:tcBorders>
          <w:top w:val="nil"/>
          <w:left w:val="nil"/>
          <w:bottom w:val="nil"/>
          <w:right w:val="nil"/>
          <w:insideH w:val="nil"/>
          <w:insideV w:val="nil"/>
          <w:tl2br w:val="nil"/>
          <w:tr2bl w:val="nil"/>
        </w:tcBorders>
      </w:tcPr>
    </w:tblStylePr>
  </w:style>
  <w:style w:type="table" w:styleId="118">
    <w:name w:val="Table Web 2"/>
    <w:basedOn w:val="76"/>
    <w:semiHidden/>
    <w:qFormat/>
    <w:uiPriority w:val="99"/>
    <w:pPr>
      <w:widowControl w:val="0"/>
      <w:spacing w:after="200" w:line="276" w:lineRule="auto"/>
    </w:pPr>
    <w:rPr>
      <w:rFonts w:ascii="Calibri" w:hAnsi="Calibri"/>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blStylePr w:type="firstRow">
      <w:rPr>
        <w:rFonts w:cs="Times New Roman"/>
        <w:color w:val="auto"/>
      </w:rPr>
      <w:tblPr/>
      <w:tcPr>
        <w:tcBorders>
          <w:top w:val="nil"/>
          <w:left w:val="nil"/>
          <w:bottom w:val="nil"/>
          <w:right w:val="nil"/>
          <w:insideH w:val="nil"/>
          <w:insideV w:val="nil"/>
          <w:tl2br w:val="nil"/>
          <w:tr2bl w:val="nil"/>
        </w:tcBorders>
      </w:tcPr>
    </w:tblStylePr>
  </w:style>
  <w:style w:type="table" w:styleId="119">
    <w:name w:val="Table Web 3"/>
    <w:basedOn w:val="76"/>
    <w:semiHidden/>
    <w:qFormat/>
    <w:uiPriority w:val="99"/>
    <w:pPr>
      <w:widowControl w:val="0"/>
      <w:spacing w:after="200" w:line="276" w:lineRule="auto"/>
    </w:pPr>
    <w:rPr>
      <w:rFonts w:ascii="Calibri" w:hAnsi="Calibri"/>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blStylePr w:type="firstRow">
      <w:rPr>
        <w:rFonts w:cs="Times New Roman"/>
        <w:color w:val="auto"/>
      </w:rPr>
      <w:tblPr/>
      <w:tcPr>
        <w:tcBorders>
          <w:top w:val="nil"/>
          <w:left w:val="nil"/>
          <w:bottom w:val="nil"/>
          <w:right w:val="nil"/>
          <w:insideH w:val="nil"/>
          <w:insideV w:val="nil"/>
          <w:tl2br w:val="nil"/>
          <w:tr2bl w:val="nil"/>
        </w:tcBorders>
      </w:tcPr>
    </w:tblStylePr>
  </w:style>
  <w:style w:type="table" w:styleId="120">
    <w:name w:val="Table Professional"/>
    <w:basedOn w:val="76"/>
    <w:semiHidden/>
    <w:qFormat/>
    <w:uiPriority w:val="99"/>
    <w:pPr>
      <w:widowControl w:val="0"/>
      <w:spacing w:after="200" w:line="276" w:lineRule="auto"/>
    </w:pPr>
    <w:rPr>
      <w:rFonts w:ascii="Calibri" w:hAnsi="Calibri"/>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122">
    <w:name w:val="Strong"/>
    <w:qFormat/>
    <w:uiPriority w:val="99"/>
    <w:rPr>
      <w:rFonts w:cs="Times New Roman"/>
      <w:b/>
      <w:bCs/>
    </w:rPr>
  </w:style>
  <w:style w:type="character" w:styleId="123">
    <w:name w:val="page number"/>
    <w:qFormat/>
    <w:uiPriority w:val="99"/>
    <w:rPr>
      <w:rFonts w:cs="Times New Roman"/>
    </w:rPr>
  </w:style>
  <w:style w:type="character" w:styleId="124">
    <w:name w:val="Emphasis"/>
    <w:qFormat/>
    <w:uiPriority w:val="99"/>
    <w:rPr>
      <w:rFonts w:cs="Times New Roman"/>
      <w:color w:val="CC0000"/>
    </w:rPr>
  </w:style>
  <w:style w:type="character" w:styleId="125">
    <w:name w:val="line number"/>
    <w:qFormat/>
    <w:uiPriority w:val="99"/>
    <w:rPr>
      <w:rFonts w:cs="Times New Roman"/>
    </w:rPr>
  </w:style>
  <w:style w:type="character" w:styleId="126">
    <w:name w:val="HTML Definition"/>
    <w:semiHidden/>
    <w:qFormat/>
    <w:uiPriority w:val="99"/>
    <w:rPr>
      <w:rFonts w:cs="Times New Roman"/>
      <w:i/>
      <w:iCs/>
    </w:rPr>
  </w:style>
  <w:style w:type="character" w:styleId="127">
    <w:name w:val="HTML Typewriter"/>
    <w:semiHidden/>
    <w:qFormat/>
    <w:uiPriority w:val="99"/>
    <w:rPr>
      <w:rFonts w:ascii="Courier New" w:hAnsi="Courier New" w:cs="Courier New"/>
      <w:sz w:val="20"/>
      <w:szCs w:val="20"/>
    </w:rPr>
  </w:style>
  <w:style w:type="character" w:styleId="128">
    <w:name w:val="HTML Acronym"/>
    <w:semiHidden/>
    <w:qFormat/>
    <w:uiPriority w:val="99"/>
    <w:rPr>
      <w:rFonts w:cs="Times New Roman"/>
    </w:rPr>
  </w:style>
  <w:style w:type="character" w:styleId="129">
    <w:name w:val="HTML Variable"/>
    <w:semiHidden/>
    <w:qFormat/>
    <w:uiPriority w:val="99"/>
    <w:rPr>
      <w:rFonts w:cs="Times New Roman"/>
      <w:i/>
      <w:iCs/>
    </w:rPr>
  </w:style>
  <w:style w:type="character" w:styleId="130">
    <w:name w:val="Hyperlink"/>
    <w:qFormat/>
    <w:uiPriority w:val="99"/>
    <w:rPr>
      <w:rFonts w:cs="Times New Roman"/>
      <w:color w:val="1F4F88"/>
      <w:u w:val="none"/>
    </w:rPr>
  </w:style>
  <w:style w:type="character" w:styleId="131">
    <w:name w:val="HTML Code"/>
    <w:semiHidden/>
    <w:qFormat/>
    <w:uiPriority w:val="99"/>
    <w:rPr>
      <w:rFonts w:ascii="Courier New" w:hAnsi="Courier New" w:cs="Courier New"/>
      <w:sz w:val="20"/>
      <w:szCs w:val="20"/>
    </w:rPr>
  </w:style>
  <w:style w:type="character" w:styleId="132">
    <w:name w:val="annotation reference"/>
    <w:qFormat/>
    <w:uiPriority w:val="99"/>
    <w:rPr>
      <w:rFonts w:cs="Times New Roman"/>
      <w:sz w:val="21"/>
    </w:rPr>
  </w:style>
  <w:style w:type="character" w:styleId="133">
    <w:name w:val="HTML Cite"/>
    <w:semiHidden/>
    <w:qFormat/>
    <w:uiPriority w:val="99"/>
    <w:rPr>
      <w:rFonts w:cs="Times New Roman"/>
      <w:i/>
      <w:iCs/>
    </w:rPr>
  </w:style>
  <w:style w:type="character" w:styleId="134">
    <w:name w:val="HTML Keyboard"/>
    <w:semiHidden/>
    <w:qFormat/>
    <w:uiPriority w:val="99"/>
    <w:rPr>
      <w:rFonts w:ascii="Courier New" w:hAnsi="Courier New" w:cs="Courier New"/>
      <w:sz w:val="20"/>
      <w:szCs w:val="20"/>
    </w:rPr>
  </w:style>
  <w:style w:type="character" w:styleId="135">
    <w:name w:val="HTML Sample"/>
    <w:semiHidden/>
    <w:qFormat/>
    <w:uiPriority w:val="99"/>
    <w:rPr>
      <w:rFonts w:ascii="Courier New" w:hAnsi="Courier New" w:cs="Courier New"/>
    </w:rPr>
  </w:style>
  <w:style w:type="character" w:customStyle="1" w:styleId="136">
    <w:name w:val="标题 1 Char"/>
    <w:qFormat/>
    <w:uiPriority w:val="99"/>
    <w:rPr>
      <w:rFonts w:eastAsia="宋体" w:cs="Times New Roman"/>
      <w:b/>
      <w:bCs/>
      <w:kern w:val="44"/>
      <w:sz w:val="44"/>
      <w:szCs w:val="44"/>
      <w:lang w:val="en-US" w:eastAsia="zh-CN" w:bidi="ar-SA"/>
    </w:rPr>
  </w:style>
  <w:style w:type="character" w:customStyle="1" w:styleId="137">
    <w:name w:val="标题 2 Char"/>
    <w:link w:val="4"/>
    <w:qFormat/>
    <w:locked/>
    <w:uiPriority w:val="99"/>
    <w:rPr>
      <w:rFonts w:ascii="Arial" w:hAnsi="Arial" w:eastAsia="黑体" w:cs="Times New Roman"/>
      <w:b/>
      <w:bCs/>
      <w:sz w:val="32"/>
      <w:szCs w:val="32"/>
    </w:rPr>
  </w:style>
  <w:style w:type="paragraph" w:customStyle="1" w:styleId="138">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39">
    <w:name w:val="标题 1 Char1"/>
    <w:link w:val="3"/>
    <w:qFormat/>
    <w:locked/>
    <w:uiPriority w:val="99"/>
    <w:rPr>
      <w:rFonts w:eastAsia="宋体" w:cs="Times New Roman"/>
      <w:b/>
      <w:bCs/>
      <w:kern w:val="44"/>
      <w:sz w:val="44"/>
      <w:szCs w:val="44"/>
    </w:rPr>
  </w:style>
  <w:style w:type="character" w:customStyle="1" w:styleId="140">
    <w:name w:val="正文缩进 Char"/>
    <w:link w:val="5"/>
    <w:qFormat/>
    <w:locked/>
    <w:uiPriority w:val="99"/>
    <w:rPr>
      <w:rFonts w:eastAsia="宋体" w:cs="Times New Roman"/>
      <w:sz w:val="21"/>
    </w:rPr>
  </w:style>
  <w:style w:type="character" w:customStyle="1" w:styleId="141">
    <w:name w:val="标题 3 Char"/>
    <w:link w:val="6"/>
    <w:qFormat/>
    <w:locked/>
    <w:uiPriority w:val="99"/>
    <w:rPr>
      <w:rFonts w:eastAsia="宋体" w:cs="Times New Roman"/>
      <w:b/>
      <w:bCs/>
      <w:sz w:val="32"/>
      <w:szCs w:val="32"/>
    </w:rPr>
  </w:style>
  <w:style w:type="character" w:customStyle="1" w:styleId="142">
    <w:name w:val="标题 4 Char"/>
    <w:link w:val="7"/>
    <w:qFormat/>
    <w:locked/>
    <w:uiPriority w:val="99"/>
    <w:rPr>
      <w:rFonts w:ascii="Arial" w:hAnsi="Arial" w:eastAsia="黑体" w:cs="Times New Roman"/>
      <w:b/>
      <w:bCs/>
      <w:sz w:val="28"/>
      <w:szCs w:val="28"/>
    </w:rPr>
  </w:style>
  <w:style w:type="character" w:customStyle="1" w:styleId="143">
    <w:name w:val="标题 5 Char"/>
    <w:link w:val="8"/>
    <w:qFormat/>
    <w:locked/>
    <w:uiPriority w:val="99"/>
    <w:rPr>
      <w:rFonts w:eastAsia="宋体" w:cs="Times New Roman"/>
      <w:b/>
      <w:bCs/>
      <w:sz w:val="28"/>
      <w:szCs w:val="28"/>
    </w:rPr>
  </w:style>
  <w:style w:type="character" w:customStyle="1" w:styleId="144">
    <w:name w:val="标题 6 Char"/>
    <w:link w:val="9"/>
    <w:qFormat/>
    <w:locked/>
    <w:uiPriority w:val="99"/>
    <w:rPr>
      <w:rFonts w:ascii="Arial" w:hAnsi="Arial" w:eastAsia="黑体" w:cs="Times New Roman"/>
      <w:b/>
      <w:bCs/>
    </w:rPr>
  </w:style>
  <w:style w:type="character" w:customStyle="1" w:styleId="145">
    <w:name w:val="标题 7 Char"/>
    <w:link w:val="10"/>
    <w:semiHidden/>
    <w:qFormat/>
    <w:uiPriority w:val="9"/>
    <w:rPr>
      <w:b/>
      <w:bCs/>
      <w:sz w:val="24"/>
      <w:szCs w:val="24"/>
    </w:rPr>
  </w:style>
  <w:style w:type="character" w:customStyle="1" w:styleId="146">
    <w:name w:val="标题 8 Char"/>
    <w:link w:val="11"/>
    <w:semiHidden/>
    <w:qFormat/>
    <w:uiPriority w:val="9"/>
    <w:rPr>
      <w:rFonts w:ascii="Cambria" w:hAnsi="Cambria" w:eastAsia="宋体" w:cs="Times New Roman"/>
      <w:sz w:val="24"/>
      <w:szCs w:val="24"/>
    </w:rPr>
  </w:style>
  <w:style w:type="character" w:customStyle="1" w:styleId="147">
    <w:name w:val="标题 9 Char"/>
    <w:link w:val="12"/>
    <w:semiHidden/>
    <w:qFormat/>
    <w:uiPriority w:val="9"/>
    <w:rPr>
      <w:rFonts w:ascii="Cambria" w:hAnsi="Cambria" w:eastAsia="宋体" w:cs="Times New Roman"/>
      <w:szCs w:val="21"/>
    </w:rPr>
  </w:style>
  <w:style w:type="character" w:customStyle="1" w:styleId="148">
    <w:name w:val="注释标题 Char"/>
    <w:link w:val="17"/>
    <w:semiHidden/>
    <w:qFormat/>
    <w:uiPriority w:val="0"/>
    <w:rPr>
      <w:szCs w:val="24"/>
    </w:rPr>
  </w:style>
  <w:style w:type="character" w:customStyle="1" w:styleId="149">
    <w:name w:val="电子邮件签名 Char"/>
    <w:link w:val="19"/>
    <w:semiHidden/>
    <w:qFormat/>
    <w:uiPriority w:val="99"/>
    <w:rPr>
      <w:szCs w:val="24"/>
    </w:rPr>
  </w:style>
  <w:style w:type="character" w:customStyle="1" w:styleId="150">
    <w:name w:val="文档结构图 Char"/>
    <w:link w:val="24"/>
    <w:semiHidden/>
    <w:qFormat/>
    <w:uiPriority w:val="99"/>
    <w:rPr>
      <w:sz w:val="16"/>
      <w:szCs w:val="0"/>
    </w:rPr>
  </w:style>
  <w:style w:type="character" w:customStyle="1" w:styleId="151">
    <w:name w:val="批注文字 Char"/>
    <w:link w:val="26"/>
    <w:qFormat/>
    <w:uiPriority w:val="99"/>
    <w:rPr>
      <w:szCs w:val="24"/>
    </w:rPr>
  </w:style>
  <w:style w:type="character" w:customStyle="1" w:styleId="152">
    <w:name w:val="称呼 Char"/>
    <w:link w:val="27"/>
    <w:semiHidden/>
    <w:qFormat/>
    <w:uiPriority w:val="99"/>
    <w:rPr>
      <w:szCs w:val="24"/>
    </w:rPr>
  </w:style>
  <w:style w:type="character" w:customStyle="1" w:styleId="153">
    <w:name w:val="正文文本 3 Char"/>
    <w:link w:val="28"/>
    <w:semiHidden/>
    <w:qFormat/>
    <w:uiPriority w:val="99"/>
    <w:rPr>
      <w:sz w:val="16"/>
      <w:szCs w:val="16"/>
    </w:rPr>
  </w:style>
  <w:style w:type="character" w:customStyle="1" w:styleId="154">
    <w:name w:val="结束语 Char"/>
    <w:link w:val="29"/>
    <w:semiHidden/>
    <w:qFormat/>
    <w:uiPriority w:val="99"/>
    <w:rPr>
      <w:szCs w:val="24"/>
    </w:rPr>
  </w:style>
  <w:style w:type="character" w:customStyle="1" w:styleId="155">
    <w:name w:val="正文文本 Char"/>
    <w:link w:val="31"/>
    <w:semiHidden/>
    <w:qFormat/>
    <w:uiPriority w:val="99"/>
    <w:rPr>
      <w:szCs w:val="24"/>
    </w:rPr>
  </w:style>
  <w:style w:type="character" w:customStyle="1" w:styleId="156">
    <w:name w:val="正文文本缩进 Char"/>
    <w:link w:val="33"/>
    <w:semiHidden/>
    <w:qFormat/>
    <w:uiPriority w:val="99"/>
    <w:rPr>
      <w:szCs w:val="24"/>
    </w:rPr>
  </w:style>
  <w:style w:type="character" w:customStyle="1" w:styleId="157">
    <w:name w:val="HTML 地址 Char"/>
    <w:link w:val="39"/>
    <w:semiHidden/>
    <w:qFormat/>
    <w:uiPriority w:val="99"/>
    <w:rPr>
      <w:i/>
      <w:iCs/>
      <w:szCs w:val="24"/>
    </w:rPr>
  </w:style>
  <w:style w:type="character" w:customStyle="1" w:styleId="158">
    <w:name w:val="纯文本 Char"/>
    <w:link w:val="43"/>
    <w:semiHidden/>
    <w:qFormat/>
    <w:uiPriority w:val="99"/>
    <w:rPr>
      <w:rFonts w:ascii="宋体" w:hAnsi="Courier New" w:cs="Courier New"/>
      <w:szCs w:val="21"/>
    </w:rPr>
  </w:style>
  <w:style w:type="character" w:customStyle="1" w:styleId="159">
    <w:name w:val="日期 Char"/>
    <w:link w:val="47"/>
    <w:semiHidden/>
    <w:qFormat/>
    <w:uiPriority w:val="99"/>
    <w:rPr>
      <w:szCs w:val="24"/>
    </w:rPr>
  </w:style>
  <w:style w:type="character" w:customStyle="1" w:styleId="160">
    <w:name w:val="正文文本缩进 2 Char"/>
    <w:link w:val="48"/>
    <w:semiHidden/>
    <w:qFormat/>
    <w:uiPriority w:val="99"/>
    <w:rPr>
      <w:szCs w:val="24"/>
    </w:rPr>
  </w:style>
  <w:style w:type="character" w:customStyle="1" w:styleId="161">
    <w:name w:val="批注框文本 Char"/>
    <w:link w:val="50"/>
    <w:semiHidden/>
    <w:qFormat/>
    <w:uiPriority w:val="99"/>
    <w:rPr>
      <w:sz w:val="16"/>
      <w:szCs w:val="0"/>
    </w:rPr>
  </w:style>
  <w:style w:type="character" w:customStyle="1" w:styleId="162">
    <w:name w:val="页脚 Char"/>
    <w:link w:val="51"/>
    <w:semiHidden/>
    <w:qFormat/>
    <w:uiPriority w:val="99"/>
    <w:rPr>
      <w:sz w:val="18"/>
      <w:szCs w:val="18"/>
    </w:rPr>
  </w:style>
  <w:style w:type="character" w:customStyle="1" w:styleId="163">
    <w:name w:val="页眉 Char"/>
    <w:link w:val="53"/>
    <w:semiHidden/>
    <w:qFormat/>
    <w:uiPriority w:val="99"/>
    <w:rPr>
      <w:sz w:val="18"/>
      <w:szCs w:val="18"/>
    </w:rPr>
  </w:style>
  <w:style w:type="character" w:customStyle="1" w:styleId="164">
    <w:name w:val="签名 Char"/>
    <w:link w:val="54"/>
    <w:semiHidden/>
    <w:qFormat/>
    <w:uiPriority w:val="99"/>
    <w:rPr>
      <w:szCs w:val="24"/>
    </w:rPr>
  </w:style>
  <w:style w:type="character" w:customStyle="1" w:styleId="165">
    <w:name w:val="副标题 Char"/>
    <w:link w:val="58"/>
    <w:qFormat/>
    <w:uiPriority w:val="11"/>
    <w:rPr>
      <w:rFonts w:ascii="Cambria" w:hAnsi="Cambria" w:cs="Times New Roman"/>
      <w:b/>
      <w:bCs/>
      <w:kern w:val="28"/>
      <w:sz w:val="32"/>
      <w:szCs w:val="32"/>
    </w:rPr>
  </w:style>
  <w:style w:type="character" w:customStyle="1" w:styleId="166">
    <w:name w:val="正文文本缩进 3 Char"/>
    <w:link w:val="63"/>
    <w:semiHidden/>
    <w:qFormat/>
    <w:uiPriority w:val="99"/>
    <w:rPr>
      <w:sz w:val="16"/>
      <w:szCs w:val="16"/>
    </w:rPr>
  </w:style>
  <w:style w:type="character" w:customStyle="1" w:styleId="167">
    <w:name w:val="正文文本 2 Char"/>
    <w:link w:val="32"/>
    <w:semiHidden/>
    <w:qFormat/>
    <w:uiPriority w:val="99"/>
    <w:rPr>
      <w:szCs w:val="24"/>
    </w:rPr>
  </w:style>
  <w:style w:type="character" w:customStyle="1" w:styleId="168">
    <w:name w:val="信息标题 Char"/>
    <w:link w:val="68"/>
    <w:semiHidden/>
    <w:qFormat/>
    <w:uiPriority w:val="99"/>
    <w:rPr>
      <w:rFonts w:ascii="Cambria" w:hAnsi="Cambria" w:eastAsia="宋体" w:cs="Times New Roman"/>
      <w:sz w:val="24"/>
      <w:szCs w:val="24"/>
      <w:shd w:val="pct20" w:color="auto" w:fill="auto"/>
    </w:rPr>
  </w:style>
  <w:style w:type="character" w:customStyle="1" w:styleId="169">
    <w:name w:val="HTML 预设格式 Char"/>
    <w:link w:val="69"/>
    <w:semiHidden/>
    <w:qFormat/>
    <w:uiPriority w:val="99"/>
    <w:rPr>
      <w:rFonts w:ascii="Courier New" w:hAnsi="Courier New" w:cs="Courier New"/>
      <w:sz w:val="20"/>
      <w:szCs w:val="20"/>
    </w:rPr>
  </w:style>
  <w:style w:type="character" w:customStyle="1" w:styleId="170">
    <w:name w:val="标题 Char"/>
    <w:link w:val="72"/>
    <w:qFormat/>
    <w:uiPriority w:val="10"/>
    <w:rPr>
      <w:rFonts w:ascii="Cambria" w:hAnsi="Cambria" w:cs="Times New Roman"/>
      <w:b/>
      <w:bCs/>
      <w:sz w:val="32"/>
      <w:szCs w:val="32"/>
    </w:rPr>
  </w:style>
  <w:style w:type="character" w:customStyle="1" w:styleId="171">
    <w:name w:val="批注主题 Char"/>
    <w:link w:val="73"/>
    <w:semiHidden/>
    <w:qFormat/>
    <w:uiPriority w:val="99"/>
    <w:rPr>
      <w:rFonts w:ascii="Calibri" w:hAnsi="Calibri" w:eastAsia="宋体"/>
      <w:b/>
      <w:bCs/>
      <w:sz w:val="22"/>
      <w:szCs w:val="24"/>
      <w:lang w:val="en-US" w:eastAsia="en-US"/>
    </w:rPr>
  </w:style>
  <w:style w:type="character" w:customStyle="1" w:styleId="172">
    <w:name w:val="正文首行缩进 Char"/>
    <w:link w:val="74"/>
    <w:semiHidden/>
    <w:qFormat/>
    <w:uiPriority w:val="99"/>
    <w:rPr>
      <w:rFonts w:eastAsia="宋体" w:cs="Times New Roman"/>
      <w:sz w:val="21"/>
      <w:szCs w:val="24"/>
    </w:rPr>
  </w:style>
  <w:style w:type="character" w:customStyle="1" w:styleId="173">
    <w:name w:val="正文首行缩进 2 Char"/>
    <w:link w:val="75"/>
    <w:semiHidden/>
    <w:qFormat/>
    <w:uiPriority w:val="99"/>
    <w:rPr>
      <w:szCs w:val="24"/>
    </w:rPr>
  </w:style>
  <w:style w:type="character" w:customStyle="1" w:styleId="174">
    <w:name w:val="apple-converted-space"/>
    <w:qFormat/>
    <w:uiPriority w:val="99"/>
  </w:style>
  <w:style w:type="character" w:customStyle="1" w:styleId="175">
    <w:name w:val="Body Text Char"/>
    <w:qFormat/>
    <w:locked/>
    <w:uiPriority w:val="99"/>
    <w:rPr>
      <w:rFonts w:eastAsia="宋体" w:cs="Times New Roman"/>
      <w:sz w:val="21"/>
    </w:rPr>
  </w:style>
  <w:style w:type="character" w:customStyle="1" w:styleId="176">
    <w:name w:val="hei14"/>
    <w:semiHidden/>
    <w:qFormat/>
    <w:uiPriority w:val="99"/>
    <w:rPr>
      <w:rFonts w:cs="Times New Roman"/>
    </w:rPr>
  </w:style>
  <w:style w:type="character" w:customStyle="1" w:styleId="177">
    <w:name w:val="List Paragraph Char"/>
    <w:link w:val="178"/>
    <w:qFormat/>
    <w:locked/>
    <w:uiPriority w:val="99"/>
    <w:rPr>
      <w:rFonts w:eastAsia="宋体" w:cs="Times New Roman"/>
      <w:color w:val="262626"/>
    </w:rPr>
  </w:style>
  <w:style w:type="paragraph" w:customStyle="1" w:styleId="178">
    <w:name w:val="列出段落1"/>
    <w:basedOn w:val="1"/>
    <w:link w:val="177"/>
    <w:qFormat/>
    <w:uiPriority w:val="99"/>
    <w:pPr>
      <w:spacing w:line="360" w:lineRule="auto"/>
      <w:ind w:firstLine="480" w:firstLineChars="200"/>
    </w:pPr>
    <w:rPr>
      <w:color w:val="262626"/>
      <w:kern w:val="0"/>
      <w:sz w:val="20"/>
      <w:szCs w:val="20"/>
    </w:rPr>
  </w:style>
  <w:style w:type="character" w:customStyle="1" w:styleId="179">
    <w:name w:val="Footer Char"/>
    <w:semiHidden/>
    <w:qFormat/>
    <w:locked/>
    <w:uiPriority w:val="99"/>
    <w:rPr>
      <w:rFonts w:eastAsia="宋体" w:cs="Times New Roman"/>
      <w:sz w:val="18"/>
      <w:szCs w:val="18"/>
    </w:rPr>
  </w:style>
  <w:style w:type="character" w:customStyle="1" w:styleId="180">
    <w:name w:val="明显引用 Char"/>
    <w:link w:val="181"/>
    <w:qFormat/>
    <w:locked/>
    <w:uiPriority w:val="99"/>
    <w:rPr>
      <w:b/>
      <w:i/>
      <w:sz w:val="24"/>
    </w:rPr>
  </w:style>
  <w:style w:type="paragraph" w:customStyle="1" w:styleId="181">
    <w:name w:val="明显引用1"/>
    <w:basedOn w:val="1"/>
    <w:next w:val="1"/>
    <w:link w:val="180"/>
    <w:qFormat/>
    <w:uiPriority w:val="99"/>
    <w:pPr>
      <w:widowControl/>
      <w:ind w:left="720" w:right="720"/>
      <w:jc w:val="left"/>
    </w:pPr>
    <w:rPr>
      <w:b/>
      <w:i/>
      <w:kern w:val="0"/>
      <w:sz w:val="24"/>
      <w:szCs w:val="20"/>
    </w:rPr>
  </w:style>
  <w:style w:type="character" w:customStyle="1" w:styleId="182">
    <w:name w:val="font01"/>
    <w:qFormat/>
    <w:uiPriority w:val="0"/>
    <w:rPr>
      <w:rFonts w:hint="eastAsia" w:ascii="宋体" w:hAnsi="宋体" w:eastAsia="宋体"/>
      <w:color w:val="000000"/>
      <w:sz w:val="21"/>
      <w:szCs w:val="21"/>
      <w:u w:val="none"/>
    </w:rPr>
  </w:style>
  <w:style w:type="character" w:customStyle="1" w:styleId="183">
    <w:name w:val="Char Char3"/>
    <w:qFormat/>
    <w:uiPriority w:val="99"/>
    <w:rPr>
      <w:rFonts w:ascii="Calibri" w:hAnsi="Calibri" w:eastAsia="宋体" w:cs="Times New Roman"/>
      <w:sz w:val="22"/>
      <w:szCs w:val="22"/>
      <w:lang w:eastAsia="en-US"/>
    </w:rPr>
  </w:style>
  <w:style w:type="character" w:customStyle="1" w:styleId="184">
    <w:name w:val="hover43"/>
    <w:qFormat/>
    <w:uiPriority w:val="99"/>
    <w:rPr>
      <w:rFonts w:cs="Times New Roman"/>
      <w:color w:val="FF6600"/>
      <w:u w:val="single"/>
    </w:rPr>
  </w:style>
  <w:style w:type="character" w:customStyle="1" w:styleId="185">
    <w:name w:val="font21"/>
    <w:basedOn w:val="121"/>
    <w:qFormat/>
    <w:uiPriority w:val="0"/>
    <w:rPr>
      <w:rFonts w:hint="default" w:ascii="Times New Roman" w:hAnsi="Times New Roman" w:cs="Times New Roman"/>
      <w:color w:val="000000"/>
      <w:sz w:val="21"/>
      <w:szCs w:val="21"/>
      <w:u w:val="none"/>
    </w:rPr>
  </w:style>
  <w:style w:type="character" w:customStyle="1" w:styleId="186">
    <w:name w:val="hover42"/>
    <w:qFormat/>
    <w:uiPriority w:val="99"/>
    <w:rPr>
      <w:rFonts w:cs="Times New Roman"/>
      <w:color w:val="FFFFFF"/>
      <w:shd w:val="clear" w:color="auto" w:fill="FF6600"/>
    </w:rPr>
  </w:style>
  <w:style w:type="character" w:customStyle="1" w:styleId="187">
    <w:name w:val="hover38"/>
    <w:qFormat/>
    <w:uiPriority w:val="99"/>
    <w:rPr>
      <w:rFonts w:cs="Times New Roman"/>
      <w:color w:val="FF6600"/>
      <w:u w:val="single"/>
    </w:rPr>
  </w:style>
  <w:style w:type="character" w:customStyle="1" w:styleId="188">
    <w:name w:val="hover39"/>
    <w:qFormat/>
    <w:uiPriority w:val="99"/>
    <w:rPr>
      <w:rFonts w:cs="Times New Roman"/>
      <w:color w:val="FFFFFF"/>
      <w:shd w:val="clear" w:color="auto" w:fill="FF6600"/>
    </w:rPr>
  </w:style>
  <w:style w:type="character" w:customStyle="1" w:styleId="189">
    <w:name w:val="Document Map Char"/>
    <w:semiHidden/>
    <w:qFormat/>
    <w:locked/>
    <w:uiPriority w:val="99"/>
    <w:rPr>
      <w:rFonts w:eastAsia="宋体" w:cs="Times New Roman"/>
      <w:sz w:val="21"/>
    </w:rPr>
  </w:style>
  <w:style w:type="character" w:customStyle="1" w:styleId="190">
    <w:name w:val="hover40"/>
    <w:qFormat/>
    <w:uiPriority w:val="99"/>
    <w:rPr>
      <w:rFonts w:cs="Times New Roman"/>
      <w:color w:val="FF6600"/>
      <w:u w:val="single"/>
    </w:rPr>
  </w:style>
  <w:style w:type="character" w:customStyle="1" w:styleId="191">
    <w:name w:val="Comment Text Char"/>
    <w:qFormat/>
    <w:locked/>
    <w:uiPriority w:val="99"/>
    <w:rPr>
      <w:rFonts w:ascii="Calibri" w:hAnsi="Calibri" w:eastAsia="宋体"/>
      <w:sz w:val="22"/>
      <w:lang w:val="en-US" w:eastAsia="en-US"/>
    </w:rPr>
  </w:style>
  <w:style w:type="character" w:customStyle="1" w:styleId="192">
    <w:name w:val="param-name1"/>
    <w:qFormat/>
    <w:uiPriority w:val="99"/>
    <w:rPr>
      <w:rFonts w:cs="Times New Roman"/>
      <w:b/>
    </w:rPr>
  </w:style>
  <w:style w:type="character" w:customStyle="1" w:styleId="193">
    <w:name w:val="bds_more"/>
    <w:qFormat/>
    <w:uiPriority w:val="99"/>
    <w:rPr>
      <w:rFonts w:ascii="Arial" w:hAnsi="Arial" w:cs="Arial"/>
    </w:rPr>
  </w:style>
  <w:style w:type="character" w:customStyle="1" w:styleId="194">
    <w:name w:val="段 Char"/>
    <w:link w:val="195"/>
    <w:qFormat/>
    <w:locked/>
    <w:uiPriority w:val="99"/>
    <w:rPr>
      <w:rFonts w:ascii="宋体"/>
      <w:sz w:val="21"/>
      <w:lang w:val="en-US" w:eastAsia="zh-CN" w:bidi="ar-SA"/>
    </w:rPr>
  </w:style>
  <w:style w:type="paragraph" w:customStyle="1" w:styleId="195">
    <w:name w:val="段"/>
    <w:link w:val="194"/>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96">
    <w:name w:val="Body Text First Indent Char"/>
    <w:qFormat/>
    <w:locked/>
    <w:uiPriority w:val="99"/>
    <w:rPr>
      <w:rFonts w:ascii="宋体" w:hAnsi="宋体" w:eastAsia="宋体" w:cs="Times New Roman"/>
      <w:spacing w:val="20"/>
      <w:sz w:val="24"/>
    </w:rPr>
  </w:style>
  <w:style w:type="character" w:customStyle="1" w:styleId="197">
    <w:name w:val="正文（缩进） Char"/>
    <w:link w:val="198"/>
    <w:qFormat/>
    <w:locked/>
    <w:uiPriority w:val="99"/>
    <w:rPr>
      <w:rFonts w:eastAsia="宋体"/>
      <w:sz w:val="24"/>
    </w:rPr>
  </w:style>
  <w:style w:type="paragraph" w:customStyle="1" w:styleId="198">
    <w:name w:val="正文（缩进）"/>
    <w:basedOn w:val="1"/>
    <w:link w:val="197"/>
    <w:semiHidden/>
    <w:qFormat/>
    <w:uiPriority w:val="99"/>
    <w:pPr>
      <w:spacing w:beforeLines="50" w:afterLines="50" w:line="360" w:lineRule="auto"/>
      <w:ind w:firstLine="480" w:firstLineChars="200"/>
    </w:pPr>
    <w:rPr>
      <w:kern w:val="0"/>
      <w:sz w:val="24"/>
      <w:szCs w:val="20"/>
    </w:rPr>
  </w:style>
  <w:style w:type="character" w:customStyle="1" w:styleId="199">
    <w:name w:val="Header Char"/>
    <w:semiHidden/>
    <w:qFormat/>
    <w:locked/>
    <w:uiPriority w:val="99"/>
    <w:rPr>
      <w:rFonts w:eastAsia="宋体" w:cs="Times New Roman"/>
      <w:sz w:val="18"/>
      <w:szCs w:val="18"/>
    </w:rPr>
  </w:style>
  <w:style w:type="character" w:customStyle="1" w:styleId="200">
    <w:name w:val="访问过的超链接1"/>
    <w:semiHidden/>
    <w:qFormat/>
    <w:uiPriority w:val="99"/>
    <w:rPr>
      <w:rFonts w:cs="Times New Roman"/>
      <w:color w:val="1F4F88"/>
      <w:u w:val="none"/>
    </w:rPr>
  </w:style>
  <w:style w:type="character" w:customStyle="1" w:styleId="201">
    <w:name w:val="hover44"/>
    <w:qFormat/>
    <w:uiPriority w:val="99"/>
    <w:rPr>
      <w:rFonts w:ascii="微软雅黑" w:hAnsi="微软雅黑" w:eastAsia="微软雅黑" w:cs="微软雅黑"/>
      <w:b/>
      <w:color w:val="FF6600"/>
      <w:sz w:val="22"/>
      <w:szCs w:val="22"/>
      <w:u w:val="single"/>
    </w:rPr>
  </w:style>
  <w:style w:type="paragraph" w:customStyle="1" w:styleId="202">
    <w:name w:val="p0"/>
    <w:basedOn w:val="1"/>
    <w:semiHidden/>
    <w:qFormat/>
    <w:uiPriority w:val="99"/>
    <w:pPr>
      <w:widowControl/>
      <w:spacing w:after="200" w:line="273" w:lineRule="auto"/>
      <w:jc w:val="left"/>
    </w:pPr>
    <w:rPr>
      <w:rFonts w:ascii="Calibri" w:hAnsi="Calibri" w:cs="宋体"/>
      <w:kern w:val="0"/>
      <w:sz w:val="22"/>
      <w:szCs w:val="22"/>
    </w:rPr>
  </w:style>
  <w:style w:type="paragraph" w:customStyle="1" w:styleId="203">
    <w:name w:val="xl49"/>
    <w:basedOn w:val="1"/>
    <w:qFormat/>
    <w:uiPriority w:val="99"/>
    <w:pPr>
      <w:widowControl/>
      <w:pBdr>
        <w:top w:val="single" w:color="auto" w:sz="4" w:space="0"/>
        <w:lef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204">
    <w:name w:val="Char"/>
    <w:basedOn w:val="1"/>
    <w:qFormat/>
    <w:uiPriority w:val="99"/>
    <w:pPr>
      <w:tabs>
        <w:tab w:val="left" w:pos="708"/>
      </w:tabs>
      <w:ind w:firstLine="420"/>
    </w:pPr>
    <w:rPr>
      <w:rFonts w:ascii="仿宋_GB2312" w:eastAsia="仿宋_GB2312"/>
      <w:sz w:val="24"/>
    </w:rPr>
  </w:style>
  <w:style w:type="paragraph" w:customStyle="1" w:styleId="205">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06">
    <w:name w:val="xl50"/>
    <w:basedOn w:val="1"/>
    <w:qFormat/>
    <w:uiPriority w:val="99"/>
    <w:pPr>
      <w:widowControl/>
      <w:pBdr>
        <w:lef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207">
    <w:name w:val="xl36"/>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208">
    <w:name w:val="Char Char1 Char Char Char Char"/>
    <w:basedOn w:val="1"/>
    <w:qFormat/>
    <w:uiPriority w:val="99"/>
    <w:pPr>
      <w:keepNext/>
      <w:keepLines/>
      <w:adjustRightInd w:val="0"/>
      <w:spacing w:beforeLines="100" w:afterLines="100" w:line="300" w:lineRule="auto"/>
      <w:ind w:firstLine="200" w:firstLineChars="200"/>
      <w:textAlignment w:val="center"/>
    </w:pPr>
    <w:rPr>
      <w:rFonts w:ascii="仿宋_GB2312" w:hAnsi="宋体" w:eastAsia="仿宋_GB2312"/>
      <w:kern w:val="0"/>
      <w:sz w:val="24"/>
      <w:szCs w:val="20"/>
    </w:rPr>
  </w:style>
  <w:style w:type="paragraph" w:customStyle="1" w:styleId="209">
    <w:name w:val="正文居中"/>
    <w:basedOn w:val="1"/>
    <w:next w:val="74"/>
    <w:qFormat/>
    <w:uiPriority w:val="99"/>
    <w:pPr>
      <w:jc w:val="center"/>
    </w:pPr>
    <w:rPr>
      <w:sz w:val="24"/>
      <w:szCs w:val="20"/>
    </w:rPr>
  </w:style>
  <w:style w:type="paragraph" w:customStyle="1" w:styleId="210">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11">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12">
    <w:name w:val="font0"/>
    <w:basedOn w:val="1"/>
    <w:qFormat/>
    <w:uiPriority w:val="99"/>
    <w:pPr>
      <w:widowControl/>
      <w:spacing w:before="100" w:beforeAutospacing="1" w:after="100" w:afterAutospacing="1"/>
      <w:jc w:val="left"/>
    </w:pPr>
    <w:rPr>
      <w:rFonts w:ascii="宋体" w:hAnsi="宋体" w:cs="宋体"/>
      <w:kern w:val="0"/>
      <w:sz w:val="24"/>
    </w:rPr>
  </w:style>
  <w:style w:type="paragraph" w:customStyle="1" w:styleId="213">
    <w:name w:val="xl47"/>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14">
    <w:name w:val="样式5"/>
    <w:basedOn w:val="1"/>
    <w:next w:val="42"/>
    <w:qFormat/>
    <w:uiPriority w:val="99"/>
    <w:pPr>
      <w:tabs>
        <w:tab w:val="left" w:pos="980"/>
      </w:tabs>
      <w:spacing w:line="360" w:lineRule="auto"/>
      <w:ind w:left="140" w:right="-20"/>
      <w:outlineLvl w:val="0"/>
    </w:pPr>
    <w:rPr>
      <w:b/>
      <w:bCs/>
      <w:kern w:val="0"/>
      <w:sz w:val="28"/>
      <w:szCs w:val="28"/>
    </w:rPr>
  </w:style>
  <w:style w:type="paragraph" w:customStyle="1" w:styleId="215">
    <w:name w:val="xl73"/>
    <w:basedOn w:val="1"/>
    <w:qFormat/>
    <w:uiPriority w:val="99"/>
    <w:pPr>
      <w:widowControl/>
      <w:spacing w:before="100" w:beforeAutospacing="1" w:after="100" w:afterAutospacing="1"/>
      <w:jc w:val="center"/>
      <w:textAlignment w:val="center"/>
    </w:pPr>
    <w:rPr>
      <w:rFonts w:ascii="宋体" w:hAnsi="宋体" w:cs="宋体"/>
      <w:kern w:val="0"/>
      <w:sz w:val="18"/>
      <w:szCs w:val="18"/>
    </w:rPr>
  </w:style>
  <w:style w:type="paragraph" w:customStyle="1" w:styleId="216">
    <w:name w:val="表格标注（绿盟科技）"/>
    <w:basedOn w:val="217"/>
    <w:next w:val="1"/>
    <w:semiHidden/>
    <w:qFormat/>
    <w:uiPriority w:val="99"/>
    <w:pPr>
      <w:numPr>
        <w:ilvl w:val="4"/>
      </w:numPr>
      <w:tabs>
        <w:tab w:val="left" w:pos="1620"/>
        <w:tab w:val="left" w:pos="1680"/>
      </w:tabs>
      <w:ind w:left="1620" w:hanging="360"/>
    </w:pPr>
  </w:style>
  <w:style w:type="paragraph" w:customStyle="1" w:styleId="217">
    <w:name w:val="插图标注（绿盟科技）"/>
    <w:next w:val="1"/>
    <w:semiHidden/>
    <w:qFormat/>
    <w:uiPriority w:val="99"/>
    <w:pPr>
      <w:numPr>
        <w:ilvl w:val="3"/>
        <w:numId w:val="1"/>
      </w:numPr>
      <w:spacing w:after="156"/>
      <w:ind w:left="426" w:firstLine="0"/>
      <w:jc w:val="center"/>
    </w:pPr>
    <w:rPr>
      <w:rFonts w:ascii="Arial" w:hAnsi="Arial" w:eastAsia="宋体" w:cs="Arial"/>
      <w:sz w:val="21"/>
      <w:szCs w:val="21"/>
      <w:lang w:val="en-US" w:eastAsia="zh-CN" w:bidi="ar-SA"/>
    </w:rPr>
  </w:style>
  <w:style w:type="paragraph" w:customStyle="1" w:styleId="218">
    <w:name w:val="a2"/>
    <w:basedOn w:val="1"/>
    <w:qFormat/>
    <w:uiPriority w:val="99"/>
    <w:pPr>
      <w:widowControl/>
      <w:spacing w:before="100" w:beforeAutospacing="1" w:after="100" w:afterAutospacing="1"/>
      <w:jc w:val="left"/>
    </w:pPr>
    <w:rPr>
      <w:rFonts w:ascii="宋体" w:hAnsi="宋体" w:cs="宋体"/>
      <w:kern w:val="0"/>
      <w:sz w:val="24"/>
    </w:rPr>
  </w:style>
  <w:style w:type="paragraph" w:customStyle="1" w:styleId="219">
    <w:name w:val="样式1"/>
    <w:basedOn w:val="7"/>
    <w:qFormat/>
    <w:uiPriority w:val="99"/>
    <w:pPr>
      <w:autoSpaceDE w:val="0"/>
      <w:autoSpaceDN w:val="0"/>
      <w:adjustRightInd w:val="0"/>
      <w:spacing w:line="500" w:lineRule="exact"/>
      <w:ind w:firstLine="490" w:firstLineChars="204"/>
      <w:jc w:val="left"/>
    </w:pPr>
    <w:rPr>
      <w:rFonts w:ascii="宋体" w:hAnsi="宋体"/>
      <w:bCs w:val="0"/>
      <w:sz w:val="24"/>
      <w:szCs w:val="20"/>
    </w:rPr>
  </w:style>
  <w:style w:type="paragraph" w:customStyle="1" w:styleId="220">
    <w:name w:val="xl33"/>
    <w:basedOn w:val="221"/>
    <w:qFormat/>
    <w:uiPriority w:val="99"/>
    <w:pPr>
      <w:pBdr>
        <w:bottom w:val="single" w:color="auto" w:sz="4" w:space="0"/>
        <w:right w:val="single" w:color="auto" w:sz="4" w:space="0"/>
      </w:pBdr>
      <w:jc w:val="center"/>
    </w:pPr>
    <w:rPr>
      <w:sz w:val="20"/>
      <w:szCs w:val="20"/>
    </w:rPr>
  </w:style>
  <w:style w:type="paragraph" w:customStyle="1" w:styleId="221">
    <w:name w:val="style0"/>
    <w:basedOn w:val="1"/>
    <w:qFormat/>
    <w:uiPriority w:val="99"/>
    <w:pPr>
      <w:widowControl/>
      <w:spacing w:before="100" w:beforeAutospacing="1" w:after="100" w:afterAutospacing="1"/>
      <w:jc w:val="left"/>
    </w:pPr>
    <w:rPr>
      <w:rFonts w:ascii="宋体" w:hAnsi="宋体"/>
      <w:kern w:val="0"/>
      <w:sz w:val="24"/>
    </w:rPr>
  </w:style>
  <w:style w:type="paragraph" w:customStyle="1" w:styleId="222">
    <w:name w:val="xl43"/>
    <w:basedOn w:val="221"/>
    <w:qFormat/>
    <w:uiPriority w:val="99"/>
    <w:pPr>
      <w:pBdr>
        <w:bottom w:val="single" w:color="auto" w:sz="4" w:space="0"/>
        <w:right w:val="single" w:color="auto" w:sz="4" w:space="0"/>
      </w:pBdr>
      <w:jc w:val="center"/>
    </w:pPr>
    <w:rPr>
      <w:sz w:val="21"/>
      <w:szCs w:val="21"/>
    </w:rPr>
  </w:style>
  <w:style w:type="paragraph" w:customStyle="1" w:styleId="223">
    <w:name w:val="标题 4（绿盟科技）"/>
    <w:basedOn w:val="7"/>
    <w:next w:val="1"/>
    <w:semiHidden/>
    <w:qFormat/>
    <w:uiPriority w:val="99"/>
    <w:pPr>
      <w:widowControl/>
      <w:tabs>
        <w:tab w:val="left" w:pos="360"/>
      </w:tabs>
      <w:ind w:left="1447" w:hanging="1021"/>
      <w:jc w:val="left"/>
    </w:pPr>
    <w:rPr>
      <w:bCs w:val="0"/>
    </w:rPr>
  </w:style>
  <w:style w:type="paragraph" w:customStyle="1" w:styleId="224">
    <w:name w:val="xl48"/>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44"/>
      <w:szCs w:val="44"/>
    </w:rPr>
  </w:style>
  <w:style w:type="paragraph" w:customStyle="1" w:styleId="225">
    <w:name w:val="Normal_8"/>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6">
    <w:name w:val="xl29"/>
    <w:basedOn w:val="1"/>
    <w:qFormat/>
    <w:uiPriority w:val="99"/>
    <w:pPr>
      <w:widowControl/>
      <w:pBdr>
        <w:top w:val="single" w:color="auto" w:sz="4" w:space="0"/>
        <w:left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227">
    <w:name w:val="标题 5（有编号）（绿盟科技）"/>
    <w:basedOn w:val="1"/>
    <w:next w:val="1"/>
    <w:semiHidden/>
    <w:qFormat/>
    <w:uiPriority w:val="99"/>
    <w:pPr>
      <w:keepNext/>
      <w:keepLines/>
      <w:tabs>
        <w:tab w:val="left" w:pos="840"/>
      </w:tabs>
      <w:spacing w:line="377" w:lineRule="auto"/>
      <w:ind w:left="1560" w:hanging="1134"/>
      <w:jc w:val="left"/>
      <w:outlineLvl w:val="4"/>
    </w:pPr>
    <w:rPr>
      <w:rFonts w:ascii="Arial" w:hAnsi="Arial" w:eastAsia="黑体"/>
      <w:b/>
      <w:kern w:val="0"/>
      <w:sz w:val="24"/>
      <w:szCs w:val="28"/>
    </w:rPr>
  </w:style>
  <w:style w:type="paragraph" w:styleId="228">
    <w:name w:val="List Paragraph"/>
    <w:basedOn w:val="1"/>
    <w:qFormat/>
    <w:uiPriority w:val="34"/>
    <w:pPr>
      <w:ind w:firstLine="420" w:firstLineChars="200"/>
    </w:pPr>
  </w:style>
  <w:style w:type="paragraph" w:customStyle="1" w:styleId="229">
    <w:name w:val="五级无标题条"/>
    <w:basedOn w:val="1"/>
    <w:qFormat/>
    <w:uiPriority w:val="99"/>
    <w:pPr>
      <w:tabs>
        <w:tab w:val="left" w:pos="840"/>
      </w:tabs>
      <w:ind w:left="840" w:hanging="630"/>
    </w:pPr>
    <w:rPr>
      <w:szCs w:val="20"/>
    </w:rPr>
  </w:style>
  <w:style w:type="paragraph" w:customStyle="1" w:styleId="230">
    <w:name w:val="xl44"/>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44"/>
      <w:szCs w:val="44"/>
    </w:rPr>
  </w:style>
  <w:style w:type="paragraph" w:customStyle="1" w:styleId="231">
    <w:name w:val="正文2"/>
    <w:basedOn w:val="1"/>
    <w:semiHidden/>
    <w:qFormat/>
    <w:uiPriority w:val="99"/>
    <w:pPr>
      <w:spacing w:before="156" w:line="360" w:lineRule="auto"/>
      <w:ind w:firstLine="510" w:firstLineChars="200"/>
    </w:pPr>
    <w:rPr>
      <w:sz w:val="24"/>
      <w:szCs w:val="20"/>
    </w:rPr>
  </w:style>
  <w:style w:type="paragraph" w:customStyle="1" w:styleId="232">
    <w:name w:val="示例"/>
    <w:qFormat/>
    <w:uiPriority w:val="99"/>
    <w:pPr>
      <w:jc w:val="both"/>
    </w:pPr>
    <w:rPr>
      <w:rFonts w:ascii="宋体" w:hAnsi="Times New Roman" w:eastAsia="宋体" w:cs="Times New Roman"/>
      <w:sz w:val="18"/>
      <w:lang w:val="en-US" w:eastAsia="zh-CN" w:bidi="ar-SA"/>
    </w:rPr>
  </w:style>
  <w:style w:type="paragraph" w:customStyle="1" w:styleId="233">
    <w:name w:val="xl27"/>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34">
    <w:name w:val="默认段落字体 Para Char Char Char Char Char Char Char Char Char Char Char Char Char Char Char1 Char Char Char Char"/>
    <w:basedOn w:val="24"/>
    <w:qFormat/>
    <w:uiPriority w:val="99"/>
    <w:pPr>
      <w:adjustRightInd w:val="0"/>
      <w:spacing w:line="436" w:lineRule="exact"/>
      <w:ind w:left="357"/>
      <w:jc w:val="left"/>
      <w:outlineLvl w:val="3"/>
    </w:pPr>
    <w:rPr>
      <w:rFonts w:ascii="仿宋_GB2312" w:eastAsia="仿宋_GB2312"/>
      <w:sz w:val="24"/>
    </w:rPr>
  </w:style>
  <w:style w:type="paragraph" w:customStyle="1" w:styleId="235">
    <w:name w:val="注×："/>
    <w:semiHidden/>
    <w:qFormat/>
    <w:uiPriority w:val="99"/>
    <w:pPr>
      <w:widowControl w:val="0"/>
      <w:tabs>
        <w:tab w:val="left" w:pos="360"/>
        <w:tab w:val="left" w:pos="630"/>
      </w:tabs>
      <w:autoSpaceDE w:val="0"/>
      <w:autoSpaceDN w:val="0"/>
      <w:ind w:left="360" w:hanging="360"/>
      <w:jc w:val="both"/>
    </w:pPr>
    <w:rPr>
      <w:rFonts w:ascii="宋体" w:hAnsi="Times New Roman" w:eastAsia="宋体" w:cs="Times New Roman"/>
      <w:sz w:val="18"/>
      <w:lang w:val="en-US" w:eastAsia="zh-CN" w:bidi="ar-SA"/>
    </w:rPr>
  </w:style>
  <w:style w:type="paragraph" w:customStyle="1" w:styleId="236">
    <w:name w:val="PP 行"/>
    <w:basedOn w:val="54"/>
    <w:qFormat/>
    <w:uiPriority w:val="99"/>
  </w:style>
  <w:style w:type="paragraph" w:customStyle="1" w:styleId="237">
    <w:name w:val="标题 2（绿盟科技）"/>
    <w:basedOn w:val="4"/>
    <w:next w:val="1"/>
    <w:semiHidden/>
    <w:qFormat/>
    <w:uiPriority w:val="99"/>
    <w:pPr>
      <w:numPr>
        <w:ilvl w:val="1"/>
        <w:numId w:val="1"/>
      </w:numPr>
      <w:tabs>
        <w:tab w:val="left" w:pos="1440"/>
      </w:tabs>
      <w:spacing w:line="415" w:lineRule="auto"/>
      <w:jc w:val="left"/>
    </w:pPr>
    <w:rPr>
      <w:bCs w:val="0"/>
    </w:rPr>
  </w:style>
  <w:style w:type="paragraph" w:customStyle="1" w:styleId="238">
    <w:name w:val="xl45"/>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44"/>
      <w:szCs w:val="44"/>
    </w:rPr>
  </w:style>
  <w:style w:type="paragraph" w:customStyle="1" w:styleId="239">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240">
    <w:name w:val="xl39"/>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44"/>
      <w:szCs w:val="44"/>
    </w:rPr>
  </w:style>
  <w:style w:type="paragraph" w:customStyle="1" w:styleId="241">
    <w:name w:val="简单回函地址"/>
    <w:basedOn w:val="1"/>
    <w:qFormat/>
    <w:uiPriority w:val="99"/>
  </w:style>
  <w:style w:type="paragraph" w:customStyle="1" w:styleId="242">
    <w:name w:val="xl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43">
    <w:name w:val="xl37"/>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244">
    <w:name w:val="xl2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45">
    <w:name w:val="xl32"/>
    <w:basedOn w:val="1"/>
    <w:qFormat/>
    <w:uiPriority w:val="99"/>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246">
    <w:name w:val="xl42"/>
    <w:basedOn w:val="1"/>
    <w:qFormat/>
    <w:uiPriority w:val="99"/>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247">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248">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49">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50">
    <w:name w:val="列出段落11"/>
    <w:basedOn w:val="1"/>
    <w:semiHidden/>
    <w:qFormat/>
    <w:uiPriority w:val="99"/>
    <w:pPr>
      <w:ind w:firstLine="420" w:firstLineChars="200"/>
    </w:pPr>
    <w:rPr>
      <w:szCs w:val="20"/>
    </w:rPr>
  </w:style>
  <w:style w:type="paragraph" w:customStyle="1" w:styleId="251">
    <w:name w:val="Char Char 字元 字元 字元 Char Char Char Char"/>
    <w:basedOn w:val="1"/>
    <w:qFormat/>
    <w:uiPriority w:val="99"/>
    <w:pPr>
      <w:adjustRightInd w:val="0"/>
      <w:spacing w:line="360" w:lineRule="auto"/>
    </w:pPr>
    <w:rPr>
      <w:kern w:val="0"/>
      <w:sz w:val="24"/>
      <w:szCs w:val="20"/>
    </w:rPr>
  </w:style>
  <w:style w:type="paragraph" w:customStyle="1" w:styleId="252">
    <w:name w:val="font6"/>
    <w:basedOn w:val="1"/>
    <w:qFormat/>
    <w:uiPriority w:val="99"/>
    <w:pPr>
      <w:widowControl/>
      <w:spacing w:before="100" w:beforeAutospacing="1" w:after="100" w:afterAutospacing="1"/>
      <w:jc w:val="left"/>
    </w:pPr>
    <w:rPr>
      <w:rFonts w:ascii="宋体" w:hAnsi="宋体" w:cs="宋体"/>
      <w:b/>
      <w:bCs/>
      <w:color w:val="000000"/>
      <w:kern w:val="0"/>
      <w:sz w:val="18"/>
      <w:szCs w:val="18"/>
    </w:rPr>
  </w:style>
  <w:style w:type="paragraph" w:customStyle="1" w:styleId="253">
    <w:name w:val="xl2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54">
    <w:name w:val="xl38"/>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44"/>
      <w:szCs w:val="44"/>
    </w:rPr>
  </w:style>
  <w:style w:type="paragraph" w:customStyle="1" w:styleId="255">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56">
    <w:name w:val="样式2"/>
    <w:basedOn w:val="8"/>
    <w:qFormat/>
    <w:uiPriority w:val="99"/>
    <w:pPr>
      <w:autoSpaceDE w:val="0"/>
      <w:autoSpaceDN w:val="0"/>
      <w:adjustRightInd w:val="0"/>
      <w:spacing w:before="240" w:after="240" w:line="500" w:lineRule="exact"/>
      <w:ind w:firstLine="204" w:firstLineChars="204"/>
      <w:jc w:val="left"/>
    </w:pPr>
    <w:rPr>
      <w:rFonts w:ascii="宋体" w:hAnsi="宋体"/>
      <w:bCs w:val="0"/>
      <w:sz w:val="24"/>
      <w:szCs w:val="20"/>
    </w:rPr>
  </w:style>
  <w:style w:type="paragraph" w:customStyle="1" w:styleId="257">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58">
    <w:name w:val="标题 3（绿盟科技）"/>
    <w:basedOn w:val="6"/>
    <w:next w:val="1"/>
    <w:semiHidden/>
    <w:qFormat/>
    <w:uiPriority w:val="99"/>
    <w:pPr>
      <w:tabs>
        <w:tab w:val="left" w:pos="960"/>
        <w:tab w:val="left" w:pos="1260"/>
      </w:tabs>
      <w:spacing w:line="415" w:lineRule="auto"/>
      <w:ind w:left="1260" w:firstLine="147" w:firstLineChars="147"/>
      <w:jc w:val="left"/>
    </w:pPr>
    <w:rPr>
      <w:rFonts w:ascii="Arial" w:hAnsi="Arial" w:eastAsia="黑体"/>
      <w:sz w:val="30"/>
      <w:szCs w:val="30"/>
    </w:rPr>
  </w:style>
  <w:style w:type="paragraph" w:customStyle="1" w:styleId="259">
    <w:name w:val="xl40"/>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44"/>
      <w:szCs w:val="44"/>
    </w:rPr>
  </w:style>
  <w:style w:type="paragraph" w:customStyle="1" w:styleId="260">
    <w:name w:val="List Paragraph1"/>
    <w:basedOn w:val="1"/>
    <w:qFormat/>
    <w:uiPriority w:val="34"/>
    <w:pPr>
      <w:ind w:firstLine="420" w:firstLineChars="200"/>
    </w:pPr>
  </w:style>
  <w:style w:type="paragraph" w:customStyle="1" w:styleId="261">
    <w:name w:val="样式目录三"/>
    <w:basedOn w:val="42"/>
    <w:semiHidden/>
    <w:qFormat/>
    <w:uiPriority w:val="99"/>
    <w:pPr>
      <w:numPr>
        <w:ilvl w:val="5"/>
        <w:numId w:val="1"/>
      </w:numPr>
      <w:tabs>
        <w:tab w:val="left" w:pos="1320"/>
        <w:tab w:val="right" w:leader="dot" w:pos="8597"/>
      </w:tabs>
      <w:spacing w:line="360" w:lineRule="auto"/>
      <w:ind w:left="0" w:firstLine="0"/>
      <w:outlineLvl w:val="2"/>
    </w:pPr>
    <w:rPr>
      <w:i w:val="0"/>
      <w:sz w:val="24"/>
    </w:rPr>
  </w:style>
  <w:style w:type="paragraph" w:customStyle="1" w:styleId="262">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63">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264">
    <w:name w:val="t4_2"/>
    <w:basedOn w:val="1"/>
    <w:qFormat/>
    <w:uiPriority w:val="99"/>
    <w:pPr>
      <w:widowControl/>
      <w:tabs>
        <w:tab w:val="left" w:pos="360"/>
      </w:tabs>
      <w:spacing w:line="360" w:lineRule="auto"/>
      <w:ind w:left="420"/>
      <w:jc w:val="left"/>
    </w:pPr>
    <w:rPr>
      <w:b/>
    </w:rPr>
  </w:style>
  <w:style w:type="paragraph" w:customStyle="1" w:styleId="265">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66">
    <w:name w:val="xl34"/>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267">
    <w:name w:val="xl72"/>
    <w:basedOn w:val="1"/>
    <w:qFormat/>
    <w:uiPriority w:val="99"/>
    <w:pPr>
      <w:widowControl/>
      <w:spacing w:before="100" w:beforeAutospacing="1" w:after="100" w:afterAutospacing="1"/>
      <w:jc w:val="center"/>
      <w:textAlignment w:val="center"/>
    </w:pPr>
    <w:rPr>
      <w:rFonts w:ascii="宋体" w:hAnsi="宋体" w:cs="宋体"/>
      <w:kern w:val="0"/>
      <w:sz w:val="20"/>
      <w:szCs w:val="20"/>
    </w:rPr>
  </w:style>
  <w:style w:type="paragraph" w:customStyle="1" w:styleId="268">
    <w:name w:val="xl30"/>
    <w:basedOn w:val="1"/>
    <w:qFormat/>
    <w:uiPriority w:val="99"/>
    <w:pPr>
      <w:widowControl/>
      <w:pBdr>
        <w:top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269">
    <w:name w:val="Char Char Char Char"/>
    <w:basedOn w:val="1"/>
    <w:qFormat/>
    <w:uiPriority w:val="99"/>
    <w:rPr>
      <w:rFonts w:ascii="Tahoma" w:hAnsi="Tahoma"/>
      <w:sz w:val="24"/>
      <w:szCs w:val="20"/>
    </w:rPr>
  </w:style>
  <w:style w:type="paragraph" w:customStyle="1" w:styleId="270">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271">
    <w:name w:val="xl28"/>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72">
    <w:name w:val="111111"/>
    <w:basedOn w:val="72"/>
    <w:qFormat/>
    <w:uiPriority w:val="99"/>
    <w:pPr>
      <w:jc w:val="both"/>
    </w:pPr>
  </w:style>
  <w:style w:type="paragraph" w:customStyle="1" w:styleId="273">
    <w:name w:val="列出段落2"/>
    <w:basedOn w:val="1"/>
    <w:qFormat/>
    <w:uiPriority w:val="34"/>
    <w:pPr>
      <w:ind w:firstLine="420" w:firstLineChars="200"/>
    </w:pPr>
  </w:style>
  <w:style w:type="paragraph" w:customStyle="1" w:styleId="274">
    <w:name w:val="表题"/>
    <w:basedOn w:val="43"/>
    <w:qFormat/>
    <w:uiPriority w:val="99"/>
    <w:pPr>
      <w:adjustRightInd w:val="0"/>
      <w:spacing w:line="480" w:lineRule="auto"/>
      <w:jc w:val="center"/>
    </w:pPr>
    <w:rPr>
      <w:rFonts w:ascii="Times New Roman" w:hAnsi="Times New Roman" w:eastAsia="黑体"/>
      <w:sz w:val="18"/>
    </w:rPr>
  </w:style>
  <w:style w:type="paragraph" w:customStyle="1" w:styleId="275">
    <w:name w:val="Char Char1 Char Char Char Char1"/>
    <w:basedOn w:val="1"/>
    <w:qFormat/>
    <w:uiPriority w:val="99"/>
    <w:pPr>
      <w:keepNext/>
      <w:keepLines/>
      <w:adjustRightInd w:val="0"/>
      <w:spacing w:beforeLines="100" w:afterLines="100" w:line="300" w:lineRule="auto"/>
      <w:ind w:firstLine="200" w:firstLineChars="200"/>
    </w:pPr>
    <w:rPr>
      <w:rFonts w:ascii="仿宋_GB2312" w:hAnsi="宋体" w:eastAsia="仿宋_GB2312"/>
      <w:kern w:val="0"/>
      <w:sz w:val="24"/>
      <w:szCs w:val="20"/>
    </w:rPr>
  </w:style>
  <w:style w:type="paragraph" w:customStyle="1" w:styleId="276">
    <w:name w:val="本文項目"/>
    <w:basedOn w:val="1"/>
    <w:semiHidden/>
    <w:qFormat/>
    <w:uiPriority w:val="99"/>
    <w:pPr>
      <w:tabs>
        <w:tab w:val="left" w:pos="360"/>
      </w:tabs>
      <w:autoSpaceDE w:val="0"/>
      <w:autoSpaceDN w:val="0"/>
      <w:adjustRightInd w:val="0"/>
      <w:spacing w:beforeLines="50" w:afterLines="50" w:line="360" w:lineRule="auto"/>
      <w:ind w:left="360" w:hanging="360"/>
      <w:textAlignment w:val="baseline"/>
    </w:pPr>
    <w:rPr>
      <w:b/>
      <w:kern w:val="0"/>
      <w:sz w:val="24"/>
    </w:rPr>
  </w:style>
  <w:style w:type="paragraph" w:customStyle="1" w:styleId="277">
    <w:name w:val="xl31"/>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278">
    <w:name w:val="xl74"/>
    <w:basedOn w:val="1"/>
    <w:qFormat/>
    <w:uiPriority w:val="99"/>
    <w:pPr>
      <w:widowControl/>
      <w:spacing w:before="100" w:beforeAutospacing="1" w:after="100" w:afterAutospacing="1"/>
      <w:jc w:val="center"/>
      <w:textAlignment w:val="center"/>
    </w:pPr>
    <w:rPr>
      <w:rFonts w:ascii="宋体" w:hAnsi="宋体" w:cs="宋体"/>
      <w:kern w:val="0"/>
      <w:sz w:val="20"/>
      <w:szCs w:val="20"/>
    </w:rPr>
  </w:style>
  <w:style w:type="paragraph" w:customStyle="1" w:styleId="279">
    <w:name w:val="xl41"/>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280">
    <w:name w:val="Char Char Char"/>
    <w:basedOn w:val="1"/>
    <w:qFormat/>
    <w:uiPriority w:val="99"/>
    <w:rPr>
      <w:rFonts w:ascii="宋体" w:hAnsi="宋体"/>
      <w:b/>
      <w:sz w:val="28"/>
      <w:szCs w:val="28"/>
    </w:rPr>
  </w:style>
  <w:style w:type="paragraph" w:customStyle="1" w:styleId="281">
    <w:name w:val="标题 6（有编号）（绿盟科技）"/>
    <w:basedOn w:val="1"/>
    <w:next w:val="1"/>
    <w:semiHidden/>
    <w:qFormat/>
    <w:uiPriority w:val="99"/>
    <w:pPr>
      <w:keepNext/>
      <w:keepLines/>
      <w:numPr>
        <w:ilvl w:val="2"/>
        <w:numId w:val="1"/>
      </w:numPr>
      <w:spacing w:line="319" w:lineRule="auto"/>
      <w:ind w:left="1673" w:hanging="1247"/>
      <w:jc w:val="left"/>
      <w:outlineLvl w:val="5"/>
    </w:pPr>
    <w:rPr>
      <w:rFonts w:ascii="Arial" w:hAnsi="Arial" w:eastAsia="黑体"/>
      <w:b/>
      <w:kern w:val="0"/>
    </w:rPr>
  </w:style>
  <w:style w:type="paragraph" w:customStyle="1" w:styleId="282">
    <w:name w:val="样式4"/>
    <w:basedOn w:val="256"/>
    <w:qFormat/>
    <w:uiPriority w:val="99"/>
    <w:pPr>
      <w:keepNext w:val="0"/>
      <w:keepLines w:val="0"/>
      <w:tabs>
        <w:tab w:val="left" w:pos="360"/>
      </w:tabs>
      <w:autoSpaceDE/>
      <w:autoSpaceDN/>
      <w:adjustRightInd/>
      <w:spacing w:before="0" w:after="200" w:line="276" w:lineRule="auto"/>
      <w:ind w:left="360" w:firstLine="0" w:firstLineChars="0"/>
      <w:jc w:val="both"/>
      <w:outlineLvl w:val="9"/>
    </w:pPr>
    <w:rPr>
      <w:rFonts w:ascii="Calibri" w:hAnsi="Calibri"/>
      <w:szCs w:val="24"/>
    </w:rPr>
  </w:style>
  <w:style w:type="paragraph" w:customStyle="1" w:styleId="283">
    <w:name w:val="标题 1（绿盟科技）"/>
    <w:basedOn w:val="3"/>
    <w:next w:val="1"/>
    <w:semiHidden/>
    <w:qFormat/>
    <w:uiPriority w:val="99"/>
    <w:pPr>
      <w:pBdr>
        <w:bottom w:val="single" w:color="auto" w:sz="48" w:space="1"/>
      </w:pBdr>
      <w:tabs>
        <w:tab w:val="left" w:pos="360"/>
      </w:tabs>
      <w:spacing w:line="576" w:lineRule="auto"/>
      <w:ind w:left="360" w:hanging="360"/>
      <w:jc w:val="left"/>
    </w:pPr>
    <w:rPr>
      <w:rFonts w:ascii="Arial" w:hAnsi="Arial" w:eastAsia="黑体"/>
    </w:rPr>
  </w:style>
  <w:style w:type="paragraph" w:customStyle="1" w:styleId="284">
    <w:name w:val="xl46"/>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44"/>
      <w:szCs w:val="44"/>
    </w:rPr>
  </w:style>
  <w:style w:type="paragraph" w:customStyle="1" w:styleId="285">
    <w:name w:val="xl51"/>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286">
    <w:name w:val="xl78"/>
    <w:basedOn w:val="1"/>
    <w:qFormat/>
    <w:uiPriority w:val="99"/>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textAlignment w:val="center"/>
    </w:pPr>
    <w:rPr>
      <w:rFonts w:ascii="黑体" w:hAnsi="宋体" w:eastAsia="黑体" w:cs="宋体"/>
      <w:b/>
      <w:bCs/>
      <w:kern w:val="0"/>
      <w:sz w:val="28"/>
      <w:szCs w:val="28"/>
    </w:rPr>
  </w:style>
  <w:style w:type="paragraph" w:customStyle="1" w:styleId="287">
    <w:name w:val="xl26"/>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character" w:customStyle="1" w:styleId="288">
    <w:name w:val="hover25"/>
    <w:basedOn w:val="121"/>
    <w:qFormat/>
    <w:uiPriority w:val="0"/>
  </w:style>
  <w:style w:type="character" w:customStyle="1" w:styleId="289">
    <w:name w:val="hover26"/>
    <w:basedOn w:val="121"/>
    <w:qFormat/>
    <w:uiPriority w:val="0"/>
    <w:rPr>
      <w:color w:val="315EFB"/>
    </w:rPr>
  </w:style>
  <w:style w:type="character" w:customStyle="1" w:styleId="290">
    <w:name w:val="c-icon28"/>
    <w:basedOn w:val="121"/>
    <w:qFormat/>
    <w:uiPriority w:val="0"/>
  </w:style>
  <w:style w:type="paragraph" w:customStyle="1" w:styleId="291">
    <w:name w:val="正文内容"/>
    <w:basedOn w:val="1"/>
    <w:qFormat/>
    <w:uiPriority w:val="0"/>
    <w:pPr>
      <w:spacing w:line="360" w:lineRule="auto"/>
      <w:ind w:firstLine="480" w:firstLineChars="200"/>
      <w:jc w:val="left"/>
    </w:pPr>
    <w:rPr>
      <w:rFonts w:ascii="宋体" w:hAnsi="宋体" w:cs="宋体"/>
      <w:kern w:val="0"/>
      <w:sz w:val="24"/>
    </w:rPr>
  </w:style>
  <w:style w:type="paragraph" w:customStyle="1" w:styleId="292">
    <w:name w:val="样式9 Char"/>
    <w:basedOn w:val="1"/>
    <w:qFormat/>
    <w:uiPriority w:val="99"/>
    <w:pPr>
      <w:widowControl/>
      <w:spacing w:line="440" w:lineRule="exact"/>
      <w:ind w:firstLine="200" w:firstLineChars="200"/>
      <w:jc w:val="left"/>
    </w:pPr>
    <w:rPr>
      <w:spacing w:val="6"/>
      <w:sz w:val="24"/>
      <w:szCs w:val="20"/>
    </w:rPr>
  </w:style>
  <w:style w:type="paragraph" w:customStyle="1" w:styleId="293">
    <w:name w:val="Body text|1"/>
    <w:basedOn w:val="1"/>
    <w:qFormat/>
    <w:uiPriority w:val="0"/>
    <w:pPr>
      <w:spacing w:line="410" w:lineRule="auto"/>
      <w:ind w:firstLine="400"/>
    </w:pPr>
    <w:rPr>
      <w:rFonts w:ascii="宋体" w:hAnsi="宋体" w:cs="宋体"/>
      <w:sz w:val="30"/>
      <w:szCs w:val="3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F3B46E-A578-4E9E-8480-D6FF9C99771B}">
  <ds:schemaRefs/>
</ds:datastoreItem>
</file>

<file path=docProps/app.xml><?xml version="1.0" encoding="utf-8"?>
<Properties xmlns="http://schemas.openxmlformats.org/officeDocument/2006/extended-properties" xmlns:vt="http://schemas.openxmlformats.org/officeDocument/2006/docPropsVTypes">
  <Template>Normal</Template>
  <Company>DJGS.COM</Company>
  <Pages>70</Pages>
  <Words>29544</Words>
  <Characters>31992</Characters>
  <Lines>224</Lines>
  <Paragraphs>63</Paragraphs>
  <TotalTime>6</TotalTime>
  <ScaleCrop>false</ScaleCrop>
  <LinksUpToDate>false</LinksUpToDate>
  <CharactersWithSpaces>32745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2022-05-30T03:10:00Z</dcterms:created>
  <dc:creator>USER</dc:creator>
  <cp:lastModifiedBy>Administrator</cp:lastModifiedBy>
  <cp:lastPrinted>2018-09-16T13:28:00Z</cp:lastPrinted>
  <dcterms:modified xsi:type="dcterms:W3CDTF">2023-01-09T05:11:10Z</dcterms:modified>
  <dc:title>招标文件目录</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17B0858251C64C39AD4DF976DAE53689</vt:lpwstr>
  </property>
</Properties>
</file>