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2EEF">
      <w:pPr>
        <w:pStyle w:val="9"/>
        <w:ind w:firstLine="0" w:firstLineChars="0"/>
        <w:rPr>
          <w:rFonts w:hint="default" w:eastAsiaTheme="minor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附件4：评分办法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86"/>
        <w:gridCol w:w="6500"/>
      </w:tblGrid>
      <w:tr w14:paraId="4F61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86" w:type="dxa"/>
            <w:gridSpan w:val="3"/>
            <w:noWrap w:val="0"/>
            <w:vAlign w:val="center"/>
          </w:tcPr>
          <w:p w14:paraId="70B49174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总分100分</w:t>
            </w:r>
          </w:p>
        </w:tc>
      </w:tr>
      <w:tr w14:paraId="75E9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00" w:type="dxa"/>
            <w:vMerge w:val="restart"/>
            <w:noWrap w:val="0"/>
            <w:vAlign w:val="center"/>
          </w:tcPr>
          <w:p w14:paraId="186ABA91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总分组成</w:t>
            </w:r>
          </w:p>
        </w:tc>
        <w:tc>
          <w:tcPr>
            <w:tcW w:w="1586" w:type="dxa"/>
            <w:noWrap w:val="0"/>
            <w:vAlign w:val="center"/>
          </w:tcPr>
          <w:p w14:paraId="6B0A3230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（1）价格</w:t>
            </w:r>
          </w:p>
        </w:tc>
        <w:tc>
          <w:tcPr>
            <w:tcW w:w="6500" w:type="dxa"/>
            <w:noWrap w:val="0"/>
            <w:vAlign w:val="center"/>
          </w:tcPr>
          <w:p w14:paraId="4A3BA416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30</w:t>
            </w:r>
          </w:p>
        </w:tc>
      </w:tr>
      <w:tr w14:paraId="0203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279AF512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50535C3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（2）技术</w:t>
            </w:r>
          </w:p>
        </w:tc>
        <w:tc>
          <w:tcPr>
            <w:tcW w:w="6500" w:type="dxa"/>
            <w:noWrap w:val="0"/>
            <w:vAlign w:val="center"/>
          </w:tcPr>
          <w:p w14:paraId="57619260"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64</w:t>
            </w:r>
          </w:p>
        </w:tc>
      </w:tr>
      <w:tr w14:paraId="3099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6260D8AF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DA77147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（3）商务</w:t>
            </w:r>
          </w:p>
        </w:tc>
        <w:tc>
          <w:tcPr>
            <w:tcW w:w="6500" w:type="dxa"/>
            <w:noWrap w:val="0"/>
            <w:vAlign w:val="center"/>
          </w:tcPr>
          <w:p w14:paraId="6F93106E"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19C2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  <w:gridSpan w:val="2"/>
            <w:noWrap w:val="0"/>
            <w:vAlign w:val="center"/>
          </w:tcPr>
          <w:p w14:paraId="46337C16">
            <w:pPr>
              <w:spacing w:line="360" w:lineRule="auto"/>
              <w:jc w:val="center"/>
              <w:rPr>
                <w:rFonts w:ascii="宋体" w:hAnsi="宋体" w:cs="仿宋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  <w:lang w:val="en-US" w:eastAsia="zh-CN"/>
              </w:rPr>
              <w:t>投标报价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>得分</w:t>
            </w:r>
          </w:p>
          <w:p w14:paraId="4B6898B4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30分</w:t>
            </w:r>
          </w:p>
        </w:tc>
        <w:tc>
          <w:tcPr>
            <w:tcW w:w="6500" w:type="dxa"/>
            <w:noWrap w:val="0"/>
            <w:vAlign w:val="center"/>
          </w:tcPr>
          <w:p w14:paraId="4E3AD557">
            <w:pPr>
              <w:spacing w:line="360" w:lineRule="auto"/>
              <w:jc w:val="left"/>
              <w:rPr>
                <w:rFonts w:hint="eastAsia"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以满足招标文件要求且投标报价最低的</w:t>
            </w:r>
            <w:r>
              <w:rPr>
                <w:rFonts w:hint="eastAsia" w:ascii="宋体" w:hAnsi="宋体" w:cs="仿宋"/>
                <w:sz w:val="24"/>
                <w:highlight w:val="none"/>
                <w:lang w:val="en-US" w:eastAsia="zh-CN"/>
              </w:rPr>
              <w:t>综合单价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>总报价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为评标基准价，其价格分为满分30分，其他投标人的价格分按照下列公式计算：投标报价得分=（评标基准价/投标报价）×30。</w:t>
            </w:r>
          </w:p>
        </w:tc>
      </w:tr>
      <w:tr w14:paraId="55FD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00" w:type="dxa"/>
            <w:vMerge w:val="restart"/>
            <w:noWrap w:val="0"/>
            <w:vAlign w:val="center"/>
          </w:tcPr>
          <w:p w14:paraId="358BEF9B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技术部分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64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1586" w:type="dxa"/>
            <w:noWrap w:val="0"/>
            <w:vAlign w:val="center"/>
          </w:tcPr>
          <w:p w14:paraId="07908C2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产品响应技术需求情况</w:t>
            </w:r>
          </w:p>
          <w:p w14:paraId="6C653B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AA7F2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全部满足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技术需求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评标因素的得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分；不能满足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中“★”技术要求的，按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无效投标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处理。</w:t>
            </w:r>
          </w:p>
          <w:p w14:paraId="2F0848B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非"★"技术要求中，技术条款负偏离与技术要求不符合或未做应答，每项给予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分的扣分，出现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条以上负偏的，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无效投标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处理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</w:tc>
      </w:tr>
      <w:tr w14:paraId="7FEE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0D965DB3">
            <w:pPr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92198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产品的市场反馈情况</w:t>
            </w:r>
          </w:p>
          <w:p w14:paraId="355B0D7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C341D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根据各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的产品的市场反馈情况，分三个评价等级打分：</w:t>
            </w:r>
          </w:p>
          <w:p w14:paraId="323AAE8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A.市场反馈结果好、支撑材料详实，得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1EFDFA9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B.市场反馈结果较好、有支撑材料，但存在一定瑕疵的，得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20393CD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C.市场反馈材料粗略，支撑材料存在大量不足的或无市场反馈支撑材料，得0分。</w:t>
            </w:r>
          </w:p>
        </w:tc>
      </w:tr>
      <w:tr w14:paraId="0BB6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27D4085B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8EEBE5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项目组织</w:t>
            </w:r>
          </w:p>
          <w:p w14:paraId="412B4128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实施方案</w:t>
            </w:r>
          </w:p>
          <w:p w14:paraId="477123F3">
            <w:pPr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6500" w:type="dxa"/>
            <w:noWrap w:val="0"/>
            <w:vAlign w:val="top"/>
          </w:tcPr>
          <w:p w14:paraId="3780C43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根据各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提供的项目组织实施方案，进行综合评价：</w:t>
            </w:r>
          </w:p>
          <w:p w14:paraId="49D52635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1.产品供货安装总体及阶段性进度安排：</w:t>
            </w:r>
          </w:p>
          <w:p w14:paraId="54BAD1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A.总体规划科学合理、阶段性进度安排切实可行的，得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5B534EC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B.总体规划基本合理、阶段性进度安排基本可行，但有瑕疵或存在问题的，得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49511C0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C.总体规划不合理、阶段性进度安排混乱的，得0分。</w:t>
            </w:r>
          </w:p>
          <w:p w14:paraId="5096D54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2.项目实施组织架构、团队人员配置：</w:t>
            </w:r>
          </w:p>
          <w:p w14:paraId="1AEC72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A.组织架构合理、人员配置充足、技术力量强的，得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4B721C3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B.组织架构基本合理、人员配置基本满足项目实施要求、技术力量较强，但有瑕疵或存在问题的，得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42EF08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C.组织架构不合理、人员不足、技术力量较弱的，得0分。</w:t>
            </w:r>
          </w:p>
          <w:p w14:paraId="23B82560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3.产品验收方案：</w:t>
            </w:r>
          </w:p>
          <w:p w14:paraId="0279480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A.产品验收方案详实明确，流程清晰合理，措施完备，完全符合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要求，得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58DAC2B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B.产品验收方案比较详实明确，流程比较清晰合理，措施比较完备，基本符合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要求，得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6A22D15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C.产品验收方案粗略，流程不清晰不合理，措施不完备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，得0分。</w:t>
            </w:r>
          </w:p>
          <w:p w14:paraId="62498B5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4.项目实施质量保障措施：</w:t>
            </w:r>
          </w:p>
          <w:p w14:paraId="04B997C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A.质量保障措施完备、切实可行的，得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5C2271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B.质量保障措施比较完备、基本可行，但有瑕疵或存在问题的，得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1219867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C.质量保障措施不完备、难以发挥质量保障作用的，得0分。</w:t>
            </w:r>
          </w:p>
          <w:p w14:paraId="142A7DF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5.品质管理管控措施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：</w:t>
            </w:r>
          </w:p>
          <w:p w14:paraId="5F1396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A.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品质管理管控措施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完备、切实可行的，得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3744B32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B.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品质管理管控措施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比较完备、基本可行，但有瑕疵或存在问题的，得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分；</w:t>
            </w:r>
          </w:p>
          <w:p w14:paraId="7E287F42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C.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品质管理管控措施粗略，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难以发挥作用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，得0分。</w:t>
            </w:r>
          </w:p>
        </w:tc>
      </w:tr>
      <w:tr w14:paraId="2EC6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2656E09E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1586" w:type="dxa"/>
            <w:vMerge w:val="restart"/>
            <w:noWrap w:val="0"/>
            <w:vAlign w:val="center"/>
          </w:tcPr>
          <w:p w14:paraId="57FAEBAD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售后服务保障与支持</w:t>
            </w:r>
          </w:p>
          <w:p w14:paraId="6F7EA9E2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6500" w:type="dxa"/>
            <w:noWrap w:val="0"/>
            <w:vAlign w:val="center"/>
          </w:tcPr>
          <w:p w14:paraId="1FD6FBE3">
            <w:pPr>
              <w:spacing w:line="360" w:lineRule="auto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1.评价各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的售后服务维修网点状况：</w:t>
            </w:r>
          </w:p>
          <w:p w14:paraId="5849BB8E">
            <w:pPr>
              <w:spacing w:line="360" w:lineRule="auto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A.能够充分保障售后维修服务，得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分；</w:t>
            </w:r>
          </w:p>
          <w:p w14:paraId="4F1F2324">
            <w:pPr>
              <w:spacing w:line="360" w:lineRule="auto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B.能够基本保障售后维修服务，得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分；</w:t>
            </w:r>
          </w:p>
          <w:p w14:paraId="3313D12B">
            <w:pPr>
              <w:spacing w:line="360" w:lineRule="auto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C.不能较好地保障售后维修服务，得0分。</w:t>
            </w:r>
          </w:p>
        </w:tc>
      </w:tr>
      <w:tr w14:paraId="38E7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noWrap w:val="0"/>
            <w:vAlign w:val="center"/>
          </w:tcPr>
          <w:p w14:paraId="57F70244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 w14:paraId="27DB73C5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</w:p>
        </w:tc>
        <w:tc>
          <w:tcPr>
            <w:tcW w:w="6500" w:type="dxa"/>
            <w:noWrap w:val="0"/>
            <w:vAlign w:val="center"/>
          </w:tcPr>
          <w:p w14:paraId="007AD682">
            <w:pPr>
              <w:spacing w:line="360" w:lineRule="auto"/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2.评价各</w:t>
            </w: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的售后服务方案（包含售后保障措施、维修响应时间承诺、服务标准承诺、质保期内的产品维护措施、质保期后的维修价格优惠方案等）：</w:t>
            </w:r>
          </w:p>
          <w:p w14:paraId="0A638082">
            <w:pPr>
              <w:spacing w:line="360" w:lineRule="auto"/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A.售后服务方案完备、合理，得</w:t>
            </w: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分；</w:t>
            </w:r>
          </w:p>
          <w:p w14:paraId="2D3B4D99">
            <w:pPr>
              <w:spacing w:line="360" w:lineRule="auto"/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B.售后服务方案比较完备、合理，得</w:t>
            </w: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分；</w:t>
            </w:r>
          </w:p>
          <w:p w14:paraId="1FAF07BF">
            <w:pPr>
              <w:spacing w:line="360" w:lineRule="auto"/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</w:rPr>
              <w:t>C.售后服务方案粗略、不合理或无售后服务方案，得0分。</w:t>
            </w:r>
          </w:p>
        </w:tc>
      </w:tr>
      <w:tr w14:paraId="2EDB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noWrap w:val="0"/>
            <w:vAlign w:val="center"/>
          </w:tcPr>
          <w:p w14:paraId="78AC8817">
            <w:pPr>
              <w:spacing w:line="360" w:lineRule="auto"/>
              <w:jc w:val="center"/>
              <w:rPr>
                <w:rFonts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highlight w:val="none"/>
              </w:rPr>
              <w:t>商务部分</w:t>
            </w:r>
          </w:p>
          <w:p w14:paraId="62AD504A">
            <w:pPr>
              <w:spacing w:line="360" w:lineRule="auto"/>
              <w:jc w:val="center"/>
              <w:rPr>
                <w:rFonts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仿宋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1586" w:type="dxa"/>
            <w:noWrap w:val="0"/>
            <w:vAlign w:val="center"/>
          </w:tcPr>
          <w:p w14:paraId="6253B3A2"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企业业绩</w:t>
            </w:r>
          </w:p>
          <w:p w14:paraId="436FDD61">
            <w:pPr>
              <w:spacing w:line="360" w:lineRule="auto"/>
              <w:jc w:val="center"/>
              <w:rPr>
                <w:rFonts w:ascii="宋体" w:hAnsi="宋体" w:eastAsia="宋体" w:cs="仿宋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6500" w:type="dxa"/>
            <w:noWrap w:val="0"/>
            <w:vAlign w:val="top"/>
          </w:tcPr>
          <w:p w14:paraId="34778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投标人自2021年1月1日至递交投标文件截止时间已签订的同类项目，每项得2分，本项最高得6分。</w:t>
            </w:r>
          </w:p>
          <w:p w14:paraId="04A73358">
            <w:pPr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注：投标文件中提供同一项目合同复印件，时间以合同签订时间为准，否则不得分</w:t>
            </w:r>
          </w:p>
        </w:tc>
      </w:tr>
    </w:tbl>
    <w:p w14:paraId="32E502A2">
      <w:pPr>
        <w:pStyle w:val="9"/>
        <w:ind w:firstLine="0" w:firstLineChars="0"/>
        <w:rPr>
          <w:highlight w:val="none"/>
        </w:rPr>
      </w:pPr>
    </w:p>
    <w:p w14:paraId="7104682F">
      <w:pPr>
        <w:jc w:val="center"/>
        <w:rPr>
          <w:rFonts w:ascii="仿宋" w:hAnsi="仿宋" w:eastAsia="仿宋" w:cs="仿宋"/>
          <w:b/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E55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D7740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D7740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mE0ZjU2NjcyY2ViMTgwYTdjMTU0ZTZhOWIxZmUifQ=="/>
  </w:docVars>
  <w:rsids>
    <w:rsidRoot w:val="00896E26"/>
    <w:rsid w:val="00896E26"/>
    <w:rsid w:val="009C6C3A"/>
    <w:rsid w:val="00AC2FB9"/>
    <w:rsid w:val="01E840D7"/>
    <w:rsid w:val="07B6246A"/>
    <w:rsid w:val="30F85700"/>
    <w:rsid w:val="3B710D91"/>
    <w:rsid w:val="47C90BB0"/>
    <w:rsid w:val="4EAB27B3"/>
    <w:rsid w:val="5B8E4DD6"/>
    <w:rsid w:val="720330EB"/>
    <w:rsid w:val="76AF75FF"/>
    <w:rsid w:val="7B6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Cs w:val="20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6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5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10">
    <w:name w:val="Body Text First Indent 2"/>
    <w:basedOn w:val="6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spacing w:line="403" w:lineRule="auto"/>
      <w:ind w:firstLine="340"/>
      <w:jc w:val="left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1233</Words>
  <Characters>1279</Characters>
  <Lines>91</Lines>
  <Paragraphs>25</Paragraphs>
  <TotalTime>4</TotalTime>
  <ScaleCrop>false</ScaleCrop>
  <LinksUpToDate>false</LinksUpToDate>
  <CharactersWithSpaces>1279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2024-11-05T08:49:00Z</dcterms:created>
  <dc:creator>ceshi</dc:creator>
  <cp:lastModifiedBy>建议修改</cp:lastModifiedBy>
  <dcterms:modified xsi:type="dcterms:W3CDTF">2024-11-26T07:14:17Z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073E9C475EE24E08BCA6607AE942426A_13</vt:lpwstr>
  </property>
</Properties>
</file>