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31E46">
      <w:pPr>
        <w:keepNext w:val="0"/>
        <w:keepLines w:val="0"/>
        <w:pageBreakBefore w:val="0"/>
        <w:kinsoku/>
        <w:wordWrap/>
        <w:overflowPunct w:val="0"/>
        <w:topLinePunct/>
        <w:bidi w:val="0"/>
        <w:spacing w:line="360" w:lineRule="auto"/>
        <w:rPr>
          <w:rFonts w:ascii="Arial"/>
          <w:sz w:val="21"/>
          <w:highlight w:val="none"/>
        </w:rPr>
      </w:pPr>
    </w:p>
    <w:p w14:paraId="2B09F10F">
      <w:pPr>
        <w:keepNext w:val="0"/>
        <w:keepLines w:val="0"/>
        <w:pageBreakBefore w:val="0"/>
        <w:kinsoku/>
        <w:wordWrap/>
        <w:overflowPunct w:val="0"/>
        <w:topLinePunct/>
        <w:bidi w:val="0"/>
        <w:spacing w:line="360" w:lineRule="auto"/>
        <w:rPr>
          <w:rFonts w:ascii="Arial"/>
          <w:sz w:val="21"/>
          <w:highlight w:val="none"/>
        </w:rPr>
      </w:pPr>
    </w:p>
    <w:p w14:paraId="542A24FC">
      <w:pPr>
        <w:keepNext w:val="0"/>
        <w:keepLines w:val="0"/>
        <w:pageBreakBefore w:val="0"/>
        <w:kinsoku/>
        <w:wordWrap/>
        <w:overflowPunct w:val="0"/>
        <w:topLinePunct/>
        <w:bidi w:val="0"/>
        <w:spacing w:line="360" w:lineRule="auto"/>
        <w:rPr>
          <w:rFonts w:ascii="Arial"/>
          <w:sz w:val="21"/>
          <w:highlight w:val="none"/>
        </w:rPr>
      </w:pPr>
    </w:p>
    <w:p w14:paraId="65A219DF">
      <w:pPr>
        <w:pStyle w:val="4"/>
        <w:keepNext w:val="0"/>
        <w:keepLines w:val="0"/>
        <w:pageBreakBefore w:val="0"/>
        <w:kinsoku/>
        <w:wordWrap/>
        <w:overflowPunct w:val="0"/>
        <w:topLinePunct/>
        <w:bidi w:val="0"/>
        <w:spacing w:before="179" w:line="360" w:lineRule="auto"/>
        <w:ind w:right="235"/>
        <w:jc w:val="center"/>
        <w:outlineLvl w:val="0"/>
        <w:rPr>
          <w:rFonts w:hint="eastAsia"/>
          <w:b/>
          <w:bCs/>
          <w:spacing w:val="2"/>
          <w:sz w:val="48"/>
          <w:szCs w:val="48"/>
          <w:highlight w:val="none"/>
          <w:lang w:eastAsia="zh-CN"/>
        </w:rPr>
      </w:pPr>
      <w:bookmarkStart w:id="0" w:name="_Toc12051"/>
      <w:r>
        <w:rPr>
          <w:b/>
          <w:bCs/>
          <w:spacing w:val="2"/>
          <w:sz w:val="48"/>
          <w:szCs w:val="48"/>
          <w:highlight w:val="none"/>
        </w:rPr>
        <w:t>山东大学齐鲁医院</w:t>
      </w:r>
      <w:r>
        <w:rPr>
          <w:rFonts w:hint="eastAsia"/>
          <w:b/>
          <w:bCs/>
          <w:spacing w:val="2"/>
          <w:sz w:val="48"/>
          <w:szCs w:val="48"/>
          <w:highlight w:val="none"/>
          <w:lang w:eastAsia="zh-CN"/>
        </w:rPr>
        <w:t>（</w:t>
      </w:r>
      <w:r>
        <w:rPr>
          <w:rFonts w:hint="eastAsia"/>
          <w:b/>
          <w:bCs/>
          <w:spacing w:val="2"/>
          <w:sz w:val="48"/>
          <w:szCs w:val="48"/>
          <w:highlight w:val="none"/>
          <w:lang w:val="en-US" w:eastAsia="zh-CN"/>
        </w:rPr>
        <w:t>青岛</w:t>
      </w:r>
      <w:r>
        <w:rPr>
          <w:rFonts w:hint="eastAsia"/>
          <w:b/>
          <w:bCs/>
          <w:spacing w:val="2"/>
          <w:sz w:val="48"/>
          <w:szCs w:val="48"/>
          <w:highlight w:val="none"/>
          <w:lang w:eastAsia="zh-CN"/>
        </w:rPr>
        <w:t>）</w:t>
      </w:r>
    </w:p>
    <w:p w14:paraId="020DF289">
      <w:pPr>
        <w:pStyle w:val="4"/>
        <w:keepNext w:val="0"/>
        <w:keepLines w:val="0"/>
        <w:pageBreakBefore w:val="0"/>
        <w:kinsoku/>
        <w:wordWrap/>
        <w:overflowPunct w:val="0"/>
        <w:topLinePunct/>
        <w:bidi w:val="0"/>
        <w:spacing w:before="179" w:line="360" w:lineRule="auto"/>
        <w:ind w:right="235"/>
        <w:jc w:val="center"/>
        <w:outlineLvl w:val="0"/>
        <w:rPr>
          <w:rFonts w:hint="default" w:eastAsia="黑体"/>
          <w:b/>
          <w:bCs/>
          <w:spacing w:val="2"/>
          <w:sz w:val="48"/>
          <w:szCs w:val="48"/>
          <w:highlight w:val="none"/>
          <w:lang w:val="en-US" w:eastAsia="zh-CN"/>
        </w:rPr>
      </w:pPr>
      <w:r>
        <w:rPr>
          <w:rFonts w:hint="eastAsia"/>
          <w:b/>
          <w:bCs/>
          <w:spacing w:val="2"/>
          <w:sz w:val="48"/>
          <w:szCs w:val="48"/>
          <w:highlight w:val="none"/>
          <w:lang w:val="en-US" w:eastAsia="zh-CN"/>
        </w:rPr>
        <w:t>补充</w:t>
      </w:r>
      <w:r>
        <w:rPr>
          <w:b/>
          <w:bCs/>
          <w:spacing w:val="2"/>
          <w:sz w:val="48"/>
          <w:szCs w:val="48"/>
          <w:highlight w:val="none"/>
        </w:rPr>
        <w:t>招标采购代理机构</w:t>
      </w:r>
      <w:r>
        <w:rPr>
          <w:rFonts w:hint="eastAsia"/>
          <w:b/>
          <w:bCs/>
          <w:spacing w:val="2"/>
          <w:sz w:val="48"/>
          <w:szCs w:val="48"/>
          <w:highlight w:val="none"/>
          <w:lang w:val="en-US" w:eastAsia="zh-CN"/>
        </w:rPr>
        <w:t>遴选项目</w:t>
      </w:r>
    </w:p>
    <w:p w14:paraId="22CC2CB6">
      <w:pPr>
        <w:pStyle w:val="4"/>
        <w:keepNext w:val="0"/>
        <w:keepLines w:val="0"/>
        <w:pageBreakBefore w:val="0"/>
        <w:kinsoku/>
        <w:wordWrap/>
        <w:overflowPunct w:val="0"/>
        <w:topLinePunct/>
        <w:bidi w:val="0"/>
        <w:spacing w:before="179" w:line="360" w:lineRule="auto"/>
        <w:ind w:right="235"/>
        <w:jc w:val="center"/>
        <w:outlineLvl w:val="0"/>
        <w:rPr>
          <w:b/>
          <w:bCs/>
          <w:spacing w:val="2"/>
          <w:sz w:val="48"/>
          <w:szCs w:val="48"/>
          <w:highlight w:val="none"/>
        </w:rPr>
      </w:pPr>
    </w:p>
    <w:p w14:paraId="546B5BE4">
      <w:pPr>
        <w:pStyle w:val="4"/>
        <w:keepNext w:val="0"/>
        <w:keepLines w:val="0"/>
        <w:pageBreakBefore w:val="0"/>
        <w:kinsoku/>
        <w:wordWrap/>
        <w:overflowPunct w:val="0"/>
        <w:topLinePunct/>
        <w:bidi w:val="0"/>
        <w:spacing w:before="179" w:line="360" w:lineRule="auto"/>
        <w:ind w:right="235"/>
        <w:jc w:val="center"/>
        <w:outlineLvl w:val="0"/>
        <w:rPr>
          <w:sz w:val="48"/>
          <w:szCs w:val="48"/>
          <w:highlight w:val="none"/>
        </w:rPr>
      </w:pPr>
      <w:r>
        <w:rPr>
          <w:b/>
          <w:bCs/>
          <w:spacing w:val="2"/>
          <w:sz w:val="48"/>
          <w:szCs w:val="48"/>
          <w:highlight w:val="none"/>
        </w:rPr>
        <w:t>遴选文件</w:t>
      </w:r>
      <w:bookmarkEnd w:id="0"/>
    </w:p>
    <w:p w14:paraId="50E842C9">
      <w:pPr>
        <w:keepNext w:val="0"/>
        <w:keepLines w:val="0"/>
        <w:pageBreakBefore w:val="0"/>
        <w:kinsoku/>
        <w:wordWrap/>
        <w:overflowPunct w:val="0"/>
        <w:topLinePunct/>
        <w:bidi w:val="0"/>
        <w:spacing w:line="360" w:lineRule="auto"/>
        <w:rPr>
          <w:rFonts w:ascii="Arial"/>
          <w:sz w:val="21"/>
          <w:highlight w:val="none"/>
        </w:rPr>
      </w:pPr>
    </w:p>
    <w:p w14:paraId="769D03F6">
      <w:pPr>
        <w:keepNext w:val="0"/>
        <w:keepLines w:val="0"/>
        <w:pageBreakBefore w:val="0"/>
        <w:kinsoku/>
        <w:wordWrap/>
        <w:overflowPunct w:val="0"/>
        <w:topLinePunct/>
        <w:bidi w:val="0"/>
        <w:spacing w:line="360" w:lineRule="auto"/>
        <w:ind w:left="2903"/>
        <w:rPr>
          <w:highlight w:val="none"/>
        </w:rPr>
      </w:pPr>
      <w:r>
        <w:rPr>
          <w:highlight w:val="none"/>
        </w:rPr>
        <w:drawing>
          <wp:inline distT="0" distB="0" distL="0" distR="0">
            <wp:extent cx="635" cy="952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8"/>
                    <a:stretch>
                      <a:fillRect/>
                    </a:stretch>
                  </pic:blipFill>
                  <pic:spPr>
                    <a:xfrm>
                      <a:off x="0" y="0"/>
                      <a:ext cx="635" cy="9525"/>
                    </a:xfrm>
                    <a:prstGeom prst="rect">
                      <a:avLst/>
                    </a:prstGeom>
                  </pic:spPr>
                </pic:pic>
              </a:graphicData>
            </a:graphic>
          </wp:inline>
        </w:drawing>
      </w:r>
    </w:p>
    <w:p w14:paraId="4D8ADF64">
      <w:pPr>
        <w:pStyle w:val="4"/>
        <w:keepNext w:val="0"/>
        <w:keepLines w:val="0"/>
        <w:pageBreakBefore w:val="0"/>
        <w:kinsoku/>
        <w:wordWrap/>
        <w:overflowPunct w:val="0"/>
        <w:topLinePunct/>
        <w:bidi w:val="0"/>
        <w:spacing w:before="91" w:line="360" w:lineRule="auto"/>
        <w:ind w:left="394"/>
        <w:jc w:val="center"/>
        <w:outlineLvl w:val="0"/>
        <w:rPr>
          <w:spacing w:val="-4"/>
          <w:sz w:val="32"/>
          <w:szCs w:val="32"/>
          <w:highlight w:val="none"/>
        </w:rPr>
      </w:pPr>
      <w:bookmarkStart w:id="1" w:name="_Toc24742"/>
    </w:p>
    <w:p w14:paraId="298C4A6D">
      <w:pPr>
        <w:pStyle w:val="4"/>
        <w:keepNext w:val="0"/>
        <w:keepLines w:val="0"/>
        <w:pageBreakBefore w:val="0"/>
        <w:kinsoku/>
        <w:wordWrap/>
        <w:overflowPunct w:val="0"/>
        <w:topLinePunct/>
        <w:bidi w:val="0"/>
        <w:spacing w:before="91" w:line="360" w:lineRule="auto"/>
        <w:ind w:left="394"/>
        <w:jc w:val="center"/>
        <w:outlineLvl w:val="0"/>
        <w:rPr>
          <w:rFonts w:hint="default" w:eastAsia="黑体"/>
          <w:sz w:val="32"/>
          <w:szCs w:val="32"/>
          <w:highlight w:val="none"/>
          <w:lang w:val="en-US" w:eastAsia="zh-CN"/>
        </w:rPr>
      </w:pPr>
      <w:r>
        <w:rPr>
          <w:spacing w:val="-4"/>
          <w:sz w:val="32"/>
          <w:szCs w:val="32"/>
          <w:highlight w:val="none"/>
        </w:rPr>
        <w:t>项</w:t>
      </w:r>
      <w:r>
        <w:rPr>
          <w:spacing w:val="50"/>
          <w:sz w:val="32"/>
          <w:szCs w:val="32"/>
          <w:highlight w:val="none"/>
        </w:rPr>
        <w:t xml:space="preserve"> </w:t>
      </w:r>
      <w:r>
        <w:rPr>
          <w:spacing w:val="-4"/>
          <w:sz w:val="32"/>
          <w:szCs w:val="32"/>
          <w:highlight w:val="none"/>
        </w:rPr>
        <w:t>目 编</w:t>
      </w:r>
      <w:r>
        <w:rPr>
          <w:spacing w:val="16"/>
          <w:sz w:val="32"/>
          <w:szCs w:val="32"/>
          <w:highlight w:val="none"/>
        </w:rPr>
        <w:t xml:space="preserve"> </w:t>
      </w:r>
      <w:r>
        <w:rPr>
          <w:spacing w:val="-4"/>
          <w:sz w:val="32"/>
          <w:szCs w:val="32"/>
          <w:highlight w:val="none"/>
        </w:rPr>
        <w:t>号：</w:t>
      </w:r>
      <w:bookmarkEnd w:id="1"/>
      <w:r>
        <w:rPr>
          <w:rFonts w:hint="eastAsia"/>
          <w:spacing w:val="-4"/>
          <w:sz w:val="32"/>
          <w:szCs w:val="32"/>
          <w:highlight w:val="none"/>
          <w:lang w:val="en-US" w:eastAsia="zh-CN"/>
        </w:rPr>
        <w:t>HYHAQD2026-0065</w:t>
      </w:r>
    </w:p>
    <w:p w14:paraId="5FE41DEE">
      <w:pPr>
        <w:keepNext w:val="0"/>
        <w:keepLines w:val="0"/>
        <w:pageBreakBefore w:val="0"/>
        <w:kinsoku/>
        <w:wordWrap/>
        <w:overflowPunct w:val="0"/>
        <w:topLinePunct/>
        <w:bidi w:val="0"/>
        <w:spacing w:line="360" w:lineRule="auto"/>
        <w:rPr>
          <w:rFonts w:ascii="Arial"/>
          <w:sz w:val="21"/>
          <w:highlight w:val="none"/>
        </w:rPr>
      </w:pPr>
    </w:p>
    <w:p w14:paraId="5AF5E17B">
      <w:pPr>
        <w:keepNext w:val="0"/>
        <w:keepLines w:val="0"/>
        <w:pageBreakBefore w:val="0"/>
        <w:kinsoku/>
        <w:wordWrap/>
        <w:overflowPunct w:val="0"/>
        <w:topLinePunct/>
        <w:bidi w:val="0"/>
        <w:spacing w:line="360" w:lineRule="auto"/>
        <w:rPr>
          <w:rFonts w:ascii="Arial"/>
          <w:sz w:val="21"/>
          <w:highlight w:val="none"/>
        </w:rPr>
      </w:pPr>
    </w:p>
    <w:p w14:paraId="11B07E06">
      <w:pPr>
        <w:keepNext w:val="0"/>
        <w:keepLines w:val="0"/>
        <w:pageBreakBefore w:val="0"/>
        <w:kinsoku/>
        <w:wordWrap/>
        <w:overflowPunct w:val="0"/>
        <w:topLinePunct/>
        <w:bidi w:val="0"/>
        <w:spacing w:line="360" w:lineRule="auto"/>
        <w:rPr>
          <w:rFonts w:ascii="Arial"/>
          <w:sz w:val="21"/>
          <w:highlight w:val="none"/>
        </w:rPr>
      </w:pPr>
    </w:p>
    <w:p w14:paraId="42D14CBF">
      <w:pPr>
        <w:keepNext w:val="0"/>
        <w:keepLines w:val="0"/>
        <w:pageBreakBefore w:val="0"/>
        <w:kinsoku/>
        <w:wordWrap/>
        <w:overflowPunct w:val="0"/>
        <w:topLinePunct/>
        <w:bidi w:val="0"/>
        <w:spacing w:line="360" w:lineRule="auto"/>
        <w:rPr>
          <w:rFonts w:ascii="Arial"/>
          <w:sz w:val="21"/>
          <w:highlight w:val="none"/>
        </w:rPr>
      </w:pPr>
    </w:p>
    <w:p w14:paraId="7B0705EB">
      <w:pPr>
        <w:keepNext w:val="0"/>
        <w:keepLines w:val="0"/>
        <w:pageBreakBefore w:val="0"/>
        <w:kinsoku/>
        <w:wordWrap/>
        <w:overflowPunct w:val="0"/>
        <w:topLinePunct/>
        <w:bidi w:val="0"/>
        <w:spacing w:line="360" w:lineRule="auto"/>
        <w:rPr>
          <w:rFonts w:ascii="Arial"/>
          <w:sz w:val="21"/>
          <w:highlight w:val="none"/>
        </w:rPr>
      </w:pPr>
    </w:p>
    <w:p w14:paraId="54CB6233">
      <w:pPr>
        <w:pStyle w:val="4"/>
        <w:keepNext w:val="0"/>
        <w:keepLines w:val="0"/>
        <w:pageBreakBefore w:val="0"/>
        <w:kinsoku/>
        <w:wordWrap/>
        <w:overflowPunct w:val="0"/>
        <w:topLinePunct/>
        <w:bidi w:val="0"/>
        <w:spacing w:before="92" w:line="360" w:lineRule="auto"/>
        <w:ind w:left="392"/>
        <w:jc w:val="center"/>
        <w:outlineLvl w:val="0"/>
        <w:rPr>
          <w:rFonts w:hint="eastAsia"/>
          <w:spacing w:val="28"/>
          <w:sz w:val="32"/>
          <w:szCs w:val="32"/>
          <w:highlight w:val="none"/>
        </w:rPr>
      </w:pPr>
      <w:bookmarkStart w:id="2" w:name="_Toc7021"/>
      <w:r>
        <w:rPr>
          <w:spacing w:val="28"/>
          <w:sz w:val="32"/>
          <w:szCs w:val="32"/>
          <w:highlight w:val="none"/>
        </w:rPr>
        <w:t>遴选人</w:t>
      </w:r>
      <w:r>
        <w:rPr>
          <w:rFonts w:hint="eastAsia"/>
          <w:spacing w:val="28"/>
          <w:sz w:val="32"/>
          <w:szCs w:val="32"/>
          <w:highlight w:val="none"/>
        </w:rPr>
        <w:t>：山东大学齐鲁医院（青岛）</w:t>
      </w:r>
      <w:bookmarkEnd w:id="2"/>
    </w:p>
    <w:p w14:paraId="4758A6AF">
      <w:pPr>
        <w:pStyle w:val="4"/>
        <w:keepNext w:val="0"/>
        <w:keepLines w:val="0"/>
        <w:pageBreakBefore w:val="0"/>
        <w:kinsoku/>
        <w:wordWrap/>
        <w:overflowPunct w:val="0"/>
        <w:topLinePunct/>
        <w:bidi w:val="0"/>
        <w:spacing w:before="92" w:line="360" w:lineRule="auto"/>
        <w:ind w:left="392"/>
        <w:jc w:val="center"/>
        <w:rPr>
          <w:spacing w:val="28"/>
          <w:sz w:val="32"/>
          <w:szCs w:val="32"/>
          <w:highlight w:val="none"/>
        </w:rPr>
      </w:pPr>
    </w:p>
    <w:p w14:paraId="0AE660C7">
      <w:pPr>
        <w:pStyle w:val="4"/>
        <w:keepNext w:val="0"/>
        <w:keepLines w:val="0"/>
        <w:pageBreakBefore w:val="0"/>
        <w:kinsoku/>
        <w:wordWrap/>
        <w:overflowPunct w:val="0"/>
        <w:topLinePunct/>
        <w:bidi w:val="0"/>
        <w:spacing w:before="92" w:line="360" w:lineRule="auto"/>
        <w:ind w:left="392"/>
        <w:jc w:val="center"/>
        <w:rPr>
          <w:rFonts w:hint="default" w:eastAsia="黑体"/>
          <w:spacing w:val="28"/>
          <w:sz w:val="32"/>
          <w:szCs w:val="32"/>
          <w:highlight w:val="none"/>
          <w:lang w:val="en-US" w:eastAsia="zh-CN"/>
        </w:rPr>
      </w:pPr>
      <w:r>
        <w:rPr>
          <w:rFonts w:hint="eastAsia"/>
          <w:spacing w:val="28"/>
          <w:sz w:val="32"/>
          <w:szCs w:val="32"/>
          <w:highlight w:val="none"/>
          <w:lang w:val="en-US" w:eastAsia="zh-CN"/>
        </w:rPr>
        <w:t>采购代理机构：海逸恒安项目管理有限公司</w:t>
      </w:r>
    </w:p>
    <w:p w14:paraId="556FCF74">
      <w:pPr>
        <w:pStyle w:val="4"/>
        <w:keepNext w:val="0"/>
        <w:keepLines w:val="0"/>
        <w:pageBreakBefore w:val="0"/>
        <w:kinsoku/>
        <w:wordWrap/>
        <w:overflowPunct w:val="0"/>
        <w:topLinePunct/>
        <w:bidi w:val="0"/>
        <w:spacing w:before="92" w:line="360" w:lineRule="auto"/>
        <w:ind w:left="392"/>
        <w:jc w:val="center"/>
        <w:rPr>
          <w:spacing w:val="28"/>
          <w:sz w:val="32"/>
          <w:szCs w:val="32"/>
          <w:highlight w:val="none"/>
        </w:rPr>
      </w:pPr>
    </w:p>
    <w:p w14:paraId="0EA50AFD">
      <w:pPr>
        <w:pStyle w:val="4"/>
        <w:keepNext w:val="0"/>
        <w:keepLines w:val="0"/>
        <w:pageBreakBefore w:val="0"/>
        <w:kinsoku/>
        <w:wordWrap/>
        <w:overflowPunct w:val="0"/>
        <w:topLinePunct/>
        <w:bidi w:val="0"/>
        <w:spacing w:before="92" w:line="360" w:lineRule="auto"/>
        <w:ind w:left="392"/>
        <w:jc w:val="center"/>
        <w:rPr>
          <w:spacing w:val="28"/>
          <w:sz w:val="32"/>
          <w:szCs w:val="32"/>
          <w:highlight w:val="none"/>
        </w:rPr>
      </w:pPr>
      <w:r>
        <w:rPr>
          <w:spacing w:val="28"/>
          <w:sz w:val="32"/>
          <w:szCs w:val="32"/>
          <w:highlight w:val="none"/>
        </w:rPr>
        <w:t>日期：202</w:t>
      </w:r>
      <w:r>
        <w:rPr>
          <w:rFonts w:hint="eastAsia"/>
          <w:spacing w:val="28"/>
          <w:sz w:val="32"/>
          <w:szCs w:val="32"/>
          <w:highlight w:val="none"/>
          <w:lang w:val="en-US" w:eastAsia="zh-CN"/>
        </w:rPr>
        <w:t>6</w:t>
      </w:r>
      <w:r>
        <w:rPr>
          <w:spacing w:val="28"/>
          <w:sz w:val="32"/>
          <w:szCs w:val="32"/>
          <w:highlight w:val="none"/>
        </w:rPr>
        <w:t>年</w:t>
      </w:r>
      <w:r>
        <w:rPr>
          <w:rFonts w:hint="eastAsia"/>
          <w:spacing w:val="28"/>
          <w:sz w:val="32"/>
          <w:szCs w:val="32"/>
          <w:highlight w:val="none"/>
          <w:lang w:val="en-US" w:eastAsia="zh-CN"/>
        </w:rPr>
        <w:t>2</w:t>
      </w:r>
      <w:r>
        <w:rPr>
          <w:spacing w:val="28"/>
          <w:sz w:val="32"/>
          <w:szCs w:val="32"/>
          <w:highlight w:val="none"/>
        </w:rPr>
        <w:t>月</w:t>
      </w:r>
      <w:r>
        <w:rPr>
          <w:rFonts w:hint="eastAsia"/>
          <w:spacing w:val="28"/>
          <w:sz w:val="32"/>
          <w:szCs w:val="32"/>
          <w:highlight w:val="none"/>
          <w:lang w:val="en-US" w:eastAsia="zh-CN"/>
        </w:rPr>
        <w:t>13</w:t>
      </w:r>
      <w:r>
        <w:rPr>
          <w:spacing w:val="28"/>
          <w:sz w:val="32"/>
          <w:szCs w:val="32"/>
          <w:highlight w:val="none"/>
        </w:rPr>
        <w:t>日</w:t>
      </w:r>
    </w:p>
    <w:p w14:paraId="619C5F8B">
      <w:pPr>
        <w:pStyle w:val="4"/>
        <w:keepNext w:val="0"/>
        <w:keepLines w:val="0"/>
        <w:pageBreakBefore w:val="0"/>
        <w:kinsoku/>
        <w:wordWrap/>
        <w:overflowPunct w:val="0"/>
        <w:topLinePunct/>
        <w:bidi w:val="0"/>
        <w:spacing w:before="92" w:line="360" w:lineRule="auto"/>
        <w:ind w:left="392"/>
        <w:jc w:val="center"/>
        <w:rPr>
          <w:spacing w:val="28"/>
          <w:sz w:val="32"/>
          <w:szCs w:val="32"/>
          <w:highlight w:val="none"/>
        </w:rPr>
        <w:sectPr>
          <w:pgSz w:w="11907" w:h="16839"/>
          <w:pgMar w:top="1417" w:right="1701" w:bottom="1417" w:left="1701" w:header="567" w:footer="567" w:gutter="0"/>
          <w:pgNumType w:fmt="decimal" w:start="0"/>
          <w:cols w:space="0" w:num="1"/>
          <w:rtlGutter w:val="0"/>
          <w:docGrid w:linePitch="0" w:charSpace="0"/>
        </w:sectPr>
      </w:pPr>
    </w:p>
    <w:sdt>
      <w:sdtPr>
        <w:rPr>
          <w:rFonts w:ascii="宋体" w:hAnsi="宋体" w:eastAsia="宋体" w:cs="Arial"/>
          <w:snapToGrid w:val="0"/>
          <w:color w:val="000000"/>
          <w:kern w:val="0"/>
          <w:sz w:val="21"/>
          <w:szCs w:val="21"/>
          <w:highlight w:val="none"/>
          <w:lang w:val="en-US" w:eastAsia="en-US" w:bidi="ar-SA"/>
        </w:rPr>
        <w:id w:val="147451134"/>
        <w15:color w:val="DBDBDB"/>
        <w:docPartObj>
          <w:docPartGallery w:val="Table of Contents"/>
          <w:docPartUnique/>
        </w:docPartObj>
      </w:sdtPr>
      <w:sdtEndPr>
        <w:rPr>
          <w:rFonts w:ascii="Calibri" w:hAnsi="Calibri" w:eastAsia="Calibri" w:cs="Calibri"/>
          <w:snapToGrid w:val="0"/>
          <w:color w:val="000000"/>
          <w:kern w:val="0"/>
          <w:sz w:val="21"/>
          <w:szCs w:val="22"/>
          <w:highlight w:val="none"/>
          <w:lang w:val="en-US" w:eastAsia="en-US" w:bidi="ar-SA"/>
        </w:rPr>
      </w:sdtEndPr>
      <w:sdtContent>
        <w:p w14:paraId="4A560460">
          <w:pPr>
            <w:keepNext w:val="0"/>
            <w:keepLines w:val="0"/>
            <w:pageBreakBefore w:val="0"/>
            <w:kinsoku/>
            <w:wordWrap/>
            <w:overflowPunct w:val="0"/>
            <w:topLinePunct/>
            <w:bidi w:val="0"/>
            <w:spacing w:before="0" w:beforeLines="0" w:after="0" w:afterLines="0" w:line="360" w:lineRule="auto"/>
            <w:ind w:left="0" w:leftChars="0" w:right="0" w:rightChars="0" w:firstLine="0" w:firstLineChars="0"/>
            <w:jc w:val="center"/>
            <w:rPr>
              <w:b/>
              <w:bCs/>
              <w:sz w:val="32"/>
              <w:szCs w:val="32"/>
              <w:highlight w:val="none"/>
            </w:rPr>
          </w:pPr>
          <w:r>
            <w:rPr>
              <w:rFonts w:ascii="宋体" w:hAnsi="宋体" w:eastAsia="宋体"/>
              <w:b/>
              <w:bCs/>
              <w:sz w:val="32"/>
              <w:szCs w:val="32"/>
              <w:highlight w:val="none"/>
            </w:rPr>
            <w:t>目</w:t>
          </w:r>
          <w:r>
            <w:rPr>
              <w:rFonts w:hint="eastAsia" w:ascii="宋体" w:hAnsi="宋体" w:eastAsia="宋体"/>
              <w:b/>
              <w:bCs/>
              <w:sz w:val="32"/>
              <w:szCs w:val="32"/>
              <w:highlight w:val="none"/>
              <w:lang w:val="en-US" w:eastAsia="zh-CN"/>
            </w:rPr>
            <w:t xml:space="preserve"> </w:t>
          </w:r>
          <w:r>
            <w:rPr>
              <w:rFonts w:ascii="宋体" w:hAnsi="宋体" w:eastAsia="宋体"/>
              <w:b/>
              <w:bCs/>
              <w:sz w:val="32"/>
              <w:szCs w:val="32"/>
              <w:highlight w:val="none"/>
            </w:rPr>
            <w:t>录</w:t>
          </w:r>
        </w:p>
        <w:p w14:paraId="5CD9F755">
          <w:pPr>
            <w:pStyle w:val="14"/>
            <w:keepNext w:val="0"/>
            <w:keepLines w:val="0"/>
            <w:pageBreakBefore w:val="0"/>
            <w:tabs>
              <w:tab w:val="right" w:leader="dot" w:pos="8478"/>
            </w:tabs>
            <w:kinsoku/>
            <w:wordWrap/>
            <w:overflowPunct w:val="0"/>
            <w:topLinePunct/>
            <w:bidi w:val="0"/>
            <w:spacing w:line="360" w:lineRule="auto"/>
            <w:rPr>
              <w:highlight w:val="none"/>
            </w:rPr>
          </w:pPr>
          <w:r>
            <w:rPr>
              <w:rFonts w:ascii="Calibri" w:hAnsi="Calibri" w:eastAsia="Calibri" w:cs="Calibri"/>
              <w:sz w:val="22"/>
              <w:szCs w:val="22"/>
              <w:highlight w:val="none"/>
            </w:rPr>
            <w:fldChar w:fldCharType="begin"/>
          </w:r>
          <w:r>
            <w:rPr>
              <w:rFonts w:ascii="Calibri" w:hAnsi="Calibri" w:eastAsia="Calibri" w:cs="Calibri"/>
              <w:sz w:val="22"/>
              <w:szCs w:val="22"/>
              <w:highlight w:val="none"/>
            </w:rPr>
            <w:instrText xml:space="preserve">TOC \o "1-3" \h \u </w:instrText>
          </w:r>
          <w:r>
            <w:rPr>
              <w:rFonts w:ascii="Calibri" w:hAnsi="Calibri" w:eastAsia="Calibri" w:cs="Calibri"/>
              <w:sz w:val="22"/>
              <w:szCs w:val="22"/>
              <w:highlight w:val="none"/>
            </w:rPr>
            <w:fldChar w:fldCharType="separate"/>
          </w:r>
        </w:p>
        <w:p w14:paraId="69356962">
          <w:pPr>
            <w:pStyle w:val="14"/>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_Toc1799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第一部分</w:t>
          </w:r>
          <w:r>
            <w:rPr>
              <w:rFonts w:hint="eastAsia" w:ascii="宋体" w:hAnsi="宋体" w:eastAsia="宋体" w:cs="宋体"/>
              <w:spacing w:val="4"/>
              <w:sz w:val="24"/>
              <w:szCs w:val="24"/>
              <w:highlight w:val="none"/>
            </w:rPr>
            <w:t xml:space="preserve"> </w:t>
          </w:r>
          <w:r>
            <w:rPr>
              <w:rFonts w:hint="eastAsia" w:ascii="宋体" w:hAnsi="宋体" w:eastAsia="宋体" w:cs="宋体"/>
              <w:bCs/>
              <w:spacing w:val="4"/>
              <w:sz w:val="24"/>
              <w:szCs w:val="24"/>
              <w:highlight w:val="none"/>
            </w:rPr>
            <w:t>遴选公告</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_Toc1799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50068948">
          <w:pPr>
            <w:pStyle w:val="14"/>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_Toc17105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第二部分</w:t>
          </w:r>
          <w:r>
            <w:rPr>
              <w:rFonts w:hint="eastAsia" w:ascii="宋体" w:hAnsi="宋体" w:eastAsia="宋体" w:cs="宋体"/>
              <w:spacing w:val="5"/>
              <w:sz w:val="24"/>
              <w:szCs w:val="24"/>
              <w:highlight w:val="none"/>
            </w:rPr>
            <w:t xml:space="preserve"> </w:t>
          </w:r>
          <w:r>
            <w:rPr>
              <w:rFonts w:hint="eastAsia" w:ascii="宋体" w:hAnsi="宋体" w:cs="宋体"/>
              <w:bCs/>
              <w:spacing w:val="5"/>
              <w:sz w:val="24"/>
              <w:szCs w:val="24"/>
              <w:highlight w:val="none"/>
              <w:lang w:eastAsia="zh-CN"/>
            </w:rPr>
            <w:t>响应人</w:t>
          </w:r>
          <w:r>
            <w:rPr>
              <w:rFonts w:hint="eastAsia" w:ascii="宋体" w:hAnsi="宋体" w:eastAsia="宋体" w:cs="宋体"/>
              <w:bCs/>
              <w:spacing w:val="5"/>
              <w:sz w:val="24"/>
              <w:szCs w:val="24"/>
              <w:highlight w:val="none"/>
            </w:rPr>
            <w:t>须知</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_Toc17105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0622120E">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_Toc11644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一、总则</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_Toc11644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43174693">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_Toc29111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二、前附表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_Toc29111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3EDECAE9">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_Toc20166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三、遴选文件的组成、澄清及修改</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_Toc20166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10</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79FB6B58">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_Toc20682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四、</w:t>
          </w:r>
          <w:r>
            <w:rPr>
              <w:rFonts w:hint="eastAsia" w:ascii="宋体" w:hAnsi="宋体" w:cs="宋体"/>
              <w:bCs/>
              <w:spacing w:val="-5"/>
              <w:sz w:val="24"/>
              <w:szCs w:val="24"/>
              <w:highlight w:val="none"/>
              <w:lang w:eastAsia="zh-CN"/>
            </w:rPr>
            <w:t>响应文件</w:t>
          </w:r>
          <w:r>
            <w:rPr>
              <w:rFonts w:hint="eastAsia" w:ascii="宋体" w:hAnsi="宋体" w:eastAsia="宋体" w:cs="宋体"/>
              <w:bCs/>
              <w:spacing w:val="-5"/>
              <w:sz w:val="24"/>
              <w:szCs w:val="24"/>
              <w:highlight w:val="none"/>
            </w:rPr>
            <w:t>语言与计量单位</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_Toc20682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10</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09B4AA1B">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_Toc14987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五、</w:t>
          </w:r>
          <w:r>
            <w:rPr>
              <w:rFonts w:hint="eastAsia" w:ascii="宋体" w:hAnsi="宋体" w:cs="宋体"/>
              <w:bCs/>
              <w:spacing w:val="-4"/>
              <w:sz w:val="24"/>
              <w:szCs w:val="24"/>
              <w:highlight w:val="none"/>
              <w:lang w:eastAsia="zh-CN"/>
            </w:rPr>
            <w:t>响应文件</w:t>
          </w:r>
          <w:r>
            <w:rPr>
              <w:rFonts w:hint="eastAsia" w:ascii="宋体" w:hAnsi="宋体" w:eastAsia="宋体" w:cs="宋体"/>
              <w:bCs/>
              <w:spacing w:val="-4"/>
              <w:sz w:val="24"/>
              <w:szCs w:val="24"/>
              <w:highlight w:val="none"/>
            </w:rPr>
            <w:t>要求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_Toc14987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10</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7910F508">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_Toc6037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六、</w:t>
          </w:r>
          <w:r>
            <w:rPr>
              <w:rFonts w:hint="eastAsia" w:ascii="宋体" w:hAnsi="宋体" w:cs="宋体"/>
              <w:bCs/>
              <w:spacing w:val="-4"/>
              <w:sz w:val="24"/>
              <w:szCs w:val="24"/>
              <w:highlight w:val="none"/>
              <w:lang w:eastAsia="zh-CN"/>
            </w:rPr>
            <w:t>响应文件</w:t>
          </w:r>
          <w:r>
            <w:rPr>
              <w:rFonts w:hint="eastAsia" w:ascii="宋体" w:hAnsi="宋体" w:eastAsia="宋体" w:cs="宋体"/>
              <w:bCs/>
              <w:spacing w:val="-4"/>
              <w:sz w:val="24"/>
              <w:szCs w:val="24"/>
              <w:highlight w:val="none"/>
            </w:rPr>
            <w:t>的密封与标记</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_Toc6037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13</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3DCFF26A">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_Toc16596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七、</w:t>
          </w:r>
          <w:r>
            <w:rPr>
              <w:rFonts w:hint="eastAsia" w:ascii="宋体" w:hAnsi="宋体" w:cs="宋体"/>
              <w:bCs/>
              <w:spacing w:val="-3"/>
              <w:sz w:val="24"/>
              <w:szCs w:val="24"/>
              <w:highlight w:val="none"/>
              <w:lang w:eastAsia="zh-CN"/>
            </w:rPr>
            <w:t>响应文件</w:t>
          </w:r>
          <w:r>
            <w:rPr>
              <w:rFonts w:hint="eastAsia" w:ascii="宋体" w:hAnsi="宋体" w:eastAsia="宋体" w:cs="宋体"/>
              <w:bCs/>
              <w:spacing w:val="-3"/>
              <w:sz w:val="24"/>
              <w:szCs w:val="24"/>
              <w:highlight w:val="none"/>
            </w:rPr>
            <w:t>的递交</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_Toc16596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13</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01BAF073">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_Toc23537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八、参选有效期</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_Toc23537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13</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6E5CB321">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_Toc22464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九、无效参选</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_Toc22464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13</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2D73EE2A">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_Toc11353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十、解释权</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_Toc11353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15</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23AC714A">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_Toc777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十一、入选通知书</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_Toc777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15</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2BFEDAB3">
          <w:pPr>
            <w:pStyle w:val="14"/>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_Toc1604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第三部分</w:t>
          </w:r>
          <w:r>
            <w:rPr>
              <w:rFonts w:hint="eastAsia" w:ascii="宋体" w:hAnsi="宋体" w:eastAsia="宋体" w:cs="宋体"/>
              <w:spacing w:val="4"/>
              <w:sz w:val="24"/>
              <w:szCs w:val="24"/>
              <w:highlight w:val="none"/>
            </w:rPr>
            <w:t xml:space="preserve"> </w:t>
          </w:r>
          <w:r>
            <w:rPr>
              <w:rFonts w:hint="eastAsia" w:ascii="宋体" w:hAnsi="宋体" w:eastAsia="宋体" w:cs="宋体"/>
              <w:bCs/>
              <w:spacing w:val="4"/>
              <w:sz w:val="24"/>
              <w:szCs w:val="24"/>
              <w:highlight w:val="none"/>
            </w:rPr>
            <w:t>评选</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_Toc1604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16</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1EB64C3B">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_Toc31227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一、递交</w:t>
          </w:r>
          <w:r>
            <w:rPr>
              <w:rFonts w:hint="eastAsia" w:ascii="宋体" w:hAnsi="宋体" w:cs="宋体"/>
              <w:bCs/>
              <w:spacing w:val="-6"/>
              <w:sz w:val="24"/>
              <w:szCs w:val="24"/>
              <w:highlight w:val="none"/>
              <w:lang w:eastAsia="zh-CN"/>
            </w:rPr>
            <w:t>响应文件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_Toc31227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16</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6F124DB9">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_Toc805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二、遴选会议</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_Toc805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17</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099FAC1A">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_Toc5848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三、评选</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_Toc5848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17</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7B5E5936">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_Toc18864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四、评分办法</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_Toc18864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20</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759A3E49">
          <w:pPr>
            <w:pStyle w:val="15"/>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_Toc11822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五、入选公示和签订合同</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_Toc11822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24</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1A635EBB">
          <w:pPr>
            <w:pStyle w:val="14"/>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_Toc2430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第四部分</w:t>
          </w:r>
          <w:r>
            <w:rPr>
              <w:rFonts w:hint="eastAsia" w:ascii="宋体" w:hAnsi="宋体" w:eastAsia="宋体" w:cs="宋体"/>
              <w:spacing w:val="5"/>
              <w:sz w:val="24"/>
              <w:szCs w:val="24"/>
              <w:highlight w:val="none"/>
            </w:rPr>
            <w:t xml:space="preserve"> </w:t>
          </w:r>
          <w:r>
            <w:rPr>
              <w:rFonts w:hint="eastAsia" w:ascii="宋体" w:hAnsi="宋体" w:eastAsia="宋体" w:cs="宋体"/>
              <w:bCs/>
              <w:spacing w:val="5"/>
              <w:sz w:val="24"/>
              <w:szCs w:val="24"/>
              <w:highlight w:val="none"/>
            </w:rPr>
            <w:t>服务内容及要求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_Toc2430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25</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5515BEF6">
          <w:pPr>
            <w:pStyle w:val="14"/>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_Toc8565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第五部分</w:t>
          </w:r>
          <w:r>
            <w:rPr>
              <w:rFonts w:hint="eastAsia" w:ascii="宋体" w:hAnsi="宋体" w:eastAsia="宋体" w:cs="宋体"/>
              <w:spacing w:val="4"/>
              <w:sz w:val="24"/>
              <w:szCs w:val="24"/>
              <w:highlight w:val="none"/>
            </w:rPr>
            <w:t xml:space="preserve"> </w:t>
          </w:r>
          <w:r>
            <w:rPr>
              <w:rFonts w:hint="eastAsia" w:ascii="宋体" w:hAnsi="宋体" w:eastAsia="宋体" w:cs="宋体"/>
              <w:bCs/>
              <w:spacing w:val="4"/>
              <w:sz w:val="24"/>
              <w:szCs w:val="24"/>
              <w:highlight w:val="none"/>
            </w:rPr>
            <w:t>合同条款（参考）</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_Toc8565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28</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0707E40F">
          <w:pPr>
            <w:pStyle w:val="14"/>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_Toc13434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第六部分</w:t>
          </w:r>
          <w:r>
            <w:rPr>
              <w:rFonts w:hint="eastAsia" w:ascii="宋体" w:hAnsi="宋体" w:eastAsia="宋体" w:cs="宋体"/>
              <w:spacing w:val="63"/>
              <w:sz w:val="24"/>
              <w:szCs w:val="24"/>
              <w:highlight w:val="none"/>
            </w:rPr>
            <w:t xml:space="preserve"> </w:t>
          </w:r>
          <w:r>
            <w:rPr>
              <w:rFonts w:hint="eastAsia" w:ascii="宋体" w:hAnsi="宋体" w:eastAsia="宋体" w:cs="宋体"/>
              <w:bCs/>
              <w:spacing w:val="-6"/>
              <w:sz w:val="24"/>
              <w:szCs w:val="24"/>
              <w:highlight w:val="none"/>
            </w:rPr>
            <w:t>附件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_Toc13434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34</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14:paraId="729C9A7A">
          <w:pPr>
            <w:pStyle w:val="14"/>
            <w:keepNext w:val="0"/>
            <w:keepLines w:val="0"/>
            <w:pageBreakBefore w:val="0"/>
            <w:tabs>
              <w:tab w:val="right" w:leader="dot" w:pos="8478"/>
            </w:tabs>
            <w:kinsoku/>
            <w:wordWrap/>
            <w:overflowPunct w:val="0"/>
            <w:topLinePunct/>
            <w:bidi w:val="0"/>
            <w:spacing w:line="360" w:lineRule="auto"/>
            <w:rPr>
              <w:rFonts w:hint="eastAsia" w:ascii="宋体" w:hAnsi="宋体" w:eastAsia="宋体" w:cs="宋体"/>
              <w:sz w:val="24"/>
              <w:szCs w:val="24"/>
              <w:highlight w:val="none"/>
            </w:rPr>
          </w:pPr>
        </w:p>
        <w:p w14:paraId="7E42EAA5">
          <w:pPr>
            <w:keepNext w:val="0"/>
            <w:keepLines w:val="0"/>
            <w:pageBreakBefore w:val="0"/>
            <w:kinsoku/>
            <w:wordWrap/>
            <w:overflowPunct w:val="0"/>
            <w:topLinePunct/>
            <w:bidi w:val="0"/>
            <w:spacing w:line="360" w:lineRule="auto"/>
            <w:rPr>
              <w:rFonts w:ascii="Calibri" w:hAnsi="Calibri" w:eastAsia="Calibri" w:cs="Calibri"/>
              <w:snapToGrid w:val="0"/>
              <w:color w:val="000000"/>
              <w:kern w:val="0"/>
              <w:sz w:val="21"/>
              <w:szCs w:val="22"/>
              <w:highlight w:val="none"/>
              <w:lang w:val="en-US" w:eastAsia="en-US" w:bidi="ar-SA"/>
            </w:rPr>
          </w:pPr>
          <w:r>
            <w:rPr>
              <w:rFonts w:ascii="Calibri" w:hAnsi="Calibri" w:eastAsia="Calibri" w:cs="Calibri"/>
              <w:szCs w:val="22"/>
              <w:highlight w:val="none"/>
            </w:rPr>
            <w:fldChar w:fldCharType="end"/>
          </w:r>
        </w:p>
      </w:sdtContent>
    </w:sdt>
    <w:p w14:paraId="4DFAB42F">
      <w:pPr>
        <w:keepNext w:val="0"/>
        <w:keepLines w:val="0"/>
        <w:pageBreakBefore w:val="0"/>
        <w:kinsoku/>
        <w:wordWrap/>
        <w:overflowPunct w:val="0"/>
        <w:topLinePunct/>
        <w:bidi w:val="0"/>
        <w:spacing w:line="360" w:lineRule="auto"/>
        <w:rPr>
          <w:rFonts w:ascii="Calibri" w:hAnsi="Calibri" w:eastAsia="Calibri" w:cs="Calibri"/>
          <w:snapToGrid w:val="0"/>
          <w:color w:val="000000"/>
          <w:kern w:val="0"/>
          <w:sz w:val="21"/>
          <w:szCs w:val="22"/>
          <w:highlight w:val="none"/>
          <w:lang w:val="en-US" w:eastAsia="en-US" w:bidi="ar-SA"/>
        </w:rPr>
      </w:pPr>
    </w:p>
    <w:p w14:paraId="45F21EA7">
      <w:pPr>
        <w:keepNext w:val="0"/>
        <w:keepLines w:val="0"/>
        <w:pageBreakBefore w:val="0"/>
        <w:kinsoku/>
        <w:wordWrap/>
        <w:overflowPunct w:val="0"/>
        <w:topLinePunct/>
        <w:bidi w:val="0"/>
        <w:spacing w:line="360" w:lineRule="auto"/>
        <w:rPr>
          <w:rFonts w:ascii="Arial" w:hAnsi="Arial" w:eastAsia="Arial" w:cs="Arial"/>
          <w:snapToGrid w:val="0"/>
          <w:color w:val="000000"/>
          <w:kern w:val="0"/>
          <w:sz w:val="21"/>
          <w:szCs w:val="21"/>
          <w:highlight w:val="none"/>
          <w:lang w:val="en-US" w:eastAsia="en-US" w:bidi="ar-SA"/>
        </w:rPr>
      </w:pPr>
    </w:p>
    <w:p w14:paraId="42A7D2DB">
      <w:pPr>
        <w:keepNext w:val="0"/>
        <w:keepLines w:val="0"/>
        <w:pageBreakBefore w:val="0"/>
        <w:kinsoku/>
        <w:wordWrap/>
        <w:overflowPunct w:val="0"/>
        <w:topLinePunct/>
        <w:bidi w:val="0"/>
        <w:spacing w:line="360" w:lineRule="auto"/>
        <w:rPr>
          <w:highlight w:val="none"/>
          <w:lang w:val="en-US" w:eastAsia="en-US"/>
        </w:rPr>
      </w:pPr>
    </w:p>
    <w:p w14:paraId="532EA7E0">
      <w:pPr>
        <w:keepNext w:val="0"/>
        <w:keepLines w:val="0"/>
        <w:pageBreakBefore w:val="0"/>
        <w:kinsoku/>
        <w:wordWrap/>
        <w:overflowPunct w:val="0"/>
        <w:topLinePunct/>
        <w:bidi w:val="0"/>
        <w:spacing w:line="360" w:lineRule="auto"/>
        <w:rPr>
          <w:highlight w:val="none"/>
          <w:lang w:val="en-US" w:eastAsia="en-US"/>
        </w:rPr>
      </w:pPr>
    </w:p>
    <w:p w14:paraId="7A1CD851">
      <w:pPr>
        <w:keepNext w:val="0"/>
        <w:keepLines w:val="0"/>
        <w:pageBreakBefore w:val="0"/>
        <w:kinsoku/>
        <w:wordWrap/>
        <w:overflowPunct w:val="0"/>
        <w:topLinePunct/>
        <w:bidi w:val="0"/>
        <w:spacing w:line="360" w:lineRule="auto"/>
        <w:rPr>
          <w:highlight w:val="none"/>
          <w:lang w:val="en-US" w:eastAsia="en-US"/>
        </w:rPr>
      </w:pPr>
    </w:p>
    <w:p w14:paraId="3A3BDF2F">
      <w:pPr>
        <w:keepNext w:val="0"/>
        <w:keepLines w:val="0"/>
        <w:pageBreakBefore w:val="0"/>
        <w:kinsoku/>
        <w:wordWrap/>
        <w:overflowPunct w:val="0"/>
        <w:topLinePunct/>
        <w:bidi w:val="0"/>
        <w:spacing w:before="87" w:line="360" w:lineRule="auto"/>
        <w:ind w:left="2439"/>
        <w:outlineLvl w:val="0"/>
        <w:rPr>
          <w:rFonts w:ascii="宋体" w:hAnsi="宋体" w:eastAsia="宋体" w:cs="宋体"/>
          <w:sz w:val="43"/>
          <w:szCs w:val="43"/>
          <w:highlight w:val="none"/>
        </w:rPr>
      </w:pPr>
      <w:bookmarkStart w:id="3" w:name="bookmark1"/>
      <w:bookmarkEnd w:id="3"/>
      <w:bookmarkStart w:id="4" w:name="_Toc1799"/>
      <w:r>
        <w:rPr>
          <w:rFonts w:ascii="宋体" w:hAnsi="宋体" w:eastAsia="宋体" w:cs="宋体"/>
          <w:b/>
          <w:bCs/>
          <w:spacing w:val="4"/>
          <w:sz w:val="43"/>
          <w:szCs w:val="43"/>
          <w:highlight w:val="none"/>
        </w:rPr>
        <w:t>第一部分</w:t>
      </w:r>
      <w:r>
        <w:rPr>
          <w:rFonts w:ascii="宋体" w:hAnsi="宋体" w:eastAsia="宋体" w:cs="宋体"/>
          <w:spacing w:val="4"/>
          <w:sz w:val="43"/>
          <w:szCs w:val="43"/>
          <w:highlight w:val="none"/>
        </w:rPr>
        <w:t xml:space="preserve"> </w:t>
      </w:r>
      <w:r>
        <w:rPr>
          <w:rFonts w:ascii="宋体" w:hAnsi="宋体" w:eastAsia="宋体" w:cs="宋体"/>
          <w:b/>
          <w:bCs/>
          <w:spacing w:val="4"/>
          <w:sz w:val="43"/>
          <w:szCs w:val="43"/>
          <w:highlight w:val="none"/>
        </w:rPr>
        <w:t>遴选公告</w:t>
      </w:r>
      <w:bookmarkEnd w:id="4"/>
    </w:p>
    <w:p w14:paraId="0D872C40">
      <w:pPr>
        <w:keepNext w:val="0"/>
        <w:keepLines w:val="0"/>
        <w:pageBreakBefore w:val="0"/>
        <w:kinsoku/>
        <w:wordWrap/>
        <w:overflowPunct w:val="0"/>
        <w:topLinePunct/>
        <w:bidi w:val="0"/>
        <w:spacing w:line="360" w:lineRule="auto"/>
        <w:rPr>
          <w:rFonts w:ascii="Arial"/>
          <w:sz w:val="21"/>
          <w:highlight w:val="none"/>
        </w:rPr>
      </w:pPr>
    </w:p>
    <w:p w14:paraId="4804F2C3">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为提高</w:t>
      </w:r>
      <w:r>
        <w:rPr>
          <w:rFonts w:hint="eastAsia" w:ascii="宋体" w:hAnsi="宋体" w:eastAsia="宋体" w:cs="仿宋"/>
          <w:snapToGrid w:val="0"/>
          <w:kern w:val="0"/>
          <w:sz w:val="24"/>
          <w:highlight w:val="none"/>
          <w:lang w:val="en-US" w:eastAsia="zh-CN"/>
        </w:rPr>
        <w:t>遴选人</w:t>
      </w:r>
      <w:r>
        <w:rPr>
          <w:rFonts w:hint="eastAsia" w:ascii="宋体" w:hAnsi="宋体" w:cs="仿宋"/>
          <w:snapToGrid w:val="0"/>
          <w:kern w:val="0"/>
          <w:sz w:val="24"/>
          <w:highlight w:val="none"/>
          <w:lang w:val="zh-CN"/>
        </w:rPr>
        <w:t>招标采购质量和效率，现就</w:t>
      </w:r>
      <w:r>
        <w:rPr>
          <w:rFonts w:hint="eastAsia" w:ascii="宋体" w:hAnsi="宋体" w:cs="仿宋"/>
          <w:snapToGrid w:val="0"/>
          <w:kern w:val="0"/>
          <w:sz w:val="24"/>
          <w:highlight w:val="none"/>
          <w:lang w:val="zh-CN" w:eastAsia="zh-CN"/>
        </w:rPr>
        <w:t>补充</w:t>
      </w:r>
      <w:r>
        <w:rPr>
          <w:rFonts w:hint="eastAsia" w:ascii="宋体" w:hAnsi="宋体" w:cs="仿宋"/>
          <w:snapToGrid w:val="0"/>
          <w:kern w:val="0"/>
          <w:sz w:val="24"/>
          <w:highlight w:val="none"/>
          <w:lang w:val="zh-CN"/>
        </w:rPr>
        <w:t>招标采购代理机构</w:t>
      </w:r>
      <w:r>
        <w:rPr>
          <w:rFonts w:hint="eastAsia" w:ascii="宋体" w:hAnsi="宋体" w:eastAsia="宋体" w:cs="仿宋"/>
          <w:snapToGrid w:val="0"/>
          <w:kern w:val="0"/>
          <w:sz w:val="24"/>
          <w:highlight w:val="none"/>
          <w:lang w:val="en-US" w:eastAsia="zh-CN"/>
        </w:rPr>
        <w:t>遴选</w:t>
      </w:r>
      <w:r>
        <w:rPr>
          <w:rFonts w:hint="eastAsia" w:ascii="宋体" w:hAnsi="宋体" w:cs="仿宋"/>
          <w:snapToGrid w:val="0"/>
          <w:kern w:val="0"/>
          <w:sz w:val="24"/>
          <w:highlight w:val="none"/>
          <w:lang w:val="zh-CN"/>
        </w:rPr>
        <w:t>工作，公开遴选</w:t>
      </w:r>
      <w:r>
        <w:rPr>
          <w:rFonts w:hint="eastAsia" w:ascii="宋体" w:hAnsi="宋体" w:eastAsia="宋体" w:cs="仿宋"/>
          <w:snapToGrid w:val="0"/>
          <w:kern w:val="0"/>
          <w:sz w:val="24"/>
          <w:highlight w:val="none"/>
          <w:lang w:val="en-US" w:eastAsia="zh-CN"/>
        </w:rPr>
        <w:t>补充</w:t>
      </w:r>
      <w:r>
        <w:rPr>
          <w:rFonts w:hint="eastAsia" w:ascii="宋体" w:hAnsi="宋体" w:cs="仿宋"/>
          <w:snapToGrid w:val="0"/>
          <w:kern w:val="0"/>
          <w:sz w:val="24"/>
          <w:highlight w:val="none"/>
          <w:lang w:val="zh-CN"/>
        </w:rPr>
        <w:t>招标采购代理机构。</w:t>
      </w:r>
    </w:p>
    <w:p w14:paraId="3EA05946">
      <w:pPr>
        <w:keepNext w:val="0"/>
        <w:keepLines w:val="0"/>
        <w:pageBreakBefore w:val="0"/>
        <w:kinsoku/>
        <w:wordWrap/>
        <w:overflowPunct w:val="0"/>
        <w:topLinePunct/>
        <w:bidi w:val="0"/>
        <w:adjustRightInd w:val="0"/>
        <w:snapToGrid w:val="0"/>
        <w:spacing w:line="360" w:lineRule="auto"/>
        <w:ind w:firstLine="480" w:firstLineChars="200"/>
        <w:jc w:val="left"/>
        <w:outlineLvl w:val="1"/>
        <w:rPr>
          <w:rFonts w:hint="default" w:ascii="宋体" w:hAnsi="宋体" w:cs="仿宋"/>
          <w:snapToGrid w:val="0"/>
          <w:kern w:val="0"/>
          <w:sz w:val="24"/>
          <w:highlight w:val="none"/>
          <w:lang w:val="en-US" w:eastAsia="zh-CN"/>
        </w:rPr>
      </w:pPr>
      <w:bookmarkStart w:id="5" w:name="_Toc4376"/>
      <w:r>
        <w:rPr>
          <w:rFonts w:hint="eastAsia" w:ascii="宋体" w:hAnsi="宋体" w:cs="仿宋"/>
          <w:b/>
          <w:bCs/>
          <w:snapToGrid w:val="0"/>
          <w:kern w:val="0"/>
          <w:sz w:val="24"/>
          <w:highlight w:val="none"/>
          <w:lang w:val="en-US" w:eastAsia="zh-CN"/>
        </w:rPr>
        <w:t>一、基本情况</w:t>
      </w:r>
      <w:bookmarkEnd w:id="5"/>
    </w:p>
    <w:p w14:paraId="3DD9F53D">
      <w:pPr>
        <w:keepNext w:val="0"/>
        <w:keepLines w:val="0"/>
        <w:pageBreakBefore w:val="0"/>
        <w:kinsoku/>
        <w:wordWrap/>
        <w:overflowPunct w:val="0"/>
        <w:topLinePunct/>
        <w:bidi w:val="0"/>
        <w:adjustRightInd w:val="0"/>
        <w:snapToGrid w:val="0"/>
        <w:spacing w:line="360" w:lineRule="auto"/>
        <w:ind w:firstLine="480" w:firstLineChars="200"/>
        <w:jc w:val="left"/>
        <w:rPr>
          <w:rFonts w:hint="default" w:ascii="宋体" w:hAnsi="宋体" w:cs="仿宋"/>
          <w:snapToGrid w:val="0"/>
          <w:kern w:val="0"/>
          <w:sz w:val="24"/>
          <w:highlight w:val="none"/>
          <w:lang w:val="en-US"/>
        </w:rPr>
      </w:pPr>
      <w:r>
        <w:rPr>
          <w:rFonts w:hint="eastAsia" w:ascii="宋体" w:hAnsi="宋体" w:cs="仿宋"/>
          <w:b/>
          <w:bCs/>
          <w:snapToGrid w:val="0"/>
          <w:kern w:val="0"/>
          <w:sz w:val="24"/>
          <w:highlight w:val="none"/>
          <w:lang w:val="en-US" w:eastAsia="zh-CN"/>
        </w:rPr>
        <w:t>1.</w:t>
      </w:r>
      <w:r>
        <w:rPr>
          <w:rFonts w:hint="eastAsia" w:ascii="宋体" w:hAnsi="宋体" w:cs="仿宋"/>
          <w:b/>
          <w:bCs/>
          <w:snapToGrid w:val="0"/>
          <w:kern w:val="0"/>
          <w:sz w:val="24"/>
          <w:highlight w:val="none"/>
          <w:lang w:val="zh-CN"/>
        </w:rPr>
        <w:t>项目编号</w:t>
      </w:r>
      <w:r>
        <w:rPr>
          <w:rFonts w:hint="eastAsia" w:ascii="宋体" w:hAnsi="宋体" w:cs="仿宋"/>
          <w:snapToGrid w:val="0"/>
          <w:kern w:val="0"/>
          <w:sz w:val="24"/>
          <w:highlight w:val="none"/>
          <w:lang w:val="zh-CN"/>
        </w:rPr>
        <w:t>：</w:t>
      </w:r>
      <w:r>
        <w:rPr>
          <w:rFonts w:hint="eastAsia" w:ascii="宋体" w:hAnsi="宋体" w:cs="仿宋"/>
          <w:snapToGrid w:val="0"/>
          <w:kern w:val="0"/>
          <w:sz w:val="24"/>
          <w:highlight w:val="none"/>
          <w:lang w:val="zh-CN" w:eastAsia="zh-CN"/>
        </w:rPr>
        <w:t>HYHAQD2026-0065</w:t>
      </w:r>
    </w:p>
    <w:p w14:paraId="72CAC811">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b/>
          <w:bCs/>
          <w:snapToGrid w:val="0"/>
          <w:kern w:val="0"/>
          <w:sz w:val="24"/>
          <w:highlight w:val="none"/>
          <w:lang w:val="en-US" w:eastAsia="zh-CN"/>
        </w:rPr>
        <w:t>2.</w:t>
      </w:r>
      <w:r>
        <w:rPr>
          <w:rFonts w:hint="eastAsia" w:ascii="宋体" w:hAnsi="宋体" w:cs="仿宋"/>
          <w:b/>
          <w:bCs/>
          <w:snapToGrid w:val="0"/>
          <w:kern w:val="0"/>
          <w:sz w:val="24"/>
          <w:highlight w:val="none"/>
          <w:lang w:val="zh-CN"/>
        </w:rPr>
        <w:t>项目名称</w:t>
      </w:r>
      <w:r>
        <w:rPr>
          <w:rFonts w:hint="eastAsia" w:ascii="宋体" w:hAnsi="宋体" w:cs="仿宋"/>
          <w:snapToGrid w:val="0"/>
          <w:kern w:val="0"/>
          <w:sz w:val="24"/>
          <w:highlight w:val="none"/>
          <w:lang w:val="zh-CN"/>
        </w:rPr>
        <w:t>：山东大学齐鲁医院</w:t>
      </w:r>
      <w:r>
        <w:rPr>
          <w:rFonts w:hint="eastAsia" w:ascii="宋体" w:hAnsi="宋体" w:cs="仿宋"/>
          <w:snapToGrid w:val="0"/>
          <w:kern w:val="0"/>
          <w:sz w:val="24"/>
          <w:highlight w:val="none"/>
          <w:lang w:val="zh-CN" w:eastAsia="zh-CN"/>
        </w:rPr>
        <w:t>（</w:t>
      </w:r>
      <w:r>
        <w:rPr>
          <w:rFonts w:hint="eastAsia" w:ascii="宋体" w:hAnsi="宋体" w:cs="仿宋"/>
          <w:snapToGrid w:val="0"/>
          <w:kern w:val="0"/>
          <w:sz w:val="24"/>
          <w:highlight w:val="none"/>
          <w:lang w:val="en-US" w:eastAsia="zh-CN"/>
        </w:rPr>
        <w:t>青岛</w:t>
      </w:r>
      <w:r>
        <w:rPr>
          <w:rFonts w:hint="eastAsia" w:ascii="宋体" w:hAnsi="宋体" w:cs="仿宋"/>
          <w:snapToGrid w:val="0"/>
          <w:kern w:val="0"/>
          <w:sz w:val="24"/>
          <w:highlight w:val="none"/>
          <w:lang w:val="zh-CN" w:eastAsia="zh-CN"/>
        </w:rPr>
        <w:t>）补充招标采购代理机构遴选项目</w:t>
      </w:r>
    </w:p>
    <w:p w14:paraId="5615EDD5">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en-US" w:eastAsia="zh-CN"/>
        </w:rPr>
      </w:pPr>
      <w:r>
        <w:rPr>
          <w:rFonts w:hint="eastAsia" w:ascii="宋体" w:hAnsi="宋体" w:cs="仿宋"/>
          <w:b/>
          <w:bCs/>
          <w:snapToGrid w:val="0"/>
          <w:kern w:val="0"/>
          <w:sz w:val="24"/>
          <w:highlight w:val="none"/>
          <w:lang w:val="en-US" w:eastAsia="zh-CN"/>
        </w:rPr>
        <w:t>3.入选家数</w:t>
      </w:r>
      <w:r>
        <w:rPr>
          <w:rFonts w:hint="eastAsia" w:ascii="宋体" w:hAnsi="宋体" w:cs="仿宋"/>
          <w:snapToGrid w:val="0"/>
          <w:kern w:val="0"/>
          <w:sz w:val="24"/>
          <w:highlight w:val="none"/>
          <w:lang w:val="en-US" w:eastAsia="zh-CN"/>
        </w:rPr>
        <w:t>：</w:t>
      </w:r>
      <w:r>
        <w:rPr>
          <w:rFonts w:hint="eastAsia" w:ascii="宋体" w:hAnsi="宋体" w:cs="仿宋"/>
          <w:snapToGrid w:val="0"/>
          <w:kern w:val="0"/>
          <w:sz w:val="24"/>
          <w:highlight w:val="none"/>
          <w:lang w:val="zh-CN"/>
        </w:rPr>
        <w:t>遴选不超过</w:t>
      </w:r>
      <w:r>
        <w:rPr>
          <w:rFonts w:hint="eastAsia" w:ascii="宋体" w:hAnsi="宋体" w:eastAsia="宋体" w:cs="仿宋"/>
          <w:snapToGrid w:val="0"/>
          <w:kern w:val="0"/>
          <w:sz w:val="24"/>
          <w:highlight w:val="none"/>
          <w:lang w:val="en-US" w:eastAsia="zh-CN"/>
        </w:rPr>
        <w:t>3</w:t>
      </w:r>
      <w:r>
        <w:rPr>
          <w:rFonts w:hint="eastAsia" w:ascii="宋体" w:hAnsi="宋体" w:cs="仿宋"/>
          <w:snapToGrid w:val="0"/>
          <w:kern w:val="0"/>
          <w:sz w:val="24"/>
          <w:highlight w:val="none"/>
          <w:lang w:val="zh-CN"/>
        </w:rPr>
        <w:t>家招标采购代理机构入</w:t>
      </w:r>
      <w:r>
        <w:rPr>
          <w:rFonts w:hint="eastAsia" w:ascii="宋体" w:hAnsi="宋体" w:cs="仿宋"/>
          <w:snapToGrid w:val="0"/>
          <w:kern w:val="0"/>
          <w:sz w:val="24"/>
          <w:highlight w:val="none"/>
          <w:lang w:val="en-US" w:eastAsia="zh-CN"/>
        </w:rPr>
        <w:t>选</w:t>
      </w:r>
    </w:p>
    <w:p w14:paraId="2EE3EB16">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b/>
          <w:bCs/>
          <w:snapToGrid w:val="0"/>
          <w:kern w:val="0"/>
          <w:sz w:val="24"/>
          <w:highlight w:val="none"/>
          <w:lang w:val="en-US" w:eastAsia="zh-CN"/>
        </w:rPr>
        <w:t>4.服务期限</w:t>
      </w:r>
      <w:r>
        <w:rPr>
          <w:rFonts w:hint="eastAsia" w:ascii="宋体" w:hAnsi="宋体" w:cs="仿宋"/>
          <w:snapToGrid w:val="0"/>
          <w:kern w:val="0"/>
          <w:sz w:val="24"/>
          <w:highlight w:val="none"/>
          <w:lang w:val="en-US" w:eastAsia="zh-CN"/>
        </w:rPr>
        <w:t>：</w:t>
      </w:r>
      <w:r>
        <w:rPr>
          <w:rFonts w:hint="eastAsia" w:ascii="宋体" w:hAnsi="宋体" w:cs="仿宋"/>
          <w:snapToGrid w:val="0"/>
          <w:kern w:val="0"/>
          <w:sz w:val="24"/>
          <w:highlight w:val="none"/>
          <w:lang w:val="zh-CN"/>
        </w:rPr>
        <w:t>本次采购代理服务期限</w:t>
      </w:r>
      <w:r>
        <w:rPr>
          <w:rFonts w:hint="eastAsia" w:ascii="宋体" w:hAnsi="宋体" w:eastAsia="宋体" w:cs="仿宋"/>
          <w:snapToGrid w:val="0"/>
          <w:kern w:val="0"/>
          <w:sz w:val="24"/>
          <w:highlight w:val="none"/>
          <w:lang w:val="en-US" w:eastAsia="zh-CN"/>
        </w:rPr>
        <w:t>自合同签订之日起至2027</w:t>
      </w:r>
      <w:r>
        <w:rPr>
          <w:rFonts w:hint="eastAsia" w:ascii="宋体" w:hAnsi="宋体" w:cs="仿宋"/>
          <w:snapToGrid w:val="0"/>
          <w:kern w:val="0"/>
          <w:sz w:val="24"/>
          <w:highlight w:val="none"/>
          <w:lang w:val="zh-CN"/>
        </w:rPr>
        <w:t>年</w:t>
      </w:r>
      <w:r>
        <w:rPr>
          <w:rFonts w:hint="eastAsia" w:ascii="宋体" w:hAnsi="宋体" w:eastAsia="宋体" w:cs="仿宋"/>
          <w:snapToGrid w:val="0"/>
          <w:kern w:val="0"/>
          <w:sz w:val="24"/>
          <w:highlight w:val="none"/>
          <w:lang w:val="en-US" w:eastAsia="zh-CN"/>
        </w:rPr>
        <w:t>9月30日止</w:t>
      </w:r>
      <w:r>
        <w:rPr>
          <w:rFonts w:hint="eastAsia" w:ascii="宋体" w:hAnsi="宋体" w:cs="仿宋"/>
          <w:snapToGrid w:val="0"/>
          <w:kern w:val="0"/>
          <w:sz w:val="24"/>
          <w:highlight w:val="none"/>
          <w:lang w:val="zh-CN"/>
        </w:rPr>
        <w:t>。合同履行期间，若因入选人的原因发生重大责任事故，或入选人不能圆满的履行代理协议的责任与义务，遴选人将取消其代理资格，</w:t>
      </w:r>
      <w:r>
        <w:rPr>
          <w:rFonts w:hint="eastAsia" w:ascii="宋体" w:hAnsi="宋体" w:eastAsia="宋体" w:cs="仿宋"/>
          <w:snapToGrid w:val="0"/>
          <w:kern w:val="0"/>
          <w:sz w:val="24"/>
          <w:highlight w:val="none"/>
          <w:lang w:val="en-US" w:eastAsia="zh-CN"/>
        </w:rPr>
        <w:t>终止</w:t>
      </w:r>
      <w:r>
        <w:rPr>
          <w:rFonts w:hint="eastAsia" w:ascii="宋体" w:hAnsi="宋体" w:cs="仿宋"/>
          <w:snapToGrid w:val="0"/>
          <w:kern w:val="0"/>
          <w:sz w:val="24"/>
          <w:highlight w:val="none"/>
          <w:lang w:val="zh-CN"/>
        </w:rPr>
        <w:t>合同。相关风险由入选人自行承担。</w:t>
      </w:r>
    </w:p>
    <w:p w14:paraId="280103A8">
      <w:pPr>
        <w:keepNext w:val="0"/>
        <w:keepLines w:val="0"/>
        <w:pageBreakBefore w:val="0"/>
        <w:kinsoku/>
        <w:wordWrap/>
        <w:overflowPunct w:val="0"/>
        <w:topLinePunct/>
        <w:bidi w:val="0"/>
        <w:adjustRightInd w:val="0"/>
        <w:snapToGrid w:val="0"/>
        <w:spacing w:line="360" w:lineRule="auto"/>
        <w:ind w:firstLine="482" w:firstLineChars="200"/>
        <w:jc w:val="left"/>
        <w:outlineLvl w:val="1"/>
        <w:rPr>
          <w:rFonts w:hint="eastAsia" w:ascii="宋体" w:hAnsi="宋体" w:cs="仿宋"/>
          <w:snapToGrid w:val="0"/>
          <w:kern w:val="0"/>
          <w:sz w:val="24"/>
          <w:highlight w:val="none"/>
          <w:lang w:val="zh-CN"/>
        </w:rPr>
      </w:pPr>
      <w:bookmarkStart w:id="6" w:name="_Toc27192"/>
      <w:r>
        <w:rPr>
          <w:rFonts w:hint="eastAsia" w:ascii="宋体" w:hAnsi="宋体" w:eastAsia="宋体" w:cs="仿宋"/>
          <w:b/>
          <w:bCs/>
          <w:snapToGrid w:val="0"/>
          <w:kern w:val="0"/>
          <w:sz w:val="24"/>
          <w:highlight w:val="none"/>
          <w:lang w:val="en-US" w:eastAsia="zh-CN"/>
        </w:rPr>
        <w:t>二</w:t>
      </w:r>
      <w:r>
        <w:rPr>
          <w:rFonts w:hint="eastAsia" w:ascii="宋体" w:hAnsi="宋体" w:cs="仿宋"/>
          <w:b/>
          <w:bCs/>
          <w:snapToGrid w:val="0"/>
          <w:kern w:val="0"/>
          <w:sz w:val="24"/>
          <w:highlight w:val="none"/>
          <w:lang w:val="zh-CN"/>
        </w:rPr>
        <w:t>、资格要求：</w:t>
      </w:r>
      <w:bookmarkEnd w:id="6"/>
    </w:p>
    <w:p w14:paraId="41358FF1">
      <w:pPr>
        <w:keepNext w:val="0"/>
        <w:keepLines w:val="0"/>
        <w:pageBreakBefore w:val="0"/>
        <w:kinsoku/>
        <w:wordWrap/>
        <w:overflowPunct w:val="0"/>
        <w:topLinePunct/>
        <w:bidi w:val="0"/>
        <w:adjustRightInd w:val="0"/>
        <w:snapToGrid w:val="0"/>
        <w:spacing w:line="360" w:lineRule="auto"/>
        <w:ind w:firstLine="480" w:firstLineChars="200"/>
        <w:jc w:val="left"/>
        <w:outlineLvl w:val="2"/>
        <w:rPr>
          <w:rFonts w:hint="eastAsia" w:ascii="宋体" w:hAnsi="宋体" w:cs="仿宋"/>
          <w:snapToGrid w:val="0"/>
          <w:kern w:val="0"/>
          <w:sz w:val="24"/>
          <w:highlight w:val="none"/>
          <w:lang w:val="zh-CN"/>
        </w:rPr>
      </w:pPr>
      <w:bookmarkStart w:id="7" w:name="_Toc7949"/>
      <w:r>
        <w:rPr>
          <w:rFonts w:hint="eastAsia" w:ascii="宋体" w:hAnsi="宋体" w:cs="仿宋"/>
          <w:snapToGrid w:val="0"/>
          <w:kern w:val="0"/>
          <w:sz w:val="24"/>
          <w:highlight w:val="none"/>
          <w:lang w:val="zh-CN"/>
        </w:rPr>
        <w:t>1.在中国境内注册，具有独立法人资格；</w:t>
      </w:r>
      <w:bookmarkEnd w:id="7"/>
    </w:p>
    <w:p w14:paraId="641468D1">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eastAsia="宋体" w:cs="仿宋"/>
          <w:snapToGrid w:val="0"/>
          <w:kern w:val="0"/>
          <w:sz w:val="24"/>
          <w:highlight w:val="none"/>
          <w:lang w:val="en-US" w:eastAsia="zh-CN"/>
        </w:rPr>
        <w:t>2</w:t>
      </w:r>
      <w:r>
        <w:rPr>
          <w:rFonts w:hint="eastAsia" w:ascii="宋体" w:hAnsi="宋体" w:cs="仿宋"/>
          <w:snapToGrid w:val="0"/>
          <w:kern w:val="0"/>
          <w:sz w:val="24"/>
          <w:highlight w:val="none"/>
          <w:lang w:val="zh-CN"/>
        </w:rPr>
        <w:t>.响应人须满足《中华人民共和国政府采购法》第</w:t>
      </w:r>
      <w:r>
        <w:rPr>
          <w:rFonts w:hint="eastAsia" w:ascii="宋体" w:hAnsi="宋体" w:cs="仿宋"/>
          <w:snapToGrid w:val="0"/>
          <w:kern w:val="0"/>
          <w:sz w:val="24"/>
          <w:highlight w:val="none"/>
          <w:lang w:val="zh-CN" w:eastAsia="zh-CN"/>
        </w:rPr>
        <w:t>二十二</w:t>
      </w:r>
      <w:r>
        <w:rPr>
          <w:rFonts w:hint="eastAsia" w:ascii="宋体" w:hAnsi="宋体" w:cs="仿宋"/>
          <w:snapToGrid w:val="0"/>
          <w:kern w:val="0"/>
          <w:sz w:val="24"/>
          <w:highlight w:val="none"/>
          <w:lang w:val="zh-CN"/>
        </w:rPr>
        <w:t>条规定；</w:t>
      </w:r>
    </w:p>
    <w:p w14:paraId="4B0257FB">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eastAsia="宋体" w:cs="仿宋"/>
          <w:snapToGrid w:val="0"/>
          <w:kern w:val="0"/>
          <w:sz w:val="24"/>
          <w:highlight w:val="none"/>
          <w:lang w:val="en-US" w:eastAsia="zh-CN"/>
        </w:rPr>
        <w:t>3</w:t>
      </w:r>
      <w:r>
        <w:rPr>
          <w:rFonts w:hint="eastAsia" w:ascii="宋体" w:hAnsi="宋体" w:cs="仿宋"/>
          <w:snapToGrid w:val="0"/>
          <w:kern w:val="0"/>
          <w:sz w:val="24"/>
          <w:highlight w:val="none"/>
          <w:lang w:val="zh-CN"/>
        </w:rPr>
        <w:t>.遵守《中华人民共和国政府采购法》、《中华人民共和国招标投标法》 及相关法律、法规和规章；</w:t>
      </w:r>
    </w:p>
    <w:p w14:paraId="7106AF5D">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eastAsia="宋体" w:cs="仿宋"/>
          <w:snapToGrid w:val="0"/>
          <w:kern w:val="0"/>
          <w:sz w:val="24"/>
          <w:highlight w:val="none"/>
          <w:lang w:val="en-US" w:eastAsia="zh-CN"/>
        </w:rPr>
        <w:t>4</w:t>
      </w:r>
      <w:r>
        <w:rPr>
          <w:rFonts w:hint="eastAsia" w:ascii="宋体" w:hAnsi="宋体" w:cs="仿宋"/>
          <w:snapToGrid w:val="0"/>
          <w:kern w:val="0"/>
          <w:sz w:val="24"/>
          <w:highlight w:val="none"/>
          <w:lang w:val="zh-CN"/>
        </w:rPr>
        <w:t>.响应人须列入中国政府采购网“</w:t>
      </w:r>
      <w:r>
        <w:rPr>
          <w:rFonts w:hint="eastAsia" w:ascii="宋体" w:hAnsi="宋体" w:cs="仿宋"/>
          <w:snapToGrid w:val="0"/>
          <w:kern w:val="0"/>
          <w:sz w:val="24"/>
          <w:highlight w:val="none"/>
          <w:lang w:val="zh-CN"/>
        </w:rPr>
        <w:fldChar w:fldCharType="begin"/>
      </w:r>
      <w:r>
        <w:rPr>
          <w:rFonts w:hint="eastAsia" w:ascii="宋体" w:hAnsi="宋体" w:cs="仿宋"/>
          <w:snapToGrid w:val="0"/>
          <w:kern w:val="0"/>
          <w:sz w:val="24"/>
          <w:highlight w:val="none"/>
          <w:lang w:val="zh-CN"/>
        </w:rPr>
        <w:instrText xml:space="preserve"> HYPERLINK "http://www.ccgp.gov.cn/agency/md/" </w:instrText>
      </w:r>
      <w:r>
        <w:rPr>
          <w:rFonts w:hint="eastAsia" w:ascii="宋体" w:hAnsi="宋体" w:cs="仿宋"/>
          <w:snapToGrid w:val="0"/>
          <w:kern w:val="0"/>
          <w:sz w:val="24"/>
          <w:highlight w:val="none"/>
          <w:lang w:val="zh-CN"/>
        </w:rPr>
        <w:fldChar w:fldCharType="separate"/>
      </w:r>
      <w:r>
        <w:rPr>
          <w:rFonts w:hint="eastAsia" w:ascii="宋体" w:hAnsi="宋体" w:cs="仿宋"/>
          <w:snapToGrid w:val="0"/>
          <w:kern w:val="0"/>
          <w:sz w:val="24"/>
          <w:highlight w:val="none"/>
          <w:lang w:val="zh-CN"/>
        </w:rPr>
        <w:t>政府采购代理机构名单</w:t>
      </w:r>
      <w:r>
        <w:rPr>
          <w:rFonts w:hint="eastAsia" w:ascii="宋体" w:hAnsi="宋体" w:cs="仿宋"/>
          <w:snapToGrid w:val="0"/>
          <w:kern w:val="0"/>
          <w:sz w:val="24"/>
          <w:highlight w:val="none"/>
          <w:lang w:val="zh-CN"/>
        </w:rPr>
        <w:fldChar w:fldCharType="end"/>
      </w:r>
      <w:r>
        <w:rPr>
          <w:rFonts w:hint="eastAsia" w:ascii="宋体" w:hAnsi="宋体" w:cs="仿宋"/>
          <w:snapToGrid w:val="0"/>
          <w:kern w:val="0"/>
          <w:sz w:val="24"/>
          <w:highlight w:val="none"/>
          <w:lang w:val="zh-CN"/>
        </w:rPr>
        <w:t>”中，青岛市政府采购网“代理机构名录”中；</w:t>
      </w:r>
    </w:p>
    <w:p w14:paraId="6236D347">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eastAsia="宋体" w:cs="仿宋"/>
          <w:snapToGrid w:val="0"/>
          <w:kern w:val="0"/>
          <w:sz w:val="24"/>
          <w:highlight w:val="none"/>
          <w:lang w:val="en-US" w:eastAsia="zh-CN"/>
        </w:rPr>
        <w:t>5.</w:t>
      </w:r>
      <w:r>
        <w:rPr>
          <w:rFonts w:hint="eastAsia" w:ascii="宋体" w:hAnsi="宋体" w:cs="仿宋"/>
          <w:snapToGrid w:val="0"/>
          <w:kern w:val="0"/>
          <w:sz w:val="24"/>
          <w:highlight w:val="none"/>
          <w:lang w:val="zh-CN"/>
        </w:rPr>
        <w:t>招标采购代理机构拥有不少于5名熟悉招投标及政府采购法律法规、具有编制遴选文件和组织采购活动等相应能力的专业人员；</w:t>
      </w:r>
    </w:p>
    <w:p w14:paraId="0EEAD57F">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6.响应人有固定的办公场所及开评标场所，具备完善的监控设备和良好的音视频监控资料的保存、存档、管理条件；</w:t>
      </w:r>
    </w:p>
    <w:p w14:paraId="4245B44D">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ascii="宋体" w:hAnsi="宋体" w:cs="仿宋"/>
          <w:snapToGrid w:val="0"/>
          <w:kern w:val="0"/>
          <w:sz w:val="24"/>
          <w:highlight w:val="none"/>
          <w:lang w:val="zh-CN"/>
        </w:rPr>
        <w:t>7</w:t>
      </w:r>
      <w:r>
        <w:rPr>
          <w:rFonts w:hint="eastAsia" w:ascii="宋体" w:hAnsi="宋体" w:cs="仿宋"/>
          <w:snapToGrid w:val="0"/>
          <w:kern w:val="0"/>
          <w:sz w:val="24"/>
          <w:highlight w:val="none"/>
          <w:lang w:val="zh-CN"/>
        </w:rPr>
        <w:t>.从业人员未在其他代理机构登记从业；</w:t>
      </w:r>
    </w:p>
    <w:p w14:paraId="7174E6A6">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ascii="宋体" w:hAnsi="宋体" w:cs="仿宋"/>
          <w:snapToGrid w:val="0"/>
          <w:kern w:val="0"/>
          <w:sz w:val="24"/>
          <w:highlight w:val="none"/>
          <w:lang w:val="zh-CN"/>
        </w:rPr>
        <w:t>8</w:t>
      </w:r>
      <w:r>
        <w:rPr>
          <w:rFonts w:hint="eastAsia" w:ascii="宋体" w:hAnsi="宋体" w:cs="仿宋"/>
          <w:snapToGrid w:val="0"/>
          <w:kern w:val="0"/>
          <w:sz w:val="24"/>
          <w:highlight w:val="none"/>
          <w:lang w:val="zh-CN"/>
        </w:rPr>
        <w:t>.近三年内没有与采购代理业务相关的严重违法、违约行为；</w:t>
      </w:r>
    </w:p>
    <w:p w14:paraId="68C5A559">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eastAsia="宋体" w:cs="仿宋"/>
          <w:snapToGrid w:val="0"/>
          <w:kern w:val="0"/>
          <w:sz w:val="24"/>
          <w:highlight w:val="none"/>
          <w:lang w:val="en-US" w:eastAsia="zh-CN"/>
        </w:rPr>
        <w:t>9</w:t>
      </w:r>
      <w:r>
        <w:rPr>
          <w:rFonts w:hint="eastAsia" w:ascii="宋体" w:hAnsi="宋体" w:cs="仿宋"/>
          <w:snapToGrid w:val="0"/>
          <w:kern w:val="0"/>
          <w:sz w:val="24"/>
          <w:highlight w:val="none"/>
          <w:lang w:val="zh-CN"/>
        </w:rPr>
        <w:t>.未被“信用中国”网站（www.creditchina.gov.cn）、“中国政府采购网”</w:t>
      </w:r>
    </w:p>
    <w:p w14:paraId="536E0B28">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（http：//www.ccgp.gov.cn/cr/list）列入失信被执行人、重大税收违法失信主体名单、政府采购严重违法失信行为记录名单；</w:t>
      </w:r>
    </w:p>
    <w:p w14:paraId="2F17EF19">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eastAsia="宋体" w:cs="仿宋"/>
          <w:snapToGrid w:val="0"/>
          <w:kern w:val="0"/>
          <w:sz w:val="24"/>
          <w:highlight w:val="none"/>
          <w:lang w:val="en-US" w:eastAsia="zh-CN"/>
        </w:rPr>
        <w:t>10</w:t>
      </w:r>
      <w:r>
        <w:rPr>
          <w:rFonts w:hint="eastAsia" w:ascii="宋体" w:hAnsi="宋体" w:cs="仿宋"/>
          <w:snapToGrid w:val="0"/>
          <w:kern w:val="0"/>
          <w:sz w:val="24"/>
          <w:highlight w:val="none"/>
          <w:lang w:val="zh-CN"/>
        </w:rPr>
        <w:t>.单位负责人为同一人或者存在控股、管理关系的不同单位，不得参加同一标段报价或者未划分标段的同一采购项目报价；</w:t>
      </w:r>
    </w:p>
    <w:p w14:paraId="541DAB72">
      <w:pPr>
        <w:keepNext w:val="0"/>
        <w:keepLines w:val="0"/>
        <w:pageBreakBefore w:val="0"/>
        <w:kinsoku/>
        <w:wordWrap/>
        <w:overflowPunct w:val="0"/>
        <w:topLinePunct/>
        <w:bidi w:val="0"/>
        <w:adjustRightInd w:val="0"/>
        <w:snapToGrid w:val="0"/>
        <w:spacing w:line="360" w:lineRule="auto"/>
        <w:ind w:firstLine="480" w:firstLineChars="200"/>
        <w:jc w:val="left"/>
        <w:outlineLvl w:val="2"/>
        <w:rPr>
          <w:rFonts w:ascii="宋体" w:hAnsi="宋体" w:cs="仿宋"/>
          <w:snapToGrid w:val="0"/>
          <w:kern w:val="0"/>
          <w:sz w:val="24"/>
          <w:highlight w:val="none"/>
          <w:lang w:val="zh-CN"/>
        </w:rPr>
      </w:pPr>
      <w:bookmarkStart w:id="8" w:name="_Toc3425"/>
      <w:r>
        <w:rPr>
          <w:rFonts w:hint="eastAsia" w:ascii="宋体" w:hAnsi="宋体" w:eastAsia="宋体" w:cs="仿宋"/>
          <w:snapToGrid w:val="0"/>
          <w:kern w:val="0"/>
          <w:sz w:val="24"/>
          <w:highlight w:val="none"/>
          <w:lang w:val="en-US" w:eastAsia="zh-CN"/>
        </w:rPr>
        <w:t>11</w:t>
      </w:r>
      <w:r>
        <w:rPr>
          <w:rFonts w:hint="eastAsia" w:ascii="宋体" w:hAnsi="宋体" w:cs="仿宋"/>
          <w:snapToGrid w:val="0"/>
          <w:kern w:val="0"/>
          <w:sz w:val="24"/>
          <w:highlight w:val="none"/>
          <w:lang w:val="zh-CN"/>
        </w:rPr>
        <w:t>.本项目不接受联合体参选，禁止分包、挂靠。</w:t>
      </w:r>
      <w:bookmarkEnd w:id="8"/>
    </w:p>
    <w:p w14:paraId="1E8407A7">
      <w:pPr>
        <w:keepNext w:val="0"/>
        <w:keepLines w:val="0"/>
        <w:pageBreakBefore w:val="0"/>
        <w:kinsoku/>
        <w:wordWrap/>
        <w:overflowPunct w:val="0"/>
        <w:topLinePunct/>
        <w:bidi w:val="0"/>
        <w:adjustRightInd w:val="0"/>
        <w:snapToGrid w:val="0"/>
        <w:spacing w:line="360" w:lineRule="auto"/>
        <w:ind w:firstLine="482" w:firstLineChars="200"/>
        <w:jc w:val="left"/>
        <w:rPr>
          <w:rFonts w:hint="eastAsia" w:ascii="宋体" w:hAnsi="宋体" w:cs="仿宋"/>
          <w:snapToGrid w:val="0"/>
          <w:kern w:val="0"/>
          <w:sz w:val="24"/>
          <w:highlight w:val="none"/>
          <w:lang w:val="zh-CN"/>
        </w:rPr>
      </w:pPr>
      <w:r>
        <w:rPr>
          <w:rFonts w:hint="eastAsia" w:ascii="宋体" w:hAnsi="宋体" w:eastAsia="宋体" w:cs="仿宋"/>
          <w:b/>
          <w:bCs/>
          <w:snapToGrid w:val="0"/>
          <w:kern w:val="0"/>
          <w:sz w:val="24"/>
          <w:highlight w:val="none"/>
          <w:lang w:val="en-US" w:eastAsia="zh-CN"/>
        </w:rPr>
        <w:t>三、</w:t>
      </w:r>
      <w:r>
        <w:rPr>
          <w:rFonts w:hint="eastAsia" w:ascii="宋体" w:hAnsi="宋体" w:cs="仿宋"/>
          <w:b/>
          <w:bCs/>
          <w:snapToGrid w:val="0"/>
          <w:kern w:val="0"/>
          <w:sz w:val="24"/>
          <w:highlight w:val="none"/>
          <w:lang w:val="zh-CN"/>
        </w:rPr>
        <w:t>资格审查方式：</w:t>
      </w:r>
      <w:r>
        <w:rPr>
          <w:rFonts w:hint="eastAsia" w:ascii="宋体" w:hAnsi="宋体" w:cs="仿宋"/>
          <w:snapToGrid w:val="0"/>
          <w:kern w:val="0"/>
          <w:sz w:val="24"/>
          <w:highlight w:val="none"/>
          <w:lang w:val="zh-CN"/>
        </w:rPr>
        <w:t>资格后审；成功领取遴选文件并不代表评审过程中资格审查合格。</w:t>
      </w:r>
    </w:p>
    <w:p w14:paraId="02ECCF8D">
      <w:pPr>
        <w:keepNext w:val="0"/>
        <w:keepLines w:val="0"/>
        <w:pageBreakBefore w:val="0"/>
        <w:kinsoku/>
        <w:wordWrap/>
        <w:overflowPunct w:val="0"/>
        <w:topLinePunct/>
        <w:bidi w:val="0"/>
        <w:adjustRightInd w:val="0"/>
        <w:snapToGrid w:val="0"/>
        <w:spacing w:line="360" w:lineRule="auto"/>
        <w:ind w:firstLine="482" w:firstLineChars="200"/>
        <w:jc w:val="left"/>
        <w:outlineLvl w:val="1"/>
        <w:rPr>
          <w:rFonts w:hint="eastAsia" w:ascii="宋体" w:hAnsi="宋体" w:cs="仿宋"/>
          <w:b/>
          <w:bCs/>
          <w:snapToGrid w:val="0"/>
          <w:kern w:val="0"/>
          <w:sz w:val="24"/>
          <w:highlight w:val="none"/>
          <w:lang w:val="zh-CN"/>
        </w:rPr>
      </w:pPr>
      <w:bookmarkStart w:id="9" w:name="_Toc29599"/>
      <w:r>
        <w:rPr>
          <w:rFonts w:hint="eastAsia" w:ascii="宋体" w:hAnsi="宋体" w:eastAsia="宋体" w:cs="仿宋"/>
          <w:b/>
          <w:bCs/>
          <w:snapToGrid w:val="0"/>
          <w:kern w:val="0"/>
          <w:sz w:val="24"/>
          <w:highlight w:val="none"/>
          <w:lang w:val="en-US" w:eastAsia="zh-CN"/>
        </w:rPr>
        <w:t>四</w:t>
      </w:r>
      <w:r>
        <w:rPr>
          <w:rFonts w:hint="eastAsia" w:ascii="宋体" w:hAnsi="宋体" w:cs="仿宋"/>
          <w:b/>
          <w:bCs/>
          <w:snapToGrid w:val="0"/>
          <w:kern w:val="0"/>
          <w:sz w:val="24"/>
          <w:highlight w:val="none"/>
          <w:lang w:val="zh-CN"/>
        </w:rPr>
        <w:t>、</w:t>
      </w:r>
      <w:r>
        <w:rPr>
          <w:rFonts w:hint="eastAsia" w:ascii="宋体" w:hAnsi="宋体" w:eastAsia="宋体" w:cs="仿宋"/>
          <w:b/>
          <w:bCs/>
          <w:snapToGrid w:val="0"/>
          <w:kern w:val="0"/>
          <w:sz w:val="24"/>
          <w:highlight w:val="none"/>
          <w:lang w:val="en-US" w:eastAsia="zh-CN"/>
        </w:rPr>
        <w:t>获取</w:t>
      </w:r>
      <w:r>
        <w:rPr>
          <w:rFonts w:hint="eastAsia" w:ascii="宋体" w:hAnsi="宋体" w:cs="仿宋"/>
          <w:b/>
          <w:bCs/>
          <w:snapToGrid w:val="0"/>
          <w:kern w:val="0"/>
          <w:sz w:val="24"/>
          <w:highlight w:val="none"/>
          <w:lang w:val="zh-CN"/>
        </w:rPr>
        <w:t>遴选文件的时间及方式：</w:t>
      </w:r>
      <w:bookmarkEnd w:id="9"/>
    </w:p>
    <w:p w14:paraId="5F3AF6D4">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en-US" w:eastAsia="zh-CN"/>
        </w:rPr>
      </w:pPr>
      <w:bookmarkStart w:id="10" w:name="_Toc26151"/>
      <w:r>
        <w:rPr>
          <w:rFonts w:hint="eastAsia" w:ascii="宋体" w:hAnsi="宋体" w:cs="仿宋"/>
          <w:snapToGrid w:val="0"/>
          <w:kern w:val="0"/>
          <w:sz w:val="24"/>
          <w:highlight w:val="none"/>
          <w:lang w:val="en-US" w:eastAsia="zh-CN"/>
        </w:rPr>
        <w:t>1.时间：2026年2月14日至2026年2月27日，每天上午8时30分至12时00分，下午12时00分至16时30分（北京时间，法定节假日除外）。</w:t>
      </w:r>
    </w:p>
    <w:p w14:paraId="4301254C">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en-US" w:eastAsia="zh-CN"/>
        </w:rPr>
      </w:pPr>
      <w:r>
        <w:rPr>
          <w:rFonts w:hint="eastAsia" w:ascii="宋体" w:hAnsi="宋体" w:cs="仿宋"/>
          <w:snapToGrid w:val="0"/>
          <w:kern w:val="0"/>
          <w:sz w:val="24"/>
          <w:highlight w:val="none"/>
          <w:lang w:val="en-US" w:eastAsia="zh-CN"/>
        </w:rPr>
        <w:t>2.方式：</w:t>
      </w:r>
    </w:p>
    <w:p w14:paraId="541B57CB">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en-US" w:eastAsia="zh-CN"/>
        </w:rPr>
      </w:pPr>
      <w:r>
        <w:rPr>
          <w:rFonts w:hint="eastAsia" w:ascii="宋体" w:hAnsi="宋体" w:cs="仿宋"/>
          <w:snapToGrid w:val="0"/>
          <w:kern w:val="0"/>
          <w:sz w:val="24"/>
          <w:highlight w:val="none"/>
          <w:lang w:val="en-US" w:eastAsia="zh-CN"/>
        </w:rPr>
        <w:t>第一步：扫码填报信息：响应人扫描下方二维码（项目经理选择逄昊晟），选取所要参加的项目点击“我要缴费”，根据提示完善信息后保存提交。</w:t>
      </w:r>
    </w:p>
    <w:p w14:paraId="14A83386">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en-US" w:eastAsia="zh-CN"/>
        </w:rPr>
      </w:pPr>
      <w:r>
        <w:rPr>
          <w:rFonts w:hint="eastAsia" w:ascii="宋体" w:hAnsi="宋体" w:cs="仿宋"/>
          <w:snapToGrid w:val="0"/>
          <w:kern w:val="0"/>
          <w:sz w:val="24"/>
          <w:highlight w:val="none"/>
          <w:lang w:val="en-US" w:eastAsia="zh-CN"/>
        </w:rPr>
        <w:t>第二步：响应人缴纳标书费。</w:t>
      </w:r>
    </w:p>
    <w:p w14:paraId="26485D25">
      <w:pPr>
        <w:tabs>
          <w:tab w:val="left" w:pos="9741"/>
        </w:tabs>
        <w:spacing w:line="360" w:lineRule="auto"/>
        <w:ind w:firstLine="480" w:firstLineChars="200"/>
        <w:jc w:val="center"/>
        <w:rPr>
          <w:rFonts w:ascii="宋体" w:hAnsi="宋体" w:cs="宋体"/>
          <w:color w:val="auto"/>
          <w:sz w:val="24"/>
          <w:highlight w:val="none"/>
        </w:rPr>
      </w:pPr>
      <w:r>
        <w:rPr>
          <w:rFonts w:ascii="宋体" w:hAnsi="宋体" w:cs="宋体"/>
          <w:color w:val="auto"/>
          <w:sz w:val="24"/>
          <w:highlight w:val="none"/>
        </w:rPr>
        <w:drawing>
          <wp:inline distT="0" distB="0" distL="114300" distR="114300">
            <wp:extent cx="2124710" cy="2124710"/>
            <wp:effectExtent l="0" t="0" r="8890" b="8890"/>
            <wp:docPr id="3" name="图片 1" descr="87f717136d2c99cc1ed3c66b401c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87f717136d2c99cc1ed3c66b401c988"/>
                    <pic:cNvPicPr>
                      <a:picLocks noChangeAspect="1"/>
                    </pic:cNvPicPr>
                  </pic:nvPicPr>
                  <pic:blipFill>
                    <a:blip r:embed="rId19"/>
                    <a:stretch>
                      <a:fillRect/>
                    </a:stretch>
                  </pic:blipFill>
                  <pic:spPr>
                    <a:xfrm>
                      <a:off x="0" y="0"/>
                      <a:ext cx="2124710" cy="2124710"/>
                    </a:xfrm>
                    <a:prstGeom prst="rect">
                      <a:avLst/>
                    </a:prstGeom>
                    <a:noFill/>
                    <a:ln>
                      <a:noFill/>
                    </a:ln>
                  </pic:spPr>
                </pic:pic>
              </a:graphicData>
            </a:graphic>
          </wp:inline>
        </w:drawing>
      </w:r>
    </w:p>
    <w:p w14:paraId="1F8CB261">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en-US" w:eastAsia="zh-CN"/>
        </w:rPr>
      </w:pPr>
      <w:r>
        <w:rPr>
          <w:rFonts w:hint="eastAsia" w:ascii="宋体" w:hAnsi="宋体" w:cs="仿宋"/>
          <w:snapToGrid w:val="0"/>
          <w:kern w:val="0"/>
          <w:sz w:val="24"/>
          <w:highlight w:val="none"/>
          <w:lang w:val="en-US" w:eastAsia="zh-CN"/>
        </w:rPr>
        <w:t>3.售价：300.00元/份</w:t>
      </w:r>
    </w:p>
    <w:p w14:paraId="486CD04F">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en-US" w:eastAsia="zh-CN"/>
        </w:rPr>
      </w:pPr>
      <w:r>
        <w:rPr>
          <w:rFonts w:hint="eastAsia" w:ascii="宋体" w:hAnsi="宋体" w:cs="仿宋"/>
          <w:snapToGrid w:val="0"/>
          <w:kern w:val="0"/>
          <w:sz w:val="24"/>
          <w:highlight w:val="none"/>
          <w:lang w:val="en-US" w:eastAsia="zh-CN"/>
        </w:rPr>
        <w:t>4.开户信息：</w:t>
      </w:r>
    </w:p>
    <w:p w14:paraId="755403F7">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en-US" w:eastAsia="zh-CN"/>
        </w:rPr>
      </w:pPr>
      <w:r>
        <w:rPr>
          <w:rFonts w:hint="eastAsia" w:ascii="宋体" w:hAnsi="宋体" w:cs="仿宋"/>
          <w:snapToGrid w:val="0"/>
          <w:kern w:val="0"/>
          <w:sz w:val="24"/>
          <w:highlight w:val="none"/>
          <w:lang w:val="en-US" w:eastAsia="zh-CN"/>
        </w:rPr>
        <w:t>开户名称：海逸恒安项目管理有限公司青岛事业部；</w:t>
      </w:r>
    </w:p>
    <w:p w14:paraId="3975AF12">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en-US" w:eastAsia="zh-CN"/>
        </w:rPr>
      </w:pPr>
      <w:r>
        <w:rPr>
          <w:rFonts w:hint="eastAsia" w:ascii="宋体" w:hAnsi="宋体" w:cs="仿宋"/>
          <w:snapToGrid w:val="0"/>
          <w:kern w:val="0"/>
          <w:sz w:val="24"/>
          <w:highlight w:val="none"/>
          <w:lang w:val="en-US" w:eastAsia="zh-CN"/>
        </w:rPr>
        <w:t>开户银行：中信银行股份有限公司青岛崂山支行；</w:t>
      </w:r>
    </w:p>
    <w:p w14:paraId="38DB511D">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en-US" w:eastAsia="zh-CN"/>
        </w:rPr>
      </w:pPr>
      <w:r>
        <w:rPr>
          <w:rFonts w:hint="eastAsia" w:ascii="宋体" w:hAnsi="宋体" w:cs="仿宋"/>
          <w:snapToGrid w:val="0"/>
          <w:kern w:val="0"/>
          <w:sz w:val="24"/>
          <w:highlight w:val="none"/>
          <w:lang w:val="en-US" w:eastAsia="zh-CN"/>
        </w:rPr>
        <w:t>账号：8110601012601757923。</w:t>
      </w:r>
    </w:p>
    <w:p w14:paraId="5B563804">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en-US" w:eastAsia="zh-CN"/>
        </w:rPr>
      </w:pPr>
      <w:r>
        <w:rPr>
          <w:rFonts w:hint="eastAsia" w:ascii="宋体" w:hAnsi="宋体" w:cs="仿宋"/>
          <w:snapToGrid w:val="0"/>
          <w:kern w:val="0"/>
          <w:sz w:val="24"/>
          <w:highlight w:val="none"/>
          <w:lang w:val="en-US" w:eastAsia="zh-CN"/>
        </w:rPr>
        <w:t>注：本采购项目的变更、修改、澄清等内容均在“中国招标投标公共服务平台和山东大学齐鲁医院（青岛）网站”发布。相关内容一经在“中国招标投标公共服务平台和山东大学齐鲁医院（青岛）网站”发布，视作已发放给所有潜在响应人。各潜在响应人应随时关注并及时自行查阅网站信息，未按要求查阅者自行承担相应后果。</w:t>
      </w:r>
    </w:p>
    <w:p w14:paraId="01B24ECD">
      <w:pPr>
        <w:keepNext w:val="0"/>
        <w:keepLines w:val="0"/>
        <w:pageBreakBefore w:val="0"/>
        <w:kinsoku/>
        <w:wordWrap/>
        <w:overflowPunct w:val="0"/>
        <w:topLinePunct/>
        <w:bidi w:val="0"/>
        <w:spacing w:before="234" w:line="360" w:lineRule="auto"/>
        <w:ind w:left="484"/>
        <w:outlineLvl w:val="1"/>
        <w:rPr>
          <w:rFonts w:ascii="宋体" w:hAnsi="宋体" w:eastAsia="宋体" w:cs="宋体"/>
          <w:b/>
          <w:bCs/>
          <w:sz w:val="24"/>
          <w:szCs w:val="24"/>
          <w:highlight w:val="none"/>
        </w:rPr>
      </w:pPr>
      <w:r>
        <w:rPr>
          <w:rFonts w:hint="eastAsia" w:ascii="宋体" w:hAnsi="宋体" w:eastAsia="宋体" w:cs="宋体"/>
          <w:b/>
          <w:bCs/>
          <w:spacing w:val="-1"/>
          <w:sz w:val="24"/>
          <w:szCs w:val="24"/>
          <w:highlight w:val="none"/>
          <w:lang w:val="en-US" w:eastAsia="zh-CN"/>
        </w:rPr>
        <w:t>五</w:t>
      </w:r>
      <w:r>
        <w:rPr>
          <w:rFonts w:ascii="宋体" w:hAnsi="宋体" w:eastAsia="宋体" w:cs="宋体"/>
          <w:b/>
          <w:bCs/>
          <w:spacing w:val="-1"/>
          <w:sz w:val="24"/>
          <w:szCs w:val="24"/>
          <w:highlight w:val="none"/>
        </w:rPr>
        <w:t>、</w:t>
      </w:r>
      <w:r>
        <w:rPr>
          <w:rFonts w:hint="eastAsia" w:ascii="宋体" w:hAnsi="宋体" w:eastAsia="宋体" w:cs="宋体"/>
          <w:b/>
          <w:bCs/>
          <w:spacing w:val="-1"/>
          <w:sz w:val="24"/>
          <w:szCs w:val="24"/>
          <w:highlight w:val="none"/>
          <w:lang w:eastAsia="zh-CN"/>
        </w:rPr>
        <w:t>响应文件</w:t>
      </w:r>
      <w:r>
        <w:rPr>
          <w:rFonts w:ascii="宋体" w:hAnsi="宋体" w:eastAsia="宋体" w:cs="宋体"/>
          <w:b/>
          <w:bCs/>
          <w:spacing w:val="-1"/>
          <w:sz w:val="24"/>
          <w:szCs w:val="24"/>
          <w:highlight w:val="none"/>
        </w:rPr>
        <w:t>递交的时间、地点</w:t>
      </w:r>
      <w:bookmarkEnd w:id="10"/>
    </w:p>
    <w:p w14:paraId="6BED8952">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en-US" w:eastAsia="zh-CN"/>
        </w:rPr>
      </w:pPr>
      <w:r>
        <w:rPr>
          <w:rFonts w:hint="eastAsia" w:ascii="宋体" w:hAnsi="宋体" w:cs="仿宋"/>
          <w:snapToGrid w:val="0"/>
          <w:kern w:val="0"/>
          <w:sz w:val="24"/>
          <w:highlight w:val="none"/>
          <w:lang w:val="en-US" w:eastAsia="zh-CN"/>
        </w:rPr>
        <w:t>1.递交时间：2026年2月28日08：00-09：00（北京时间）。</w:t>
      </w:r>
    </w:p>
    <w:p w14:paraId="14EEB7C5">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en-US" w:eastAsia="zh-CN"/>
        </w:rPr>
      </w:pPr>
      <w:bookmarkStart w:id="11" w:name="_Toc13300"/>
      <w:r>
        <w:rPr>
          <w:rFonts w:hint="eastAsia" w:ascii="宋体" w:hAnsi="宋体" w:cs="仿宋"/>
          <w:snapToGrid w:val="0"/>
          <w:kern w:val="0"/>
          <w:sz w:val="24"/>
          <w:highlight w:val="none"/>
          <w:lang w:val="en-US" w:eastAsia="zh-CN"/>
        </w:rPr>
        <w:t>2.递交地点：山东省青岛市崂山区香岭路1号北大资源博雅3号楼22层2204会议室。</w:t>
      </w:r>
      <w:bookmarkEnd w:id="11"/>
    </w:p>
    <w:p w14:paraId="13DEA361">
      <w:pPr>
        <w:keepNext w:val="0"/>
        <w:keepLines w:val="0"/>
        <w:pageBreakBefore w:val="0"/>
        <w:kinsoku/>
        <w:wordWrap/>
        <w:overflowPunct w:val="0"/>
        <w:topLinePunct/>
        <w:bidi w:val="0"/>
        <w:spacing w:before="234" w:line="360" w:lineRule="auto"/>
        <w:ind w:left="484"/>
        <w:outlineLvl w:val="1"/>
        <w:rPr>
          <w:rFonts w:ascii="宋体" w:hAnsi="宋体" w:eastAsia="宋体" w:cs="宋体"/>
          <w:b/>
          <w:bCs/>
          <w:sz w:val="24"/>
          <w:szCs w:val="24"/>
          <w:highlight w:val="none"/>
        </w:rPr>
      </w:pPr>
      <w:bookmarkStart w:id="12" w:name="_Toc23244"/>
      <w:r>
        <w:rPr>
          <w:rFonts w:hint="eastAsia" w:ascii="宋体" w:hAnsi="宋体" w:eastAsia="宋体" w:cs="宋体"/>
          <w:b/>
          <w:bCs/>
          <w:spacing w:val="-1"/>
          <w:sz w:val="24"/>
          <w:szCs w:val="24"/>
          <w:highlight w:val="none"/>
          <w:lang w:val="en-US" w:eastAsia="zh-CN"/>
        </w:rPr>
        <w:t>六</w:t>
      </w:r>
      <w:r>
        <w:rPr>
          <w:rFonts w:ascii="宋体" w:hAnsi="宋体" w:eastAsia="宋体" w:cs="宋体"/>
          <w:b/>
          <w:bCs/>
          <w:spacing w:val="-1"/>
          <w:sz w:val="24"/>
          <w:szCs w:val="24"/>
          <w:highlight w:val="none"/>
        </w:rPr>
        <w:t>、</w:t>
      </w:r>
      <w:r>
        <w:rPr>
          <w:rFonts w:hint="eastAsia" w:ascii="宋体" w:hAnsi="宋体" w:eastAsia="宋体" w:cs="宋体"/>
          <w:b/>
          <w:bCs/>
          <w:spacing w:val="-1"/>
          <w:sz w:val="24"/>
          <w:szCs w:val="24"/>
          <w:highlight w:val="none"/>
          <w:lang w:val="en-US" w:eastAsia="zh-CN"/>
        </w:rPr>
        <w:t>遴选</w:t>
      </w:r>
      <w:r>
        <w:rPr>
          <w:rFonts w:ascii="宋体" w:hAnsi="宋体" w:eastAsia="宋体" w:cs="宋体"/>
          <w:b/>
          <w:bCs/>
          <w:spacing w:val="-1"/>
          <w:sz w:val="24"/>
          <w:szCs w:val="24"/>
          <w:highlight w:val="none"/>
        </w:rPr>
        <w:t>的时间、地点</w:t>
      </w:r>
      <w:bookmarkEnd w:id="12"/>
    </w:p>
    <w:p w14:paraId="36D952B1">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en-US" w:eastAsia="zh-CN"/>
        </w:rPr>
      </w:pPr>
      <w:r>
        <w:rPr>
          <w:rFonts w:hint="eastAsia" w:ascii="宋体" w:hAnsi="宋体" w:cs="仿宋"/>
          <w:snapToGrid w:val="0"/>
          <w:kern w:val="0"/>
          <w:sz w:val="24"/>
          <w:highlight w:val="none"/>
          <w:lang w:val="en-US" w:eastAsia="zh-CN"/>
        </w:rPr>
        <w:t>1</w:t>
      </w:r>
      <w:r>
        <w:rPr>
          <w:rFonts w:hint="eastAsia" w:ascii="宋体" w:hAnsi="宋体" w:cs="仿宋"/>
          <w:snapToGrid w:val="0"/>
          <w:kern w:val="0"/>
          <w:sz w:val="24"/>
          <w:highlight w:val="none"/>
          <w:lang w:val="zh-CN"/>
        </w:rPr>
        <w:t>.遴选时间：</w:t>
      </w:r>
      <w:r>
        <w:rPr>
          <w:rFonts w:hint="eastAsia" w:ascii="宋体" w:hAnsi="宋体" w:cs="仿宋"/>
          <w:snapToGrid w:val="0"/>
          <w:kern w:val="0"/>
          <w:sz w:val="24"/>
          <w:highlight w:val="none"/>
          <w:lang w:val="en-US" w:eastAsia="zh-CN"/>
        </w:rPr>
        <w:t>2026年2月28日09：00（北京时间）</w:t>
      </w:r>
    </w:p>
    <w:p w14:paraId="61F5FACF">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bookmarkStart w:id="13" w:name="_Toc29749"/>
      <w:r>
        <w:rPr>
          <w:rFonts w:hint="eastAsia" w:ascii="宋体" w:hAnsi="宋体" w:cs="仿宋"/>
          <w:snapToGrid w:val="0"/>
          <w:kern w:val="0"/>
          <w:sz w:val="24"/>
          <w:highlight w:val="none"/>
          <w:lang w:val="en-US" w:eastAsia="zh-CN"/>
        </w:rPr>
        <w:t>2.</w:t>
      </w:r>
      <w:r>
        <w:rPr>
          <w:rFonts w:hint="eastAsia" w:ascii="宋体" w:hAnsi="宋体" w:cs="仿宋"/>
          <w:snapToGrid w:val="0"/>
          <w:kern w:val="0"/>
          <w:sz w:val="24"/>
          <w:highlight w:val="none"/>
          <w:lang w:val="zh-CN"/>
        </w:rPr>
        <w:t>遴选地点：山东省青岛市崂山区香岭路1号北大资源博雅3号楼22层2204会议室。</w:t>
      </w:r>
      <w:bookmarkEnd w:id="13"/>
    </w:p>
    <w:p w14:paraId="0F9E9C92">
      <w:pPr>
        <w:keepNext w:val="0"/>
        <w:keepLines w:val="0"/>
        <w:pageBreakBefore w:val="0"/>
        <w:kinsoku/>
        <w:wordWrap/>
        <w:overflowPunct w:val="0"/>
        <w:topLinePunct/>
        <w:bidi w:val="0"/>
        <w:adjustRightInd w:val="0"/>
        <w:snapToGrid w:val="0"/>
        <w:spacing w:line="360" w:lineRule="auto"/>
        <w:ind w:firstLine="482" w:firstLineChars="200"/>
        <w:jc w:val="left"/>
        <w:rPr>
          <w:rFonts w:hint="eastAsia" w:ascii="宋体" w:hAnsi="宋体" w:cs="仿宋"/>
          <w:snapToGrid w:val="0"/>
          <w:kern w:val="0"/>
          <w:sz w:val="24"/>
          <w:highlight w:val="none"/>
          <w:lang w:val="zh-CN"/>
        </w:rPr>
      </w:pPr>
      <w:r>
        <w:rPr>
          <w:rFonts w:hint="eastAsia" w:ascii="宋体" w:hAnsi="宋体" w:eastAsia="宋体" w:cs="仿宋"/>
          <w:b/>
          <w:bCs/>
          <w:snapToGrid w:val="0"/>
          <w:kern w:val="0"/>
          <w:sz w:val="24"/>
          <w:highlight w:val="none"/>
          <w:lang w:val="en-US" w:eastAsia="zh-CN"/>
        </w:rPr>
        <w:t>七、</w:t>
      </w:r>
      <w:r>
        <w:rPr>
          <w:rFonts w:hint="eastAsia" w:ascii="宋体" w:hAnsi="宋体" w:eastAsia="宋体" w:cs="仿宋"/>
          <w:b/>
          <w:bCs/>
          <w:snapToGrid w:val="0"/>
          <w:kern w:val="0"/>
          <w:sz w:val="24"/>
          <w:highlight w:val="none"/>
          <w:lang w:val="zh-CN" w:eastAsia="zh-CN"/>
        </w:rPr>
        <w:t>遴选公告发布</w:t>
      </w:r>
      <w:r>
        <w:rPr>
          <w:rFonts w:hint="eastAsia" w:ascii="宋体" w:hAnsi="宋体" w:cs="仿宋"/>
          <w:snapToGrid w:val="0"/>
          <w:kern w:val="0"/>
          <w:sz w:val="24"/>
          <w:highlight w:val="none"/>
          <w:lang w:val="zh-CN"/>
        </w:rPr>
        <w:t>：</w:t>
      </w:r>
      <w:r>
        <w:rPr>
          <w:rFonts w:hint="eastAsia" w:ascii="宋体" w:hAnsi="宋体" w:eastAsia="宋体" w:cs="仿宋"/>
          <w:snapToGrid w:val="0"/>
          <w:kern w:val="0"/>
          <w:sz w:val="24"/>
          <w:highlight w:val="none"/>
          <w:lang w:val="en-US" w:eastAsia="zh-CN"/>
        </w:rPr>
        <w:t>本遴选公告</w:t>
      </w:r>
      <w:r>
        <w:rPr>
          <w:rFonts w:hint="eastAsia" w:ascii="宋体" w:hAnsi="宋体" w:cs="仿宋"/>
          <w:snapToGrid w:val="0"/>
          <w:kern w:val="0"/>
          <w:sz w:val="24"/>
          <w:highlight w:val="none"/>
          <w:lang w:val="en-US" w:eastAsia="zh-CN"/>
        </w:rPr>
        <w:t>在“中国招标投标公共服务平台和山东大学齐鲁医院（青岛）网站”</w:t>
      </w:r>
      <w:r>
        <w:rPr>
          <w:rFonts w:hint="eastAsia" w:ascii="宋体" w:hAnsi="宋体" w:eastAsia="宋体" w:cs="仿宋"/>
          <w:snapToGrid w:val="0"/>
          <w:kern w:val="0"/>
          <w:sz w:val="24"/>
          <w:highlight w:val="none"/>
          <w:lang w:val="en-US" w:eastAsia="zh-CN"/>
        </w:rPr>
        <w:t>同时发布</w:t>
      </w:r>
      <w:r>
        <w:rPr>
          <w:rFonts w:hint="eastAsia" w:ascii="宋体" w:hAnsi="宋体" w:cs="仿宋"/>
          <w:snapToGrid w:val="0"/>
          <w:kern w:val="0"/>
          <w:sz w:val="24"/>
          <w:highlight w:val="none"/>
          <w:lang w:val="zh-CN"/>
        </w:rPr>
        <w:t>。</w:t>
      </w:r>
    </w:p>
    <w:p w14:paraId="23D1571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2" w:firstLineChars="200"/>
        <w:textAlignment w:val="baseline"/>
        <w:outlineLvl w:val="1"/>
        <w:rPr>
          <w:rFonts w:hint="default" w:ascii="宋体" w:hAnsi="宋体" w:eastAsia="宋体" w:cs="宋体"/>
          <w:b/>
          <w:bCs/>
          <w:i w:val="0"/>
          <w:iCs w:val="0"/>
          <w:caps w:val="0"/>
          <w:color w:val="auto"/>
          <w:spacing w:val="0"/>
          <w:sz w:val="24"/>
          <w:szCs w:val="24"/>
          <w:highlight w:val="none"/>
          <w:shd w:val="clear" w:color="auto" w:fill="FFFFFF"/>
          <w:vertAlign w:val="baseline"/>
          <w:lang w:val="en-US" w:eastAsia="zh-CN"/>
        </w:rPr>
      </w:pPr>
      <w:bookmarkStart w:id="14" w:name="_Toc539"/>
      <w:r>
        <w:rPr>
          <w:rFonts w:hint="eastAsia" w:ascii="宋体" w:hAnsi="宋体" w:eastAsia="宋体" w:cs="宋体"/>
          <w:b/>
          <w:bCs/>
          <w:i w:val="0"/>
          <w:iCs w:val="0"/>
          <w:caps w:val="0"/>
          <w:color w:val="auto"/>
          <w:spacing w:val="0"/>
          <w:sz w:val="24"/>
          <w:szCs w:val="24"/>
          <w:highlight w:val="none"/>
          <w:shd w:val="clear" w:color="auto" w:fill="FFFFFF"/>
          <w:vertAlign w:val="baseline"/>
          <w:lang w:val="en-US" w:eastAsia="zh-CN"/>
        </w:rPr>
        <w:t>八、联系方式</w:t>
      </w:r>
      <w:bookmarkEnd w:id="14"/>
    </w:p>
    <w:p w14:paraId="7F0315E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eastAsia="zh-CN"/>
        </w:rPr>
      </w:pPr>
      <w:bookmarkStart w:id="15" w:name="_Toc32316"/>
      <w:r>
        <w:rPr>
          <w:rFonts w:hint="eastAsia" w:ascii="宋体" w:hAnsi="宋体" w:eastAsia="宋体" w:cs="宋体"/>
          <w:i w:val="0"/>
          <w:iCs w:val="0"/>
          <w:caps w:val="0"/>
          <w:color w:val="auto"/>
          <w:spacing w:val="0"/>
          <w:sz w:val="24"/>
          <w:szCs w:val="24"/>
          <w:highlight w:val="none"/>
          <w:shd w:val="clear" w:color="auto" w:fill="FFFFFF"/>
          <w:vertAlign w:val="baseline"/>
        </w:rPr>
        <w:t>1.</w:t>
      </w:r>
      <w:bookmarkEnd w:id="15"/>
      <w:r>
        <w:rPr>
          <w:rFonts w:hint="eastAsia" w:ascii="宋体" w:hAnsi="宋体" w:eastAsia="宋体" w:cs="宋体"/>
          <w:i w:val="0"/>
          <w:iCs w:val="0"/>
          <w:caps w:val="0"/>
          <w:color w:val="auto"/>
          <w:spacing w:val="0"/>
          <w:sz w:val="24"/>
          <w:szCs w:val="24"/>
          <w:highlight w:val="none"/>
          <w:shd w:val="clear" w:color="auto" w:fill="FFFFFF"/>
          <w:vertAlign w:val="baseline"/>
          <w:lang w:eastAsia="zh-CN"/>
        </w:rPr>
        <w:t>遴选人</w:t>
      </w:r>
    </w:p>
    <w:p w14:paraId="080A5CB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名称：山东大学齐鲁医院</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青岛</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w:t>
      </w:r>
    </w:p>
    <w:p w14:paraId="58AA21E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地址：青岛市合肥路758号</w:t>
      </w:r>
    </w:p>
    <w:p w14:paraId="516430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pPr>
      <w:bookmarkStart w:id="16" w:name="_Toc15314"/>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联系人：王老师、姜老师</w:t>
      </w:r>
    </w:p>
    <w:p w14:paraId="522610F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联系方式：0532-66852882</w:t>
      </w:r>
      <w:r>
        <w:rPr>
          <w:rFonts w:hint="eastAsia" w:eastAsia="宋体" w:cs="宋体"/>
          <w:i w:val="0"/>
          <w:iCs w:val="0"/>
          <w:caps w:val="0"/>
          <w:color w:val="auto"/>
          <w:spacing w:val="0"/>
          <w:sz w:val="24"/>
          <w:szCs w:val="24"/>
          <w:highlight w:val="non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0532-66852884</w:t>
      </w:r>
    </w:p>
    <w:p w14:paraId="48AB63A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2.</w:t>
      </w:r>
      <w:r>
        <w:rPr>
          <w:rFonts w:hint="eastAsia" w:ascii="宋体" w:hAnsi="宋体" w:eastAsia="宋体" w:cs="宋体"/>
          <w:i w:val="0"/>
          <w:iCs w:val="0"/>
          <w:caps w:val="0"/>
          <w:color w:val="auto"/>
          <w:spacing w:val="0"/>
          <w:sz w:val="24"/>
          <w:szCs w:val="24"/>
          <w:highlight w:val="none"/>
          <w:shd w:val="clear" w:color="auto" w:fill="FFFFFF"/>
          <w:vertAlign w:val="baseline"/>
        </w:rPr>
        <w:t>采购代理机构</w:t>
      </w:r>
      <w:bookmarkEnd w:id="16"/>
    </w:p>
    <w:p w14:paraId="41F6036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名称：海逸恒安项目管理有限公司</w:t>
      </w:r>
    </w:p>
    <w:p w14:paraId="48D330A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地址：青岛市崂山区香岭路1号北大资源博雅3号楼22层2203室</w:t>
      </w:r>
    </w:p>
    <w:p w14:paraId="00828D4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default" w:ascii="宋体" w:hAnsi="宋体" w:eastAsia="宋体" w:cs="宋体"/>
          <w:i w:val="0"/>
          <w:iCs w:val="0"/>
          <w:caps w:val="0"/>
          <w:color w:val="auto"/>
          <w:spacing w:val="0"/>
          <w:sz w:val="24"/>
          <w:szCs w:val="24"/>
          <w:highlight w:val="none"/>
          <w:shd w:val="clear" w:color="auto"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color="auto" w:fill="FFFFFF"/>
          <w:vertAlign w:val="baseline"/>
        </w:rPr>
        <w:t>联系人：逄昊晟</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曹丽娜</w:t>
      </w:r>
    </w:p>
    <w:p w14:paraId="7CEEB3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联系方式：0532-85761207</w:t>
      </w:r>
    </w:p>
    <w:p w14:paraId="1A5DFAA2">
      <w:pPr>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br w:type="page"/>
      </w:r>
    </w:p>
    <w:p w14:paraId="7AFC836A">
      <w:pPr>
        <w:keepNext w:val="0"/>
        <w:keepLines w:val="0"/>
        <w:pageBreakBefore w:val="0"/>
        <w:kinsoku/>
        <w:wordWrap/>
        <w:overflowPunct w:val="0"/>
        <w:topLinePunct/>
        <w:bidi w:val="0"/>
        <w:spacing w:before="88" w:line="360" w:lineRule="auto"/>
        <w:ind w:left="2112"/>
        <w:outlineLvl w:val="0"/>
        <w:rPr>
          <w:rFonts w:ascii="宋体" w:hAnsi="宋体" w:eastAsia="宋体" w:cs="宋体"/>
          <w:sz w:val="43"/>
          <w:szCs w:val="43"/>
          <w:highlight w:val="none"/>
        </w:rPr>
      </w:pPr>
      <w:bookmarkStart w:id="17" w:name="bookmark3"/>
      <w:bookmarkEnd w:id="17"/>
      <w:bookmarkStart w:id="18" w:name="_Toc17105"/>
      <w:r>
        <w:rPr>
          <w:rFonts w:ascii="宋体" w:hAnsi="宋体" w:eastAsia="宋体" w:cs="宋体"/>
          <w:b/>
          <w:bCs/>
          <w:spacing w:val="5"/>
          <w:sz w:val="43"/>
          <w:szCs w:val="43"/>
          <w:highlight w:val="none"/>
        </w:rPr>
        <w:t>第二部分</w:t>
      </w:r>
      <w:r>
        <w:rPr>
          <w:rFonts w:ascii="宋体" w:hAnsi="宋体" w:eastAsia="宋体" w:cs="宋体"/>
          <w:spacing w:val="5"/>
          <w:sz w:val="43"/>
          <w:szCs w:val="43"/>
          <w:highlight w:val="none"/>
        </w:rPr>
        <w:t xml:space="preserve"> </w:t>
      </w:r>
      <w:r>
        <w:rPr>
          <w:rFonts w:hint="eastAsia" w:ascii="宋体" w:hAnsi="宋体" w:eastAsia="宋体" w:cs="宋体"/>
          <w:b/>
          <w:bCs/>
          <w:spacing w:val="5"/>
          <w:sz w:val="43"/>
          <w:szCs w:val="43"/>
          <w:highlight w:val="none"/>
          <w:lang w:eastAsia="zh-CN"/>
        </w:rPr>
        <w:t>响应人</w:t>
      </w:r>
      <w:r>
        <w:rPr>
          <w:rFonts w:ascii="宋体" w:hAnsi="宋体" w:eastAsia="宋体" w:cs="宋体"/>
          <w:b/>
          <w:bCs/>
          <w:spacing w:val="5"/>
          <w:sz w:val="43"/>
          <w:szCs w:val="43"/>
          <w:highlight w:val="none"/>
        </w:rPr>
        <w:t>须知</w:t>
      </w:r>
      <w:bookmarkEnd w:id="18"/>
    </w:p>
    <w:p w14:paraId="3F413162">
      <w:pPr>
        <w:keepNext w:val="0"/>
        <w:keepLines w:val="0"/>
        <w:pageBreakBefore w:val="0"/>
        <w:kinsoku/>
        <w:wordWrap/>
        <w:overflowPunct w:val="0"/>
        <w:topLinePunct/>
        <w:bidi w:val="0"/>
        <w:spacing w:before="297" w:line="360" w:lineRule="auto"/>
        <w:ind w:left="287"/>
        <w:outlineLvl w:val="1"/>
        <w:rPr>
          <w:rFonts w:ascii="宋体" w:hAnsi="宋体" w:eastAsia="宋体" w:cs="宋体"/>
          <w:sz w:val="28"/>
          <w:szCs w:val="28"/>
          <w:highlight w:val="none"/>
        </w:rPr>
      </w:pPr>
      <w:bookmarkStart w:id="19" w:name="bookmark5"/>
      <w:bookmarkEnd w:id="19"/>
      <w:bookmarkStart w:id="20" w:name="_Toc11644"/>
      <w:r>
        <w:rPr>
          <w:rFonts w:ascii="宋体" w:hAnsi="宋体" w:eastAsia="宋体" w:cs="宋体"/>
          <w:b/>
          <w:bCs/>
          <w:spacing w:val="-6"/>
          <w:sz w:val="28"/>
          <w:szCs w:val="28"/>
          <w:highlight w:val="none"/>
        </w:rPr>
        <w:t>一、总则</w:t>
      </w:r>
      <w:bookmarkEnd w:id="20"/>
    </w:p>
    <w:p w14:paraId="3834BF6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本遴选文件仅适用于本次遴选公告中所叙述的项目。</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应仔细阅读本遴选文件的所有内容（包括答疑、补充、澄清以及修改等），按照遴选文件要求以及格式编制</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，并保证其真实性，否则一切后果自负。</w:t>
      </w:r>
    </w:p>
    <w:p w14:paraId="1D6EE49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本次遴选方式为公开遴选，指遴选人以遴选公告的方式邀请不特定的潜在</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参加遴选，按照本遴选文件的评选办法确定</w:t>
      </w:r>
      <w:r>
        <w:rPr>
          <w:rFonts w:hint="eastAsia" w:eastAsia="宋体" w:cs="宋体"/>
          <w:i w:val="0"/>
          <w:iCs w:val="0"/>
          <w:caps w:val="0"/>
          <w:color w:val="auto"/>
          <w:spacing w:val="0"/>
          <w:sz w:val="24"/>
          <w:szCs w:val="24"/>
          <w:highlight w:val="none"/>
          <w:shd w:val="clear" w:color="auto" w:fill="FFFFFF"/>
          <w:vertAlign w:val="baseline"/>
          <w:lang w:val="en-US" w:eastAsia="zh-CN"/>
        </w:rPr>
        <w:t>入选人</w:t>
      </w:r>
      <w:r>
        <w:rPr>
          <w:rFonts w:hint="eastAsia" w:ascii="宋体" w:hAnsi="宋体" w:eastAsia="宋体" w:cs="宋体"/>
          <w:i w:val="0"/>
          <w:iCs w:val="0"/>
          <w:caps w:val="0"/>
          <w:color w:val="auto"/>
          <w:spacing w:val="0"/>
          <w:sz w:val="24"/>
          <w:szCs w:val="24"/>
          <w:highlight w:val="none"/>
          <w:shd w:val="clear" w:color="auto" w:fill="FFFFFF"/>
          <w:vertAlign w:val="baseline"/>
        </w:rPr>
        <w:t>的遴选方式。</w:t>
      </w:r>
    </w:p>
    <w:p w14:paraId="05487EA5">
      <w:pPr>
        <w:keepNext w:val="0"/>
        <w:keepLines w:val="0"/>
        <w:pageBreakBefore w:val="0"/>
        <w:kinsoku/>
        <w:wordWrap/>
        <w:overflowPunct w:val="0"/>
        <w:topLinePunct/>
        <w:bidi w:val="0"/>
        <w:spacing w:before="123" w:line="360" w:lineRule="auto"/>
        <w:ind w:left="287"/>
        <w:outlineLvl w:val="1"/>
        <w:rPr>
          <w:rFonts w:ascii="宋体" w:hAnsi="宋体" w:eastAsia="宋体" w:cs="宋体"/>
          <w:sz w:val="28"/>
          <w:szCs w:val="28"/>
          <w:highlight w:val="none"/>
        </w:rPr>
      </w:pPr>
      <w:bookmarkStart w:id="21" w:name="bookmark7"/>
      <w:bookmarkEnd w:id="21"/>
      <w:bookmarkStart w:id="22" w:name="_Toc29111"/>
      <w:r>
        <w:rPr>
          <w:rFonts w:ascii="宋体" w:hAnsi="宋体" w:eastAsia="宋体" w:cs="宋体"/>
          <w:b/>
          <w:bCs/>
          <w:spacing w:val="-6"/>
          <w:sz w:val="28"/>
          <w:szCs w:val="28"/>
          <w:highlight w:val="none"/>
        </w:rPr>
        <w:t>二、前附表</w:t>
      </w:r>
      <w:bookmarkEnd w:id="22"/>
    </w:p>
    <w:p w14:paraId="4F6C14E6">
      <w:pPr>
        <w:keepNext w:val="0"/>
        <w:keepLines w:val="0"/>
        <w:pageBreakBefore w:val="0"/>
        <w:kinsoku/>
        <w:wordWrap/>
        <w:overflowPunct w:val="0"/>
        <w:topLinePunct/>
        <w:bidi w:val="0"/>
        <w:spacing w:line="360" w:lineRule="auto"/>
        <w:rPr>
          <w:highlight w:val="none"/>
        </w:rPr>
      </w:pPr>
    </w:p>
    <w:tbl>
      <w:tblPr>
        <w:tblStyle w:val="11"/>
        <w:tblW w:w="89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8"/>
        <w:gridCol w:w="1700"/>
        <w:gridCol w:w="6514"/>
      </w:tblGrid>
      <w:tr w14:paraId="25C03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708" w:type="dxa"/>
            <w:vAlign w:val="center"/>
          </w:tcPr>
          <w:p w14:paraId="5AE9CF20">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b/>
                <w:bCs/>
                <w:snapToGrid/>
                <w:kern w:val="2"/>
                <w:sz w:val="24"/>
                <w:szCs w:val="24"/>
                <w:highlight w:val="none"/>
                <w:lang w:eastAsia="zh-CN"/>
              </w:rPr>
            </w:pPr>
            <w:r>
              <w:rPr>
                <w:rFonts w:hint="eastAsia" w:ascii="宋体" w:hAnsi="宋体" w:eastAsia="宋体" w:cs="宋体"/>
                <w:b/>
                <w:bCs/>
                <w:snapToGrid/>
                <w:kern w:val="2"/>
                <w:sz w:val="24"/>
                <w:szCs w:val="24"/>
                <w:highlight w:val="none"/>
                <w:lang w:eastAsia="zh-CN"/>
              </w:rPr>
              <w:t>序号</w:t>
            </w:r>
          </w:p>
        </w:tc>
        <w:tc>
          <w:tcPr>
            <w:tcW w:w="1700" w:type="dxa"/>
            <w:vAlign w:val="center"/>
          </w:tcPr>
          <w:p w14:paraId="1BE629A8">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b/>
                <w:bCs/>
                <w:snapToGrid/>
                <w:kern w:val="2"/>
                <w:sz w:val="24"/>
                <w:szCs w:val="24"/>
                <w:highlight w:val="none"/>
                <w:lang w:eastAsia="zh-CN"/>
              </w:rPr>
            </w:pPr>
            <w:r>
              <w:rPr>
                <w:rFonts w:hint="eastAsia" w:ascii="宋体" w:hAnsi="宋体" w:eastAsia="宋体" w:cs="宋体"/>
                <w:b/>
                <w:bCs/>
                <w:snapToGrid/>
                <w:kern w:val="2"/>
                <w:sz w:val="24"/>
                <w:szCs w:val="24"/>
                <w:highlight w:val="none"/>
                <w:lang w:eastAsia="zh-CN"/>
              </w:rPr>
              <w:t>项目</w:t>
            </w:r>
          </w:p>
        </w:tc>
        <w:tc>
          <w:tcPr>
            <w:tcW w:w="6514" w:type="dxa"/>
            <w:vAlign w:val="center"/>
          </w:tcPr>
          <w:p w14:paraId="28C2258C">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b/>
                <w:bCs/>
                <w:snapToGrid/>
                <w:kern w:val="2"/>
                <w:sz w:val="24"/>
                <w:szCs w:val="24"/>
                <w:highlight w:val="none"/>
                <w:lang w:eastAsia="zh-CN"/>
              </w:rPr>
            </w:pPr>
            <w:r>
              <w:rPr>
                <w:rFonts w:hint="eastAsia" w:ascii="宋体" w:hAnsi="宋体" w:eastAsia="宋体" w:cs="宋体"/>
                <w:b/>
                <w:bCs/>
                <w:snapToGrid/>
                <w:kern w:val="2"/>
                <w:sz w:val="24"/>
                <w:szCs w:val="24"/>
                <w:highlight w:val="none"/>
                <w:lang w:eastAsia="zh-CN"/>
              </w:rPr>
              <w:t>内容</w:t>
            </w:r>
          </w:p>
        </w:tc>
      </w:tr>
      <w:tr w14:paraId="6E5C4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08" w:type="dxa"/>
            <w:vAlign w:val="center"/>
          </w:tcPr>
          <w:p w14:paraId="78F1A5C5">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1</w:t>
            </w:r>
          </w:p>
        </w:tc>
        <w:tc>
          <w:tcPr>
            <w:tcW w:w="1700" w:type="dxa"/>
            <w:vAlign w:val="center"/>
          </w:tcPr>
          <w:p w14:paraId="7491C4A4">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遴选人</w:t>
            </w:r>
          </w:p>
        </w:tc>
        <w:tc>
          <w:tcPr>
            <w:tcW w:w="6514" w:type="dxa"/>
            <w:vAlign w:val="top"/>
          </w:tcPr>
          <w:p w14:paraId="08A25378">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en-US" w:eastAsia="zh-CN"/>
              </w:rPr>
            </w:pPr>
            <w:r>
              <w:rPr>
                <w:rFonts w:hint="eastAsia" w:ascii="宋体" w:hAnsi="宋体" w:eastAsia="宋体" w:cs="宋体"/>
                <w:snapToGrid/>
                <w:kern w:val="2"/>
                <w:sz w:val="24"/>
                <w:szCs w:val="24"/>
                <w:highlight w:val="none"/>
                <w:lang w:eastAsia="zh-CN"/>
              </w:rPr>
              <w:t>名称：山东大学齐鲁医院（青岛）</w:t>
            </w:r>
          </w:p>
          <w:p w14:paraId="36173F2A">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地址：青岛市市北区合肥路758号</w:t>
            </w:r>
          </w:p>
          <w:p w14:paraId="037E7F9A">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联系人：王老师、</w:t>
            </w:r>
            <w:r>
              <w:rPr>
                <w:rFonts w:hint="eastAsia" w:ascii="宋体" w:hAnsi="宋体" w:eastAsia="宋体" w:cs="宋体"/>
                <w:snapToGrid/>
                <w:kern w:val="2"/>
                <w:sz w:val="24"/>
                <w:szCs w:val="24"/>
                <w:highlight w:val="none"/>
                <w:lang w:val="en-US" w:eastAsia="zh-CN"/>
              </w:rPr>
              <w:t>姜</w:t>
            </w:r>
            <w:r>
              <w:rPr>
                <w:rFonts w:hint="eastAsia" w:ascii="宋体" w:hAnsi="宋体" w:eastAsia="宋体" w:cs="宋体"/>
                <w:snapToGrid/>
                <w:kern w:val="2"/>
                <w:sz w:val="24"/>
                <w:szCs w:val="24"/>
                <w:highlight w:val="none"/>
                <w:lang w:eastAsia="zh-CN"/>
              </w:rPr>
              <w:t>老师</w:t>
            </w:r>
          </w:p>
          <w:p w14:paraId="5B6A88E9">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联系方式：0532-6685</w:t>
            </w:r>
            <w:r>
              <w:rPr>
                <w:rFonts w:hint="eastAsia" w:ascii="宋体" w:hAnsi="宋体" w:eastAsia="宋体" w:cs="宋体"/>
                <w:snapToGrid/>
                <w:kern w:val="2"/>
                <w:sz w:val="24"/>
                <w:szCs w:val="24"/>
                <w:highlight w:val="none"/>
                <w:lang w:val="en-US" w:eastAsia="zh-CN"/>
              </w:rPr>
              <w:t>2882、</w:t>
            </w:r>
            <w:r>
              <w:rPr>
                <w:rFonts w:hint="eastAsia" w:ascii="宋体" w:hAnsi="宋体" w:eastAsia="宋体" w:cs="宋体"/>
                <w:snapToGrid/>
                <w:kern w:val="2"/>
                <w:sz w:val="24"/>
                <w:szCs w:val="24"/>
                <w:highlight w:val="none"/>
                <w:lang w:eastAsia="zh-CN"/>
              </w:rPr>
              <w:t>0532-6685</w:t>
            </w:r>
            <w:r>
              <w:rPr>
                <w:rFonts w:hint="eastAsia" w:ascii="宋体" w:hAnsi="宋体" w:eastAsia="宋体" w:cs="宋体"/>
                <w:snapToGrid/>
                <w:kern w:val="2"/>
                <w:sz w:val="24"/>
                <w:szCs w:val="24"/>
                <w:highlight w:val="none"/>
                <w:lang w:val="en-US" w:eastAsia="zh-CN"/>
              </w:rPr>
              <w:t>2884</w:t>
            </w:r>
          </w:p>
        </w:tc>
      </w:tr>
      <w:tr w14:paraId="7FB96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08" w:type="dxa"/>
            <w:shd w:val="clear" w:color="auto" w:fill="auto"/>
            <w:vAlign w:val="center"/>
          </w:tcPr>
          <w:p w14:paraId="5877F3A5">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en-US"/>
              </w:rPr>
            </w:pPr>
            <w:r>
              <w:rPr>
                <w:rFonts w:hint="eastAsia" w:ascii="宋体" w:hAnsi="宋体" w:eastAsia="宋体" w:cs="宋体"/>
                <w:snapToGrid/>
                <w:kern w:val="2"/>
                <w:sz w:val="24"/>
                <w:szCs w:val="24"/>
                <w:highlight w:val="none"/>
                <w:lang w:eastAsia="zh-CN"/>
              </w:rPr>
              <w:t>2</w:t>
            </w:r>
          </w:p>
        </w:tc>
        <w:tc>
          <w:tcPr>
            <w:tcW w:w="1700" w:type="dxa"/>
            <w:vAlign w:val="center"/>
          </w:tcPr>
          <w:p w14:paraId="2BE28275">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zh-CN"/>
              </w:rPr>
            </w:pPr>
            <w:r>
              <w:rPr>
                <w:rFonts w:hint="eastAsia" w:ascii="宋体" w:hAnsi="宋体" w:eastAsia="宋体" w:cs="宋体"/>
                <w:snapToGrid/>
                <w:kern w:val="2"/>
                <w:sz w:val="24"/>
                <w:szCs w:val="24"/>
                <w:highlight w:val="none"/>
                <w:lang w:val="en-US" w:eastAsia="zh-CN"/>
              </w:rPr>
              <w:t>采购代理机构</w:t>
            </w:r>
          </w:p>
        </w:tc>
        <w:tc>
          <w:tcPr>
            <w:tcW w:w="6514" w:type="dxa"/>
            <w:vAlign w:val="top"/>
          </w:tcPr>
          <w:p w14:paraId="657FBEF9">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名称：海逸恒安项目管理有限公司</w:t>
            </w:r>
          </w:p>
          <w:p w14:paraId="56275F61">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地址：青岛市崂山区香岭路1号北大资源博雅3号楼22层2203室</w:t>
            </w:r>
          </w:p>
          <w:p w14:paraId="5ADA4BD5">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en-US" w:eastAsia="zh-CN"/>
              </w:rPr>
            </w:pPr>
            <w:r>
              <w:rPr>
                <w:rFonts w:hint="eastAsia" w:ascii="宋体" w:hAnsi="宋体" w:eastAsia="宋体" w:cs="宋体"/>
                <w:snapToGrid/>
                <w:kern w:val="2"/>
                <w:sz w:val="24"/>
                <w:szCs w:val="24"/>
                <w:highlight w:val="none"/>
                <w:lang w:eastAsia="zh-CN"/>
              </w:rPr>
              <w:t>联系人：逄昊晟、</w:t>
            </w:r>
            <w:r>
              <w:rPr>
                <w:rFonts w:hint="eastAsia" w:ascii="宋体" w:hAnsi="宋体" w:eastAsia="宋体" w:cs="宋体"/>
                <w:snapToGrid/>
                <w:kern w:val="2"/>
                <w:sz w:val="24"/>
                <w:szCs w:val="24"/>
                <w:highlight w:val="none"/>
                <w:lang w:val="en-US" w:eastAsia="zh-CN"/>
              </w:rPr>
              <w:t>曹丽娜</w:t>
            </w:r>
          </w:p>
          <w:p w14:paraId="4B98C638">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联系方式：0532-85761207</w:t>
            </w:r>
          </w:p>
        </w:tc>
      </w:tr>
      <w:tr w14:paraId="70A0F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08" w:type="dxa"/>
            <w:shd w:val="clear" w:color="auto" w:fill="auto"/>
            <w:vAlign w:val="center"/>
          </w:tcPr>
          <w:p w14:paraId="2F106527">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en-US"/>
              </w:rPr>
            </w:pPr>
            <w:r>
              <w:rPr>
                <w:rFonts w:hint="eastAsia" w:ascii="宋体" w:hAnsi="宋体" w:eastAsia="宋体" w:cs="宋体"/>
                <w:snapToGrid/>
                <w:kern w:val="2"/>
                <w:sz w:val="24"/>
                <w:szCs w:val="24"/>
                <w:highlight w:val="none"/>
                <w:lang w:eastAsia="zh-CN"/>
              </w:rPr>
              <w:t>3</w:t>
            </w:r>
          </w:p>
        </w:tc>
        <w:tc>
          <w:tcPr>
            <w:tcW w:w="1700" w:type="dxa"/>
            <w:vAlign w:val="center"/>
          </w:tcPr>
          <w:p w14:paraId="7C8F7617">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项目名称</w:t>
            </w:r>
          </w:p>
        </w:tc>
        <w:tc>
          <w:tcPr>
            <w:tcW w:w="6514" w:type="dxa"/>
            <w:vAlign w:val="center"/>
          </w:tcPr>
          <w:p w14:paraId="5B652F9B">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val="zh-CN" w:eastAsia="zh-CN"/>
              </w:rPr>
              <w:t>山东大学齐鲁医院（</w:t>
            </w:r>
            <w:r>
              <w:rPr>
                <w:rFonts w:hint="eastAsia" w:ascii="宋体" w:hAnsi="宋体" w:eastAsia="宋体" w:cs="宋体"/>
                <w:snapToGrid/>
                <w:kern w:val="2"/>
                <w:sz w:val="24"/>
                <w:szCs w:val="24"/>
                <w:highlight w:val="none"/>
                <w:lang w:val="en-US" w:eastAsia="zh-CN"/>
              </w:rPr>
              <w:t>青岛</w:t>
            </w:r>
            <w:r>
              <w:rPr>
                <w:rFonts w:hint="eastAsia" w:ascii="宋体" w:hAnsi="宋体" w:eastAsia="宋体" w:cs="宋体"/>
                <w:snapToGrid/>
                <w:kern w:val="2"/>
                <w:sz w:val="24"/>
                <w:szCs w:val="24"/>
                <w:highlight w:val="none"/>
                <w:lang w:val="zh-CN" w:eastAsia="zh-CN"/>
              </w:rPr>
              <w:t>）补充招标采购代理机构遴选项目</w:t>
            </w:r>
          </w:p>
        </w:tc>
      </w:tr>
      <w:tr w14:paraId="249A8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08" w:type="dxa"/>
            <w:vAlign w:val="center"/>
          </w:tcPr>
          <w:p w14:paraId="152F3FDA">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4</w:t>
            </w:r>
          </w:p>
        </w:tc>
        <w:tc>
          <w:tcPr>
            <w:tcW w:w="1700" w:type="dxa"/>
            <w:vAlign w:val="center"/>
          </w:tcPr>
          <w:p w14:paraId="2E13D0F3">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项目编号</w:t>
            </w:r>
          </w:p>
        </w:tc>
        <w:tc>
          <w:tcPr>
            <w:tcW w:w="6514" w:type="dxa"/>
            <w:vAlign w:val="center"/>
          </w:tcPr>
          <w:p w14:paraId="09C534B6">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HYHAQD2026-0065</w:t>
            </w:r>
          </w:p>
        </w:tc>
      </w:tr>
      <w:tr w14:paraId="69DDE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08" w:type="dxa"/>
            <w:vAlign w:val="center"/>
          </w:tcPr>
          <w:p w14:paraId="59B0CC5D">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5</w:t>
            </w:r>
          </w:p>
        </w:tc>
        <w:tc>
          <w:tcPr>
            <w:tcW w:w="1700" w:type="dxa"/>
            <w:vAlign w:val="center"/>
          </w:tcPr>
          <w:p w14:paraId="50938F42">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zh-CN"/>
              </w:rPr>
            </w:pPr>
            <w:r>
              <w:rPr>
                <w:rFonts w:hint="eastAsia" w:ascii="宋体" w:hAnsi="宋体" w:eastAsia="宋体" w:cs="宋体"/>
                <w:snapToGrid/>
                <w:kern w:val="2"/>
                <w:sz w:val="24"/>
                <w:szCs w:val="24"/>
                <w:highlight w:val="none"/>
                <w:lang w:val="en-US" w:eastAsia="zh-CN"/>
              </w:rPr>
              <w:t>服务期限</w:t>
            </w:r>
          </w:p>
        </w:tc>
        <w:tc>
          <w:tcPr>
            <w:tcW w:w="6514" w:type="dxa"/>
            <w:vAlign w:val="top"/>
          </w:tcPr>
          <w:p w14:paraId="6E63B683">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en-US" w:eastAsia="zh-CN"/>
              </w:rPr>
            </w:pPr>
            <w:r>
              <w:rPr>
                <w:rFonts w:hint="eastAsia" w:ascii="宋体" w:hAnsi="宋体" w:cs="仿宋"/>
                <w:snapToGrid w:val="0"/>
                <w:kern w:val="0"/>
                <w:sz w:val="24"/>
                <w:highlight w:val="none"/>
                <w:lang w:val="zh-CN"/>
              </w:rPr>
              <w:t>本次采购代理服务期限</w:t>
            </w:r>
            <w:r>
              <w:rPr>
                <w:rFonts w:hint="eastAsia" w:ascii="宋体" w:hAnsi="宋体" w:eastAsia="宋体" w:cs="仿宋"/>
                <w:snapToGrid w:val="0"/>
                <w:kern w:val="0"/>
                <w:sz w:val="24"/>
                <w:highlight w:val="none"/>
                <w:lang w:val="en-US" w:eastAsia="zh-CN"/>
              </w:rPr>
              <w:t>自合同签订之日起至2027</w:t>
            </w:r>
            <w:r>
              <w:rPr>
                <w:rFonts w:hint="eastAsia" w:ascii="宋体" w:hAnsi="宋体" w:cs="仿宋"/>
                <w:snapToGrid w:val="0"/>
                <w:kern w:val="0"/>
                <w:sz w:val="24"/>
                <w:highlight w:val="none"/>
                <w:lang w:val="zh-CN"/>
              </w:rPr>
              <w:t>年</w:t>
            </w:r>
            <w:r>
              <w:rPr>
                <w:rFonts w:hint="eastAsia" w:ascii="宋体" w:hAnsi="宋体" w:eastAsia="宋体" w:cs="仿宋"/>
                <w:snapToGrid w:val="0"/>
                <w:kern w:val="0"/>
                <w:sz w:val="24"/>
                <w:highlight w:val="none"/>
                <w:lang w:val="en-US" w:eastAsia="zh-CN"/>
              </w:rPr>
              <w:t>9月30日止</w:t>
            </w:r>
            <w:r>
              <w:rPr>
                <w:rFonts w:hint="eastAsia" w:ascii="宋体" w:hAnsi="宋体" w:cs="仿宋"/>
                <w:snapToGrid w:val="0"/>
                <w:kern w:val="0"/>
                <w:sz w:val="24"/>
                <w:highlight w:val="none"/>
                <w:lang w:val="zh-CN"/>
              </w:rPr>
              <w:t>。合同履行期间，若因入选人的原因发生重大责任事故，或入选人不能圆满的履行代理协议的责任与义务，遴选人将取消其代理资格，</w:t>
            </w:r>
            <w:r>
              <w:rPr>
                <w:rFonts w:hint="eastAsia" w:ascii="宋体" w:hAnsi="宋体" w:eastAsia="宋体" w:cs="仿宋"/>
                <w:snapToGrid w:val="0"/>
                <w:kern w:val="0"/>
                <w:sz w:val="24"/>
                <w:highlight w:val="none"/>
                <w:lang w:val="en-US" w:eastAsia="zh-CN"/>
              </w:rPr>
              <w:t>终止</w:t>
            </w:r>
            <w:r>
              <w:rPr>
                <w:rFonts w:hint="eastAsia" w:ascii="宋体" w:hAnsi="宋体" w:cs="仿宋"/>
                <w:snapToGrid w:val="0"/>
                <w:kern w:val="0"/>
                <w:sz w:val="24"/>
                <w:highlight w:val="none"/>
                <w:lang w:val="zh-CN"/>
              </w:rPr>
              <w:t>合同。相关风险由入选人自行承担</w:t>
            </w:r>
            <w:r>
              <w:rPr>
                <w:rFonts w:hint="eastAsia" w:ascii="宋体" w:hAnsi="宋体" w:eastAsia="宋体" w:cs="宋体"/>
                <w:snapToGrid/>
                <w:kern w:val="2"/>
                <w:sz w:val="24"/>
                <w:szCs w:val="24"/>
                <w:highlight w:val="none"/>
                <w:lang w:val="zh-CN" w:eastAsia="zh-CN"/>
              </w:rPr>
              <w:t>。</w:t>
            </w:r>
          </w:p>
        </w:tc>
      </w:tr>
      <w:tr w14:paraId="2A6DD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708" w:type="dxa"/>
            <w:vAlign w:val="center"/>
          </w:tcPr>
          <w:p w14:paraId="4EEA4D5E">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6</w:t>
            </w:r>
          </w:p>
        </w:tc>
        <w:tc>
          <w:tcPr>
            <w:tcW w:w="1700" w:type="dxa"/>
            <w:vAlign w:val="center"/>
          </w:tcPr>
          <w:p w14:paraId="77F7C57C">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入选家数</w:t>
            </w:r>
          </w:p>
        </w:tc>
        <w:tc>
          <w:tcPr>
            <w:tcW w:w="6514" w:type="dxa"/>
            <w:vAlign w:val="center"/>
          </w:tcPr>
          <w:p w14:paraId="0D715112">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遴选不超过</w:t>
            </w:r>
            <w:r>
              <w:rPr>
                <w:rFonts w:hint="eastAsia" w:ascii="宋体" w:hAnsi="宋体" w:eastAsia="宋体" w:cs="宋体"/>
                <w:snapToGrid/>
                <w:kern w:val="2"/>
                <w:sz w:val="24"/>
                <w:szCs w:val="24"/>
                <w:highlight w:val="none"/>
                <w:lang w:val="en-US" w:eastAsia="zh-CN"/>
              </w:rPr>
              <w:t>3</w:t>
            </w:r>
            <w:r>
              <w:rPr>
                <w:rFonts w:hint="eastAsia" w:ascii="宋体" w:hAnsi="宋体" w:eastAsia="宋体" w:cs="宋体"/>
                <w:snapToGrid/>
                <w:kern w:val="2"/>
                <w:sz w:val="24"/>
                <w:szCs w:val="24"/>
                <w:highlight w:val="none"/>
                <w:lang w:val="zh-CN" w:eastAsia="zh-CN"/>
              </w:rPr>
              <w:t>家招标采购代理机构入</w:t>
            </w:r>
            <w:r>
              <w:rPr>
                <w:rFonts w:hint="eastAsia" w:ascii="宋体" w:hAnsi="宋体" w:eastAsia="宋体" w:cs="宋体"/>
                <w:snapToGrid/>
                <w:kern w:val="2"/>
                <w:sz w:val="24"/>
                <w:szCs w:val="24"/>
                <w:highlight w:val="none"/>
                <w:lang w:val="en-US" w:eastAsia="zh-CN"/>
              </w:rPr>
              <w:t>选。</w:t>
            </w:r>
            <w:r>
              <w:rPr>
                <w:rFonts w:hint="eastAsia" w:ascii="宋体" w:hAnsi="宋体" w:eastAsia="宋体" w:cs="宋体"/>
                <w:snapToGrid/>
                <w:kern w:val="2"/>
                <w:sz w:val="24"/>
                <w:szCs w:val="24"/>
                <w:highlight w:val="none"/>
                <w:lang w:val="zh-CN" w:eastAsia="zh-CN"/>
              </w:rPr>
              <w:t>实质响应遴选文件的响应人数量少于3家，遴选人将重新组织遴选</w:t>
            </w:r>
            <w:r>
              <w:rPr>
                <w:rFonts w:hint="eastAsia" w:ascii="宋体" w:hAnsi="宋体" w:eastAsia="宋体" w:cs="宋体"/>
                <w:snapToGrid/>
                <w:kern w:val="2"/>
                <w:sz w:val="24"/>
                <w:szCs w:val="24"/>
                <w:highlight w:val="none"/>
                <w:lang w:val="en-US" w:eastAsia="zh-CN"/>
              </w:rPr>
              <w:t>；</w:t>
            </w:r>
            <w:r>
              <w:rPr>
                <w:rFonts w:hint="eastAsia" w:ascii="宋体" w:hAnsi="宋体" w:eastAsia="宋体" w:cs="宋体"/>
                <w:snapToGrid/>
                <w:kern w:val="2"/>
                <w:sz w:val="24"/>
                <w:szCs w:val="24"/>
                <w:highlight w:val="none"/>
                <w:lang w:val="zh-CN" w:eastAsia="zh-CN"/>
              </w:rPr>
              <w:t>实质响应遴选文件的响应人数量</w:t>
            </w:r>
            <w:r>
              <w:rPr>
                <w:rFonts w:hint="eastAsia" w:ascii="宋体" w:hAnsi="宋体" w:eastAsia="宋体" w:cs="宋体"/>
                <w:snapToGrid/>
                <w:kern w:val="2"/>
                <w:sz w:val="24"/>
                <w:szCs w:val="24"/>
                <w:highlight w:val="none"/>
                <w:lang w:val="en-US" w:eastAsia="zh-CN"/>
              </w:rPr>
              <w:t>为3家，确定1家入选人；</w:t>
            </w:r>
            <w:r>
              <w:rPr>
                <w:rFonts w:hint="eastAsia" w:ascii="宋体" w:hAnsi="宋体" w:eastAsia="宋体" w:cs="宋体"/>
                <w:snapToGrid/>
                <w:kern w:val="2"/>
                <w:sz w:val="24"/>
                <w:szCs w:val="24"/>
                <w:highlight w:val="none"/>
                <w:lang w:val="zh-CN" w:eastAsia="zh-CN"/>
              </w:rPr>
              <w:t>实质响应遴选文件的响应人数量</w:t>
            </w:r>
            <w:r>
              <w:rPr>
                <w:rFonts w:hint="eastAsia" w:ascii="宋体" w:hAnsi="宋体" w:eastAsia="宋体" w:cs="宋体"/>
                <w:snapToGrid/>
                <w:kern w:val="2"/>
                <w:sz w:val="24"/>
                <w:szCs w:val="24"/>
                <w:highlight w:val="none"/>
                <w:lang w:val="en-US" w:eastAsia="zh-CN"/>
              </w:rPr>
              <w:t>为4家，确定2家入选人；</w:t>
            </w:r>
            <w:r>
              <w:rPr>
                <w:rFonts w:hint="eastAsia" w:ascii="宋体" w:hAnsi="宋体" w:eastAsia="宋体" w:cs="宋体"/>
                <w:snapToGrid/>
                <w:kern w:val="2"/>
                <w:sz w:val="24"/>
                <w:szCs w:val="24"/>
                <w:highlight w:val="none"/>
                <w:lang w:val="zh-CN" w:eastAsia="zh-CN"/>
              </w:rPr>
              <w:t>实质响应遴选文件的响应人数量</w:t>
            </w:r>
            <w:r>
              <w:rPr>
                <w:rFonts w:hint="eastAsia" w:ascii="宋体" w:hAnsi="宋体" w:eastAsia="宋体" w:cs="宋体"/>
                <w:snapToGrid/>
                <w:kern w:val="2"/>
                <w:sz w:val="24"/>
                <w:szCs w:val="24"/>
                <w:highlight w:val="none"/>
                <w:lang w:val="en-US" w:eastAsia="zh-CN"/>
              </w:rPr>
              <w:t>为≥5家，确定3家入选人。</w:t>
            </w:r>
          </w:p>
        </w:tc>
      </w:tr>
      <w:tr w14:paraId="72FDD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708" w:type="dxa"/>
            <w:vAlign w:val="center"/>
          </w:tcPr>
          <w:p w14:paraId="4DA1EADB">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zh-CN"/>
              </w:rPr>
            </w:pPr>
            <w:r>
              <w:rPr>
                <w:rFonts w:hint="eastAsia" w:ascii="宋体" w:hAnsi="宋体" w:eastAsia="宋体" w:cs="宋体"/>
                <w:snapToGrid/>
                <w:kern w:val="2"/>
                <w:sz w:val="24"/>
                <w:szCs w:val="24"/>
                <w:highlight w:val="none"/>
                <w:lang w:val="en-US" w:eastAsia="zh-CN"/>
              </w:rPr>
              <w:t>7</w:t>
            </w:r>
          </w:p>
        </w:tc>
        <w:tc>
          <w:tcPr>
            <w:tcW w:w="1700" w:type="dxa"/>
            <w:vAlign w:val="center"/>
          </w:tcPr>
          <w:p w14:paraId="043D7639">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资格要求</w:t>
            </w:r>
          </w:p>
        </w:tc>
        <w:tc>
          <w:tcPr>
            <w:tcW w:w="6514" w:type="dxa"/>
            <w:vAlign w:val="center"/>
          </w:tcPr>
          <w:p w14:paraId="31529230">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1.在中国境内注册，具有独立法人资格；</w:t>
            </w:r>
          </w:p>
          <w:p w14:paraId="478C8FAE">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2.响应人须满足《中华人民共和国政府采购法》第</w:t>
            </w:r>
            <w:r>
              <w:rPr>
                <w:rFonts w:hint="eastAsia" w:ascii="宋体" w:hAnsi="宋体" w:eastAsia="宋体" w:cs="宋体"/>
                <w:snapToGrid/>
                <w:kern w:val="2"/>
                <w:sz w:val="24"/>
                <w:szCs w:val="24"/>
                <w:highlight w:val="none"/>
                <w:lang w:val="en-US" w:eastAsia="zh-CN"/>
              </w:rPr>
              <w:t>二十二</w:t>
            </w:r>
            <w:r>
              <w:rPr>
                <w:rFonts w:hint="eastAsia" w:ascii="宋体" w:hAnsi="宋体" w:eastAsia="宋体" w:cs="宋体"/>
                <w:snapToGrid/>
                <w:kern w:val="2"/>
                <w:sz w:val="24"/>
                <w:szCs w:val="24"/>
                <w:highlight w:val="none"/>
                <w:lang w:val="zh-CN" w:eastAsia="zh-CN"/>
              </w:rPr>
              <w:t>条规定；</w:t>
            </w:r>
          </w:p>
          <w:p w14:paraId="2B3A6917">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3.遵守《中华人民共和国政府采购法》、《中华人民共和国招标投标法》 及相关法律、法规和规章；</w:t>
            </w:r>
          </w:p>
          <w:p w14:paraId="2C103575">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4.响应人须列入中国政府采购网“</w:t>
            </w:r>
            <w:r>
              <w:rPr>
                <w:rFonts w:hint="eastAsia" w:ascii="宋体" w:hAnsi="宋体" w:eastAsia="宋体" w:cs="宋体"/>
                <w:snapToGrid/>
                <w:kern w:val="2"/>
                <w:sz w:val="24"/>
                <w:szCs w:val="24"/>
                <w:highlight w:val="none"/>
                <w:lang w:val="zh-CN" w:eastAsia="zh-CN"/>
              </w:rPr>
              <w:fldChar w:fldCharType="begin"/>
            </w:r>
            <w:r>
              <w:rPr>
                <w:rFonts w:hint="eastAsia" w:ascii="宋体" w:hAnsi="宋体" w:eastAsia="宋体" w:cs="宋体"/>
                <w:snapToGrid/>
                <w:kern w:val="2"/>
                <w:sz w:val="24"/>
                <w:szCs w:val="24"/>
                <w:highlight w:val="none"/>
                <w:lang w:val="zh-CN" w:eastAsia="zh-CN"/>
              </w:rPr>
              <w:instrText xml:space="preserve"> HYPERLINK "http://www.ccgp.gov.cn/agency/md/" </w:instrText>
            </w:r>
            <w:r>
              <w:rPr>
                <w:rFonts w:hint="eastAsia" w:ascii="宋体" w:hAnsi="宋体" w:eastAsia="宋体" w:cs="宋体"/>
                <w:snapToGrid/>
                <w:kern w:val="2"/>
                <w:sz w:val="24"/>
                <w:szCs w:val="24"/>
                <w:highlight w:val="none"/>
                <w:lang w:val="zh-CN" w:eastAsia="zh-CN"/>
              </w:rPr>
              <w:fldChar w:fldCharType="separate"/>
            </w:r>
            <w:r>
              <w:rPr>
                <w:rFonts w:hint="eastAsia" w:ascii="宋体" w:hAnsi="宋体" w:eastAsia="宋体" w:cs="宋体"/>
                <w:snapToGrid/>
                <w:kern w:val="2"/>
                <w:sz w:val="24"/>
                <w:szCs w:val="24"/>
                <w:highlight w:val="none"/>
                <w:lang w:val="zh-CN" w:eastAsia="zh-CN"/>
              </w:rPr>
              <w:t>政府采购代理机构名单</w:t>
            </w:r>
            <w:r>
              <w:rPr>
                <w:rFonts w:hint="eastAsia" w:ascii="宋体" w:hAnsi="宋体" w:eastAsia="宋体" w:cs="宋体"/>
                <w:snapToGrid/>
                <w:kern w:val="2"/>
                <w:sz w:val="24"/>
                <w:szCs w:val="24"/>
                <w:highlight w:val="none"/>
                <w:lang w:val="zh-CN" w:eastAsia="zh-CN"/>
              </w:rPr>
              <w:fldChar w:fldCharType="end"/>
            </w:r>
            <w:r>
              <w:rPr>
                <w:rFonts w:hint="eastAsia" w:ascii="宋体" w:hAnsi="宋体" w:eastAsia="宋体" w:cs="宋体"/>
                <w:snapToGrid/>
                <w:kern w:val="2"/>
                <w:sz w:val="24"/>
                <w:szCs w:val="24"/>
                <w:highlight w:val="none"/>
                <w:lang w:val="zh-CN" w:eastAsia="zh-CN"/>
              </w:rPr>
              <w:t>”中，青岛市政府采购网“代理机构名录”中；</w:t>
            </w:r>
          </w:p>
          <w:p w14:paraId="52534180">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5.招标采购代理机构拥有不少于5名熟悉招投标及政府采购法律法规、具有编制遴选文件和组织采购活动等相应能力的专业人员；</w:t>
            </w:r>
          </w:p>
          <w:p w14:paraId="7F6115D4">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6.响应人有固定的办公场所及开评标场所，具备完善的监控设备和良好的音视频监控资料的保存、存档、管理条件；</w:t>
            </w:r>
          </w:p>
          <w:p w14:paraId="5B050F09">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7.从业人员未在其他代理机构登记从业；</w:t>
            </w:r>
          </w:p>
          <w:p w14:paraId="0CBFAFBF">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8.近三年内没有与采购代理业务相关的严重违法、违约行为；</w:t>
            </w:r>
          </w:p>
          <w:p w14:paraId="7657328E">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9.未被“信用中国”网站（www.creditchina.gov.cn）、“中国政府采购网”</w:t>
            </w:r>
          </w:p>
          <w:p w14:paraId="08FC09C1">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（http：//www.ccgp.gov.cn/cr/list）列入失信被执行人、重大税收违法失信主体名单、政府采购严重违法失信行为记录名单；</w:t>
            </w:r>
          </w:p>
          <w:p w14:paraId="0C0B2194">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10.单位负责人为同一人或者存在控股、管理关系的不同单位，不得参加同一标段报价或者未划分标段的同一采购项目报价；</w:t>
            </w:r>
          </w:p>
          <w:p w14:paraId="69C2FAA3">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11.本项目不接受联合体参选，禁止分包、挂靠。</w:t>
            </w:r>
          </w:p>
        </w:tc>
      </w:tr>
      <w:tr w14:paraId="55F69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708" w:type="dxa"/>
            <w:vAlign w:val="center"/>
          </w:tcPr>
          <w:p w14:paraId="30A75856">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val="en-US" w:eastAsia="zh-CN"/>
              </w:rPr>
              <w:t>8</w:t>
            </w:r>
          </w:p>
        </w:tc>
        <w:tc>
          <w:tcPr>
            <w:tcW w:w="1700" w:type="dxa"/>
            <w:vAlign w:val="center"/>
          </w:tcPr>
          <w:p w14:paraId="406DE705">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资格审查</w:t>
            </w:r>
          </w:p>
        </w:tc>
        <w:tc>
          <w:tcPr>
            <w:tcW w:w="6514" w:type="dxa"/>
            <w:vAlign w:val="center"/>
          </w:tcPr>
          <w:p w14:paraId="5BC9CD62">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en-US" w:eastAsia="zh-CN"/>
              </w:rPr>
            </w:pPr>
            <w:r>
              <w:rPr>
                <w:rFonts w:hint="eastAsia" w:ascii="宋体" w:hAnsi="宋体" w:eastAsia="宋体" w:cs="宋体"/>
                <w:snapToGrid/>
                <w:kern w:val="2"/>
                <w:sz w:val="24"/>
                <w:szCs w:val="24"/>
                <w:highlight w:val="none"/>
                <w:lang w:val="en-US" w:eastAsia="zh-CN"/>
              </w:rPr>
              <w:t>资格审查方式：资格后审。</w:t>
            </w:r>
          </w:p>
        </w:tc>
      </w:tr>
      <w:tr w14:paraId="043D3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5" w:hRule="atLeast"/>
        </w:trPr>
        <w:tc>
          <w:tcPr>
            <w:tcW w:w="708" w:type="dxa"/>
            <w:vAlign w:val="center"/>
          </w:tcPr>
          <w:p w14:paraId="76B219CE">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9</w:t>
            </w:r>
          </w:p>
        </w:tc>
        <w:tc>
          <w:tcPr>
            <w:tcW w:w="1700" w:type="dxa"/>
            <w:vAlign w:val="center"/>
          </w:tcPr>
          <w:p w14:paraId="29D991EF">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响应人提报虚假材料应承担的责任</w:t>
            </w:r>
          </w:p>
        </w:tc>
        <w:tc>
          <w:tcPr>
            <w:tcW w:w="6514" w:type="dxa"/>
            <w:vAlign w:val="top"/>
          </w:tcPr>
          <w:p w14:paraId="379933ED">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评选过程中发现响应人提供虚假资料，取消其参选资格；入选后发现响应人提供虚假资料，取消其入选资格；合同签订后发现响应人提供虚假资料，遴选人有权终止合同。给遴选人或第三方造成损失的，依据有关法律法规追究其责任。</w:t>
            </w:r>
          </w:p>
        </w:tc>
      </w:tr>
      <w:tr w14:paraId="63285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4" w:hRule="atLeast"/>
        </w:trPr>
        <w:tc>
          <w:tcPr>
            <w:tcW w:w="708" w:type="dxa"/>
            <w:vAlign w:val="center"/>
          </w:tcPr>
          <w:p w14:paraId="262CC995">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10</w:t>
            </w:r>
          </w:p>
        </w:tc>
        <w:tc>
          <w:tcPr>
            <w:tcW w:w="1700" w:type="dxa"/>
            <w:vAlign w:val="center"/>
          </w:tcPr>
          <w:p w14:paraId="2073E7F8">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参选报价</w:t>
            </w:r>
          </w:p>
        </w:tc>
        <w:tc>
          <w:tcPr>
            <w:tcW w:w="6514" w:type="dxa"/>
            <w:vAlign w:val="top"/>
          </w:tcPr>
          <w:p w14:paraId="50ED2854">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en-US" w:eastAsia="zh-CN"/>
              </w:rPr>
              <w:t>1.在</w:t>
            </w:r>
            <w:r>
              <w:rPr>
                <w:rFonts w:hint="eastAsia" w:ascii="宋体" w:hAnsi="宋体" w:eastAsia="宋体" w:cs="宋体"/>
                <w:snapToGrid/>
                <w:kern w:val="2"/>
                <w:sz w:val="24"/>
                <w:szCs w:val="24"/>
                <w:highlight w:val="none"/>
                <w:lang w:val="zh-CN" w:eastAsia="zh-CN"/>
              </w:rPr>
              <w:t>《国家发展改革委办公厅关于招标代理服务收费有关问题的通知》（发改办价格[2003]857号）和国家计委关于《招标代理服务收费管理暂行办法》（计价格[2002]1980号）规定的收费标准</w:t>
            </w:r>
            <w:r>
              <w:rPr>
                <w:rFonts w:hint="eastAsia" w:ascii="宋体" w:hAnsi="宋体" w:eastAsia="宋体" w:cs="宋体"/>
                <w:snapToGrid/>
                <w:kern w:val="2"/>
                <w:sz w:val="24"/>
                <w:szCs w:val="24"/>
                <w:highlight w:val="none"/>
                <w:lang w:val="en-US" w:eastAsia="zh-CN"/>
              </w:rPr>
              <w:t>的基础上报</w:t>
            </w:r>
            <w:r>
              <w:rPr>
                <w:rFonts w:hint="eastAsia" w:ascii="宋体" w:hAnsi="宋体" w:eastAsia="宋体" w:cs="宋体"/>
                <w:snapToGrid/>
                <w:kern w:val="2"/>
                <w:sz w:val="24"/>
                <w:szCs w:val="24"/>
                <w:highlight w:val="none"/>
                <w:lang w:val="zh-CN" w:eastAsia="zh-CN"/>
              </w:rPr>
              <w:t>下浮</w:t>
            </w:r>
            <w:r>
              <w:rPr>
                <w:rFonts w:hint="eastAsia" w:ascii="宋体" w:hAnsi="宋体" w:eastAsia="宋体" w:cs="宋体"/>
                <w:snapToGrid/>
                <w:kern w:val="2"/>
                <w:sz w:val="24"/>
                <w:szCs w:val="24"/>
                <w:highlight w:val="none"/>
                <w:lang w:val="en-US" w:eastAsia="zh-CN"/>
              </w:rPr>
              <w:t>率</w:t>
            </w:r>
            <w:r>
              <w:rPr>
                <w:rFonts w:hint="eastAsia" w:ascii="宋体" w:hAnsi="宋体" w:eastAsia="宋体" w:cs="宋体"/>
                <w:snapToGrid/>
                <w:kern w:val="2"/>
                <w:sz w:val="24"/>
                <w:szCs w:val="24"/>
                <w:highlight w:val="none"/>
                <w:lang w:val="zh-CN" w:eastAsia="zh-CN"/>
              </w:rPr>
              <w:t>，成交服务费由入选代理机构向所代理采购项目的中标（成交）供应商收取。</w:t>
            </w:r>
          </w:p>
          <w:p w14:paraId="6E55CC22">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default" w:ascii="宋体" w:hAnsi="宋体" w:eastAsia="宋体" w:cs="宋体"/>
                <w:snapToGrid/>
                <w:kern w:val="2"/>
                <w:sz w:val="24"/>
                <w:szCs w:val="24"/>
                <w:highlight w:val="none"/>
                <w:lang w:val="en-US" w:eastAsia="zh-CN"/>
              </w:rPr>
            </w:pPr>
            <w:r>
              <w:rPr>
                <w:rFonts w:hint="eastAsia" w:ascii="宋体" w:hAnsi="宋体" w:eastAsia="宋体" w:cs="宋体"/>
                <w:snapToGrid/>
                <w:kern w:val="2"/>
                <w:sz w:val="24"/>
                <w:szCs w:val="24"/>
                <w:highlight w:val="none"/>
                <w:lang w:val="en-US" w:eastAsia="zh-CN"/>
              </w:rPr>
              <w:t>2.本次遴选有再次报价机会,具体报价轮次由评选小组现场确定。</w:t>
            </w:r>
            <w:r>
              <w:rPr>
                <w:rFonts w:hint="eastAsia" w:ascii="宋体" w:hAnsi="宋体" w:eastAsia="宋体" w:cs="宋体"/>
                <w:snapToGrid/>
                <w:kern w:val="2"/>
                <w:sz w:val="24"/>
                <w:szCs w:val="24"/>
                <w:highlight w:val="none"/>
                <w:lang w:eastAsia="zh-CN"/>
              </w:rPr>
              <w:t>后一轮报价</w:t>
            </w:r>
            <w:r>
              <w:rPr>
                <w:rFonts w:hint="eastAsia" w:ascii="宋体" w:hAnsi="宋体" w:eastAsia="宋体" w:cs="宋体"/>
                <w:snapToGrid/>
                <w:kern w:val="2"/>
                <w:sz w:val="24"/>
                <w:szCs w:val="24"/>
                <w:highlight w:val="none"/>
                <w:lang w:val="en-US" w:eastAsia="zh-CN"/>
              </w:rPr>
              <w:t>不得高于</w:t>
            </w:r>
            <w:r>
              <w:rPr>
                <w:rFonts w:hint="eastAsia" w:ascii="宋体" w:hAnsi="宋体" w:eastAsia="宋体" w:cs="宋体"/>
                <w:snapToGrid/>
                <w:kern w:val="2"/>
                <w:sz w:val="24"/>
                <w:szCs w:val="24"/>
                <w:highlight w:val="none"/>
                <w:lang w:eastAsia="zh-CN"/>
              </w:rPr>
              <w:t>前一轮报价，</w:t>
            </w:r>
            <w:r>
              <w:rPr>
                <w:rFonts w:hint="eastAsia" w:ascii="宋体" w:hAnsi="宋体" w:eastAsia="宋体" w:cs="宋体"/>
                <w:snapToGrid/>
                <w:kern w:val="2"/>
                <w:sz w:val="24"/>
                <w:szCs w:val="24"/>
                <w:highlight w:val="none"/>
                <w:lang w:val="en-US" w:eastAsia="zh-CN"/>
              </w:rPr>
              <w:t>若本</w:t>
            </w:r>
            <w:r>
              <w:rPr>
                <w:rFonts w:hint="eastAsia" w:ascii="宋体" w:hAnsi="宋体" w:eastAsia="宋体" w:cs="宋体"/>
                <w:snapToGrid/>
                <w:kern w:val="2"/>
                <w:sz w:val="24"/>
                <w:szCs w:val="24"/>
                <w:highlight w:val="none"/>
                <w:lang w:eastAsia="zh-CN"/>
              </w:rPr>
              <w:t>轮报价</w:t>
            </w:r>
            <w:r>
              <w:rPr>
                <w:rFonts w:hint="eastAsia" w:ascii="宋体" w:hAnsi="宋体" w:eastAsia="宋体" w:cs="宋体"/>
                <w:snapToGrid/>
                <w:kern w:val="2"/>
                <w:sz w:val="24"/>
                <w:szCs w:val="24"/>
                <w:highlight w:val="none"/>
                <w:lang w:val="en-US" w:eastAsia="zh-CN"/>
              </w:rPr>
              <w:t>高于</w:t>
            </w:r>
            <w:r>
              <w:rPr>
                <w:rFonts w:hint="eastAsia" w:ascii="宋体" w:hAnsi="宋体" w:eastAsia="宋体" w:cs="宋体"/>
                <w:snapToGrid/>
                <w:kern w:val="2"/>
                <w:sz w:val="24"/>
                <w:szCs w:val="24"/>
                <w:highlight w:val="none"/>
                <w:lang w:eastAsia="zh-CN"/>
              </w:rPr>
              <w:t>前一轮报价</w:t>
            </w:r>
            <w:r>
              <w:rPr>
                <w:rFonts w:hint="eastAsia" w:ascii="宋体" w:hAnsi="宋体" w:eastAsia="宋体" w:cs="宋体"/>
                <w:snapToGrid/>
                <w:kern w:val="2"/>
                <w:sz w:val="24"/>
                <w:szCs w:val="24"/>
                <w:highlight w:val="none"/>
                <w:lang w:val="en-US" w:eastAsia="zh-CN"/>
              </w:rPr>
              <w:t>或本轮未报价</w:t>
            </w:r>
            <w:r>
              <w:rPr>
                <w:rFonts w:hint="eastAsia" w:ascii="宋体" w:hAnsi="宋体" w:eastAsia="宋体" w:cs="宋体"/>
                <w:snapToGrid/>
                <w:kern w:val="2"/>
                <w:sz w:val="24"/>
                <w:szCs w:val="24"/>
                <w:highlight w:val="none"/>
                <w:lang w:eastAsia="zh-CN"/>
              </w:rPr>
              <w:t>，</w:t>
            </w:r>
            <w:r>
              <w:rPr>
                <w:rFonts w:hint="eastAsia" w:ascii="宋体" w:hAnsi="宋体" w:eastAsia="宋体" w:cs="宋体"/>
                <w:snapToGrid/>
                <w:kern w:val="2"/>
                <w:sz w:val="24"/>
                <w:szCs w:val="24"/>
                <w:highlight w:val="none"/>
                <w:lang w:val="en-US" w:eastAsia="zh-CN"/>
              </w:rPr>
              <w:t>以上一轮报价为准</w:t>
            </w:r>
            <w:r>
              <w:rPr>
                <w:rFonts w:hint="eastAsia" w:ascii="宋体" w:hAnsi="宋体" w:eastAsia="宋体" w:cs="宋体"/>
                <w:snapToGrid/>
                <w:kern w:val="2"/>
                <w:sz w:val="24"/>
                <w:szCs w:val="24"/>
                <w:highlight w:val="none"/>
                <w:lang w:eastAsia="zh-CN"/>
              </w:rPr>
              <w:t>。</w:t>
            </w:r>
          </w:p>
          <w:p w14:paraId="35F35536">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val="en-US" w:eastAsia="zh-CN"/>
              </w:rPr>
              <w:t>3</w:t>
            </w:r>
            <w:r>
              <w:rPr>
                <w:rFonts w:hint="eastAsia" w:ascii="宋体" w:hAnsi="宋体" w:eastAsia="宋体" w:cs="宋体"/>
                <w:snapToGrid/>
                <w:kern w:val="2"/>
                <w:sz w:val="24"/>
                <w:szCs w:val="24"/>
                <w:highlight w:val="none"/>
                <w:lang w:val="zh-CN" w:eastAsia="zh-CN"/>
              </w:rPr>
              <w:t>.入选后，一旦发现入选代理机构未按照下浮标准收取成交服务费，立即终止合同。</w:t>
            </w:r>
          </w:p>
        </w:tc>
      </w:tr>
      <w:tr w14:paraId="23CF3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708" w:type="dxa"/>
            <w:vAlign w:val="center"/>
          </w:tcPr>
          <w:p w14:paraId="4CE35BFE">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11</w:t>
            </w:r>
          </w:p>
        </w:tc>
        <w:tc>
          <w:tcPr>
            <w:tcW w:w="1700" w:type="dxa"/>
            <w:vAlign w:val="center"/>
          </w:tcPr>
          <w:p w14:paraId="1DAB042B">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参选保证金</w:t>
            </w:r>
          </w:p>
        </w:tc>
        <w:tc>
          <w:tcPr>
            <w:tcW w:w="6514" w:type="dxa"/>
            <w:vAlign w:val="top"/>
          </w:tcPr>
          <w:p w14:paraId="19CBEE27">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b/>
                <w:bCs/>
                <w:snapToGrid/>
                <w:kern w:val="2"/>
                <w:sz w:val="24"/>
                <w:szCs w:val="24"/>
                <w:highlight w:val="none"/>
                <w:lang w:val="zh-CN" w:eastAsia="zh-CN"/>
              </w:rPr>
              <w:t>参选保证金金额</w:t>
            </w:r>
            <w:r>
              <w:rPr>
                <w:rFonts w:hint="eastAsia" w:ascii="宋体" w:hAnsi="宋体" w:eastAsia="宋体" w:cs="宋体"/>
                <w:snapToGrid/>
                <w:kern w:val="2"/>
                <w:sz w:val="24"/>
                <w:szCs w:val="24"/>
                <w:highlight w:val="none"/>
                <w:lang w:val="zh-CN" w:eastAsia="zh-CN"/>
              </w:rPr>
              <w:t>：</w:t>
            </w:r>
            <w:r>
              <w:rPr>
                <w:rFonts w:hint="eastAsia" w:ascii="宋体" w:hAnsi="宋体" w:eastAsia="宋体" w:cs="宋体"/>
                <w:snapToGrid/>
                <w:kern w:val="2"/>
                <w:sz w:val="24"/>
                <w:szCs w:val="24"/>
                <w:highlight w:val="none"/>
                <w:lang w:val="en-US" w:eastAsia="zh-CN"/>
              </w:rPr>
              <w:t>8000.00</w:t>
            </w:r>
            <w:r>
              <w:rPr>
                <w:rFonts w:hint="eastAsia" w:ascii="宋体" w:hAnsi="宋体" w:eastAsia="宋体" w:cs="宋体"/>
                <w:snapToGrid/>
                <w:kern w:val="2"/>
                <w:sz w:val="24"/>
                <w:szCs w:val="24"/>
                <w:highlight w:val="none"/>
                <w:lang w:val="zh-CN" w:eastAsia="zh-CN"/>
              </w:rPr>
              <w:t>元。</w:t>
            </w:r>
          </w:p>
          <w:p w14:paraId="7692D351">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b/>
                <w:bCs/>
                <w:snapToGrid/>
                <w:kern w:val="2"/>
                <w:sz w:val="24"/>
                <w:szCs w:val="24"/>
                <w:highlight w:val="none"/>
                <w:lang w:val="zh-CN" w:eastAsia="zh-CN"/>
              </w:rPr>
              <w:t>参选保证金缴纳形式</w:t>
            </w:r>
            <w:r>
              <w:rPr>
                <w:rFonts w:hint="eastAsia" w:ascii="宋体" w:hAnsi="宋体" w:eastAsia="宋体" w:cs="宋体"/>
                <w:snapToGrid/>
                <w:kern w:val="2"/>
                <w:sz w:val="24"/>
                <w:szCs w:val="24"/>
                <w:highlight w:val="none"/>
                <w:lang w:val="zh-CN" w:eastAsia="zh-CN"/>
              </w:rPr>
              <w:t>：网银转账或电汇，支票、汇票、本票或者金融机构、担保机构出具的保函等。</w:t>
            </w:r>
          </w:p>
          <w:p w14:paraId="43E7E1D7">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1.采用网银转账或电汇转帐方式时，参选保证金存款帐号信息：</w:t>
            </w:r>
          </w:p>
          <w:p w14:paraId="6555A241">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开户名称：海逸恒安项目管理有限公司青岛事业部；</w:t>
            </w:r>
          </w:p>
          <w:p w14:paraId="6C3C424B">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开户银行：中信银行股份有限公司青岛崂山支行；</w:t>
            </w:r>
          </w:p>
          <w:p w14:paraId="5EA940F6">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账号：8110601012601757923。</w:t>
            </w:r>
          </w:p>
          <w:p w14:paraId="79FA8EA8">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备注：</w:t>
            </w:r>
          </w:p>
          <w:p w14:paraId="55A2E60F">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b/>
                <w:bCs/>
                <w:snapToGrid/>
                <w:kern w:val="2"/>
                <w:sz w:val="24"/>
                <w:szCs w:val="24"/>
                <w:highlight w:val="none"/>
                <w:lang w:val="zh-CN" w:eastAsia="zh-CN"/>
              </w:rPr>
            </w:pPr>
            <w:r>
              <w:rPr>
                <w:rFonts w:hint="eastAsia" w:ascii="宋体" w:hAnsi="宋体" w:eastAsia="宋体" w:cs="宋体"/>
                <w:b/>
                <w:bCs/>
                <w:snapToGrid/>
                <w:kern w:val="2"/>
                <w:sz w:val="24"/>
                <w:szCs w:val="24"/>
                <w:highlight w:val="none"/>
                <w:lang w:val="en-US" w:eastAsia="zh-CN"/>
              </w:rPr>
              <w:t>①</w:t>
            </w:r>
            <w:r>
              <w:rPr>
                <w:rFonts w:hint="eastAsia" w:ascii="宋体" w:hAnsi="宋体" w:eastAsia="宋体" w:cs="宋体"/>
                <w:b/>
                <w:bCs/>
                <w:snapToGrid/>
                <w:kern w:val="2"/>
                <w:sz w:val="24"/>
                <w:szCs w:val="24"/>
                <w:highlight w:val="none"/>
                <w:lang w:val="zh-CN" w:eastAsia="zh-CN"/>
              </w:rPr>
              <w:t>参选保证金到账截止时间为递交</w:t>
            </w:r>
            <w:r>
              <w:rPr>
                <w:rFonts w:hint="eastAsia" w:ascii="宋体" w:hAnsi="宋体" w:eastAsia="宋体" w:cs="宋体"/>
                <w:b/>
                <w:bCs/>
                <w:snapToGrid/>
                <w:kern w:val="2"/>
                <w:sz w:val="24"/>
                <w:szCs w:val="24"/>
                <w:highlight w:val="none"/>
                <w:lang w:val="en-US" w:eastAsia="zh-CN"/>
              </w:rPr>
              <w:t>响应文件</w:t>
            </w:r>
            <w:r>
              <w:rPr>
                <w:rFonts w:hint="eastAsia" w:ascii="宋体" w:hAnsi="宋体" w:eastAsia="宋体" w:cs="宋体"/>
                <w:b/>
                <w:bCs/>
                <w:snapToGrid/>
                <w:kern w:val="2"/>
                <w:sz w:val="24"/>
                <w:szCs w:val="24"/>
                <w:highlight w:val="none"/>
                <w:lang w:val="zh-CN" w:eastAsia="zh-CN"/>
              </w:rPr>
              <w:t>截止时间，逾期到帐的，视为“未按规定交纳参选保证金”，按无效</w:t>
            </w:r>
            <w:r>
              <w:rPr>
                <w:rFonts w:hint="eastAsia" w:ascii="宋体" w:hAnsi="宋体" w:eastAsia="宋体" w:cs="宋体"/>
                <w:b/>
                <w:bCs/>
                <w:snapToGrid/>
                <w:kern w:val="2"/>
                <w:sz w:val="24"/>
                <w:szCs w:val="24"/>
                <w:highlight w:val="none"/>
                <w:lang w:val="en-US" w:eastAsia="zh-CN"/>
              </w:rPr>
              <w:t>参选</w:t>
            </w:r>
            <w:r>
              <w:rPr>
                <w:rFonts w:hint="eastAsia" w:ascii="宋体" w:hAnsi="宋体" w:eastAsia="宋体" w:cs="宋体"/>
                <w:b/>
                <w:bCs/>
                <w:snapToGrid/>
                <w:kern w:val="2"/>
                <w:sz w:val="24"/>
                <w:szCs w:val="24"/>
                <w:highlight w:val="none"/>
                <w:lang w:val="zh-CN" w:eastAsia="zh-CN"/>
              </w:rPr>
              <w:t>处理；</w:t>
            </w:r>
          </w:p>
          <w:p w14:paraId="7DFD0B58">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b/>
                <w:bCs/>
                <w:snapToGrid/>
                <w:kern w:val="2"/>
                <w:sz w:val="24"/>
                <w:szCs w:val="24"/>
                <w:highlight w:val="none"/>
                <w:lang w:val="zh-CN" w:eastAsia="zh-CN"/>
              </w:rPr>
            </w:pPr>
            <w:r>
              <w:rPr>
                <w:rFonts w:hint="eastAsia" w:ascii="宋体" w:hAnsi="宋体" w:eastAsia="宋体" w:cs="宋体"/>
                <w:b/>
                <w:bCs/>
                <w:snapToGrid/>
                <w:kern w:val="2"/>
                <w:sz w:val="24"/>
                <w:szCs w:val="24"/>
                <w:highlight w:val="none"/>
                <w:lang w:val="en-US" w:eastAsia="zh-CN"/>
              </w:rPr>
              <w:t>②</w:t>
            </w:r>
            <w:r>
              <w:rPr>
                <w:rFonts w:hint="eastAsia" w:ascii="宋体" w:hAnsi="宋体" w:eastAsia="宋体" w:cs="宋体"/>
                <w:b/>
                <w:bCs/>
                <w:snapToGrid/>
                <w:kern w:val="2"/>
                <w:sz w:val="24"/>
                <w:szCs w:val="24"/>
                <w:highlight w:val="none"/>
                <w:lang w:val="zh-CN" w:eastAsia="zh-CN"/>
              </w:rPr>
              <w:t>参选保证金必须从</w:t>
            </w:r>
            <w:r>
              <w:rPr>
                <w:rFonts w:hint="eastAsia" w:ascii="宋体" w:hAnsi="宋体" w:eastAsia="宋体" w:cs="宋体"/>
                <w:b/>
                <w:bCs/>
                <w:snapToGrid/>
                <w:kern w:val="2"/>
                <w:sz w:val="24"/>
                <w:szCs w:val="24"/>
                <w:highlight w:val="none"/>
                <w:lang w:val="en-US" w:eastAsia="zh-CN"/>
              </w:rPr>
              <w:t>响应人</w:t>
            </w:r>
            <w:r>
              <w:rPr>
                <w:rFonts w:hint="eastAsia" w:ascii="宋体" w:hAnsi="宋体" w:eastAsia="宋体" w:cs="宋体"/>
                <w:b/>
                <w:bCs/>
                <w:snapToGrid/>
                <w:kern w:val="2"/>
                <w:sz w:val="24"/>
                <w:szCs w:val="24"/>
                <w:highlight w:val="none"/>
                <w:lang w:val="zh-CN" w:eastAsia="zh-CN"/>
              </w:rPr>
              <w:t>帐户转出；未按上述规定递交参选保证金的</w:t>
            </w:r>
            <w:r>
              <w:rPr>
                <w:rFonts w:hint="eastAsia" w:ascii="宋体" w:hAnsi="宋体" w:eastAsia="宋体" w:cs="宋体"/>
                <w:b/>
                <w:bCs/>
                <w:snapToGrid/>
                <w:kern w:val="2"/>
                <w:sz w:val="24"/>
                <w:szCs w:val="24"/>
                <w:highlight w:val="none"/>
                <w:lang w:val="en-US" w:eastAsia="zh-CN"/>
              </w:rPr>
              <w:t>响应人</w:t>
            </w:r>
            <w:r>
              <w:rPr>
                <w:rFonts w:hint="eastAsia" w:ascii="宋体" w:hAnsi="宋体" w:eastAsia="宋体" w:cs="宋体"/>
                <w:b/>
                <w:bCs/>
                <w:snapToGrid/>
                <w:kern w:val="2"/>
                <w:sz w:val="24"/>
                <w:szCs w:val="24"/>
                <w:highlight w:val="none"/>
                <w:lang w:val="zh-CN" w:eastAsia="zh-CN"/>
              </w:rPr>
              <w:t>，按无效</w:t>
            </w:r>
            <w:r>
              <w:rPr>
                <w:rFonts w:hint="eastAsia" w:ascii="宋体" w:hAnsi="宋体" w:eastAsia="宋体" w:cs="宋体"/>
                <w:b/>
                <w:bCs/>
                <w:snapToGrid/>
                <w:kern w:val="2"/>
                <w:sz w:val="24"/>
                <w:szCs w:val="24"/>
                <w:highlight w:val="none"/>
                <w:lang w:val="en-US" w:eastAsia="zh-CN"/>
              </w:rPr>
              <w:t>参选</w:t>
            </w:r>
            <w:r>
              <w:rPr>
                <w:rFonts w:hint="eastAsia" w:ascii="宋体" w:hAnsi="宋体" w:eastAsia="宋体" w:cs="宋体"/>
                <w:b/>
                <w:bCs/>
                <w:snapToGrid/>
                <w:kern w:val="2"/>
                <w:sz w:val="24"/>
                <w:szCs w:val="24"/>
                <w:highlight w:val="none"/>
                <w:lang w:val="zh-CN" w:eastAsia="zh-CN"/>
              </w:rPr>
              <w:t>处理；</w:t>
            </w:r>
          </w:p>
          <w:p w14:paraId="6C077D12">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b/>
                <w:bCs/>
                <w:snapToGrid/>
                <w:kern w:val="2"/>
                <w:sz w:val="24"/>
                <w:szCs w:val="24"/>
                <w:highlight w:val="none"/>
                <w:lang w:val="en-US" w:eastAsia="zh-CN"/>
              </w:rPr>
              <w:t>③响应人</w:t>
            </w:r>
            <w:r>
              <w:rPr>
                <w:rFonts w:hint="eastAsia" w:ascii="宋体" w:hAnsi="宋体" w:eastAsia="宋体" w:cs="宋体"/>
                <w:b/>
                <w:bCs/>
                <w:snapToGrid/>
                <w:kern w:val="2"/>
                <w:sz w:val="24"/>
                <w:szCs w:val="24"/>
                <w:highlight w:val="none"/>
                <w:lang w:val="zh-CN" w:eastAsia="zh-CN"/>
              </w:rPr>
              <w:t>应充分考虑银行数据交换时间，由此带来的保证金不能按时到帐的责任由</w:t>
            </w:r>
            <w:r>
              <w:rPr>
                <w:rFonts w:hint="eastAsia" w:ascii="宋体" w:hAnsi="宋体" w:eastAsia="宋体" w:cs="宋体"/>
                <w:b/>
                <w:bCs/>
                <w:snapToGrid/>
                <w:kern w:val="2"/>
                <w:sz w:val="24"/>
                <w:szCs w:val="24"/>
                <w:highlight w:val="none"/>
                <w:lang w:val="en-US" w:eastAsia="zh-CN"/>
              </w:rPr>
              <w:t>响应人</w:t>
            </w:r>
            <w:r>
              <w:rPr>
                <w:rFonts w:hint="eastAsia" w:ascii="宋体" w:hAnsi="宋体" w:eastAsia="宋体" w:cs="宋体"/>
                <w:b/>
                <w:bCs/>
                <w:snapToGrid/>
                <w:kern w:val="2"/>
                <w:sz w:val="24"/>
                <w:szCs w:val="24"/>
                <w:highlight w:val="none"/>
                <w:lang w:val="zh-CN" w:eastAsia="zh-CN"/>
              </w:rPr>
              <w:t>自行承担。</w:t>
            </w:r>
          </w:p>
          <w:p w14:paraId="6BBC8D15">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val="zh-CN" w:eastAsia="zh-CN"/>
              </w:rPr>
              <w:t>2.采用支票、汇票、本票或者金融机构、担保机构出具的保函等形式的，上述保证金应附在</w:t>
            </w:r>
            <w:r>
              <w:rPr>
                <w:rFonts w:hint="eastAsia" w:ascii="宋体" w:hAnsi="宋体" w:eastAsia="宋体" w:cs="宋体"/>
                <w:snapToGrid/>
                <w:kern w:val="2"/>
                <w:sz w:val="24"/>
                <w:szCs w:val="24"/>
                <w:highlight w:val="none"/>
                <w:lang w:val="en-US" w:eastAsia="zh-CN"/>
              </w:rPr>
              <w:t>响应文件</w:t>
            </w:r>
            <w:r>
              <w:rPr>
                <w:rFonts w:hint="eastAsia" w:ascii="宋体" w:hAnsi="宋体" w:eastAsia="宋体" w:cs="宋体"/>
                <w:snapToGrid/>
                <w:kern w:val="2"/>
                <w:sz w:val="24"/>
                <w:szCs w:val="24"/>
                <w:highlight w:val="none"/>
                <w:lang w:val="zh-CN" w:eastAsia="zh-CN"/>
              </w:rPr>
              <w:t>中，原件需到期退还的，可以单独密封在包封中。</w:t>
            </w:r>
          </w:p>
        </w:tc>
      </w:tr>
      <w:tr w14:paraId="505E2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08" w:type="dxa"/>
            <w:vAlign w:val="center"/>
          </w:tcPr>
          <w:p w14:paraId="2B566BCB">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12</w:t>
            </w:r>
          </w:p>
        </w:tc>
        <w:tc>
          <w:tcPr>
            <w:tcW w:w="1700" w:type="dxa"/>
            <w:vAlign w:val="center"/>
          </w:tcPr>
          <w:p w14:paraId="553174D5">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参选有效期</w:t>
            </w:r>
          </w:p>
        </w:tc>
        <w:tc>
          <w:tcPr>
            <w:tcW w:w="6514" w:type="dxa"/>
            <w:vAlign w:val="top"/>
          </w:tcPr>
          <w:p w14:paraId="51968049">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自参选递交截止时间起90日历天。</w:t>
            </w:r>
          </w:p>
        </w:tc>
      </w:tr>
      <w:tr w14:paraId="0F69D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708" w:type="dxa"/>
            <w:vAlign w:val="center"/>
          </w:tcPr>
          <w:p w14:paraId="7E985C99">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zh-CN"/>
              </w:rPr>
            </w:pPr>
            <w:r>
              <w:rPr>
                <w:rFonts w:hint="eastAsia" w:ascii="宋体" w:hAnsi="宋体" w:eastAsia="宋体" w:cs="宋体"/>
                <w:snapToGrid/>
                <w:kern w:val="2"/>
                <w:sz w:val="24"/>
                <w:szCs w:val="24"/>
                <w:highlight w:val="none"/>
                <w:lang w:val="en-US" w:eastAsia="zh-CN"/>
              </w:rPr>
              <w:t>13</w:t>
            </w:r>
          </w:p>
        </w:tc>
        <w:tc>
          <w:tcPr>
            <w:tcW w:w="1700" w:type="dxa"/>
            <w:vAlign w:val="center"/>
          </w:tcPr>
          <w:p w14:paraId="1E5952EC">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响应文件数量</w:t>
            </w:r>
          </w:p>
        </w:tc>
        <w:tc>
          <w:tcPr>
            <w:tcW w:w="6514" w:type="dxa"/>
            <w:vAlign w:val="top"/>
          </w:tcPr>
          <w:p w14:paraId="33490F40">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响应文件正本一份，副本</w:t>
            </w:r>
            <w:r>
              <w:rPr>
                <w:rFonts w:hint="eastAsia" w:ascii="宋体" w:hAnsi="宋体" w:eastAsia="宋体" w:cs="宋体"/>
                <w:snapToGrid/>
                <w:kern w:val="2"/>
                <w:sz w:val="24"/>
                <w:szCs w:val="24"/>
                <w:highlight w:val="none"/>
                <w:lang w:val="en-US" w:eastAsia="zh-CN"/>
              </w:rPr>
              <w:t>四</w:t>
            </w:r>
            <w:r>
              <w:rPr>
                <w:rFonts w:hint="eastAsia" w:ascii="宋体" w:hAnsi="宋体" w:eastAsia="宋体" w:cs="宋体"/>
                <w:snapToGrid/>
                <w:kern w:val="2"/>
                <w:sz w:val="24"/>
                <w:szCs w:val="24"/>
                <w:highlight w:val="none"/>
                <w:lang w:eastAsia="zh-CN"/>
              </w:rPr>
              <w:t>份，电子版WORD和PDF格式参选文件各一份（U盘）。</w:t>
            </w:r>
          </w:p>
        </w:tc>
      </w:tr>
      <w:tr w14:paraId="58BA7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708" w:type="dxa"/>
            <w:vAlign w:val="center"/>
          </w:tcPr>
          <w:p w14:paraId="48B3E8DC">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1</w:t>
            </w:r>
            <w:r>
              <w:rPr>
                <w:rFonts w:hint="eastAsia" w:ascii="宋体" w:hAnsi="宋体" w:eastAsia="宋体" w:cs="宋体"/>
                <w:snapToGrid/>
                <w:kern w:val="2"/>
                <w:sz w:val="24"/>
                <w:szCs w:val="24"/>
                <w:highlight w:val="none"/>
                <w:lang w:val="en-US" w:eastAsia="zh-CN"/>
              </w:rPr>
              <w:t>4</w:t>
            </w:r>
          </w:p>
        </w:tc>
        <w:tc>
          <w:tcPr>
            <w:tcW w:w="1700" w:type="dxa"/>
            <w:vAlign w:val="center"/>
          </w:tcPr>
          <w:p w14:paraId="49037AC3">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签字或盖章要求</w:t>
            </w:r>
          </w:p>
        </w:tc>
        <w:tc>
          <w:tcPr>
            <w:tcW w:w="6514" w:type="dxa"/>
            <w:vAlign w:val="top"/>
          </w:tcPr>
          <w:p w14:paraId="6310F853">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响应文件应按遴选文件要求进行签字或盖章，未按要求签字或盖章，其响应文件视为无效，取消其参选资格。</w:t>
            </w:r>
          </w:p>
        </w:tc>
      </w:tr>
      <w:tr w14:paraId="3D881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708" w:type="dxa"/>
            <w:vAlign w:val="center"/>
          </w:tcPr>
          <w:p w14:paraId="3DBF4782">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1</w:t>
            </w:r>
            <w:r>
              <w:rPr>
                <w:rFonts w:hint="eastAsia" w:ascii="宋体" w:hAnsi="宋体" w:eastAsia="宋体" w:cs="宋体"/>
                <w:snapToGrid/>
                <w:kern w:val="2"/>
                <w:sz w:val="24"/>
                <w:szCs w:val="24"/>
                <w:highlight w:val="none"/>
                <w:lang w:val="en-US" w:eastAsia="zh-CN"/>
              </w:rPr>
              <w:t>5</w:t>
            </w:r>
          </w:p>
        </w:tc>
        <w:tc>
          <w:tcPr>
            <w:tcW w:w="1700" w:type="dxa"/>
            <w:vAlign w:val="center"/>
          </w:tcPr>
          <w:p w14:paraId="5E8C8251">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响应文件的密封</w:t>
            </w:r>
          </w:p>
        </w:tc>
        <w:tc>
          <w:tcPr>
            <w:tcW w:w="6514" w:type="dxa"/>
            <w:vAlign w:val="top"/>
          </w:tcPr>
          <w:p w14:paraId="7817B7FE">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1．应将响应文件正本、副本、电子版分别密封，密封应标注项目名称、响应人名称等内容，密封口处应加盖响应人单位公章。具体见遴选文件的规定。</w:t>
            </w:r>
          </w:p>
          <w:p w14:paraId="1A26A9B4">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val="zh-CN" w:eastAsia="zh-CN"/>
              </w:rPr>
              <w:t>2．未按照上述要求密封及在密封标注的，其响应文件将被拒收。</w:t>
            </w:r>
          </w:p>
        </w:tc>
      </w:tr>
      <w:tr w14:paraId="4F18D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708" w:type="dxa"/>
            <w:shd w:val="clear" w:color="auto" w:fill="auto"/>
            <w:vAlign w:val="center"/>
          </w:tcPr>
          <w:p w14:paraId="381F301B">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zh-CN"/>
              </w:rPr>
            </w:pPr>
            <w:r>
              <w:rPr>
                <w:rFonts w:hint="eastAsia" w:ascii="宋体" w:hAnsi="宋体" w:eastAsia="宋体" w:cs="宋体"/>
                <w:snapToGrid/>
                <w:kern w:val="2"/>
                <w:sz w:val="24"/>
                <w:szCs w:val="24"/>
                <w:highlight w:val="none"/>
                <w:lang w:eastAsia="zh-CN"/>
              </w:rPr>
              <w:t>1</w:t>
            </w:r>
            <w:r>
              <w:rPr>
                <w:rFonts w:hint="eastAsia" w:ascii="宋体" w:hAnsi="宋体" w:eastAsia="宋体" w:cs="宋体"/>
                <w:snapToGrid/>
                <w:kern w:val="2"/>
                <w:sz w:val="24"/>
                <w:szCs w:val="24"/>
                <w:highlight w:val="none"/>
                <w:lang w:val="en-US" w:eastAsia="zh-CN"/>
              </w:rPr>
              <w:t>6</w:t>
            </w:r>
          </w:p>
        </w:tc>
        <w:tc>
          <w:tcPr>
            <w:tcW w:w="1700" w:type="dxa"/>
            <w:shd w:val="clear" w:color="auto" w:fill="auto"/>
            <w:vAlign w:val="center"/>
          </w:tcPr>
          <w:p w14:paraId="59AA3DB1">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eastAsia="zh-CN"/>
              </w:rPr>
              <w:t>纸质响应文件装订要求</w:t>
            </w:r>
          </w:p>
        </w:tc>
        <w:tc>
          <w:tcPr>
            <w:tcW w:w="6514" w:type="dxa"/>
            <w:shd w:val="clear" w:color="auto" w:fill="auto"/>
            <w:vAlign w:val="top"/>
          </w:tcPr>
          <w:p w14:paraId="71B1A2EA">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eastAsia="zh-CN"/>
              </w:rPr>
              <w:t>响应文件包含参选函、</w:t>
            </w:r>
            <w:r>
              <w:rPr>
                <w:rFonts w:hint="eastAsia" w:ascii="宋体" w:hAnsi="宋体" w:eastAsia="宋体" w:cs="宋体"/>
                <w:snapToGrid/>
                <w:kern w:val="2"/>
                <w:sz w:val="24"/>
                <w:szCs w:val="24"/>
                <w:highlight w:val="none"/>
                <w:lang w:val="en-US" w:eastAsia="zh-CN"/>
              </w:rPr>
              <w:t>首轮报价一览表</w:t>
            </w:r>
            <w:r>
              <w:rPr>
                <w:rFonts w:hint="eastAsia" w:ascii="宋体" w:hAnsi="宋体" w:eastAsia="宋体" w:cs="宋体"/>
                <w:snapToGrid/>
                <w:kern w:val="2"/>
                <w:sz w:val="24"/>
                <w:szCs w:val="24"/>
                <w:highlight w:val="none"/>
                <w:lang w:eastAsia="zh-CN"/>
              </w:rPr>
              <w:t>、商务文件、技术文件四部分，胶装成册。响应文件为A4幅面，并编制目录，目录、内容标注连续页码，响应文件正本上明确注明“正本”字 样，副本明确标明“副本”字样；正本和副本不一致时，以正 本为准。未按照上述要求装订的响应文件视为无效，取消其参 选资格。具体要求见遴选文件。</w:t>
            </w:r>
          </w:p>
        </w:tc>
      </w:tr>
      <w:tr w14:paraId="3FE92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708" w:type="dxa"/>
            <w:shd w:val="clear" w:color="auto" w:fill="auto"/>
            <w:vAlign w:val="center"/>
          </w:tcPr>
          <w:p w14:paraId="05CCE6C2">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zh-CN"/>
              </w:rPr>
            </w:pPr>
            <w:r>
              <w:rPr>
                <w:rFonts w:hint="eastAsia" w:ascii="宋体" w:hAnsi="宋体" w:eastAsia="宋体" w:cs="宋体"/>
                <w:snapToGrid/>
                <w:kern w:val="2"/>
                <w:sz w:val="24"/>
                <w:szCs w:val="24"/>
                <w:highlight w:val="none"/>
                <w:lang w:val="en-US" w:eastAsia="zh-CN"/>
              </w:rPr>
              <w:t>17</w:t>
            </w:r>
          </w:p>
        </w:tc>
        <w:tc>
          <w:tcPr>
            <w:tcW w:w="1700" w:type="dxa"/>
            <w:shd w:val="clear" w:color="auto" w:fill="auto"/>
            <w:vAlign w:val="center"/>
          </w:tcPr>
          <w:p w14:paraId="3F831A44">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eastAsia="zh-CN"/>
              </w:rPr>
              <w:t>响应文件递交时间及地点</w:t>
            </w:r>
          </w:p>
        </w:tc>
        <w:tc>
          <w:tcPr>
            <w:tcW w:w="6514" w:type="dxa"/>
            <w:shd w:val="clear" w:color="auto" w:fill="auto"/>
            <w:vAlign w:val="center"/>
          </w:tcPr>
          <w:p w14:paraId="587F2400">
            <w:pPr>
              <w:keepNext w:val="0"/>
              <w:keepLines w:val="0"/>
              <w:pageBreakBefore w:val="0"/>
              <w:widowControl w:val="0"/>
              <w:numPr>
                <w:ilvl w:val="0"/>
                <w:numId w:val="0"/>
              </w:numPr>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color w:val="auto"/>
                <w:kern w:val="2"/>
                <w:sz w:val="24"/>
                <w:szCs w:val="24"/>
                <w:highlight w:val="none"/>
                <w:lang w:val="zh-CN" w:eastAsia="zh-CN"/>
              </w:rPr>
            </w:pPr>
            <w:r>
              <w:rPr>
                <w:rFonts w:hint="eastAsia" w:ascii="宋体" w:hAnsi="宋体" w:eastAsia="宋体" w:cs="宋体"/>
                <w:snapToGrid/>
                <w:color w:val="auto"/>
                <w:kern w:val="2"/>
                <w:sz w:val="24"/>
                <w:szCs w:val="24"/>
                <w:highlight w:val="none"/>
                <w:lang w:val="en-US" w:eastAsia="zh-CN"/>
              </w:rPr>
              <w:t>1.</w:t>
            </w:r>
            <w:r>
              <w:rPr>
                <w:rFonts w:hint="eastAsia" w:ascii="宋体" w:hAnsi="宋体" w:eastAsia="宋体" w:cs="宋体"/>
                <w:snapToGrid/>
                <w:color w:val="auto"/>
                <w:kern w:val="2"/>
                <w:sz w:val="24"/>
                <w:szCs w:val="24"/>
                <w:highlight w:val="none"/>
                <w:lang w:eastAsia="zh-CN"/>
              </w:rPr>
              <w:t>响应文件递交时间：202</w:t>
            </w:r>
            <w:r>
              <w:rPr>
                <w:rFonts w:hint="eastAsia" w:ascii="宋体" w:hAnsi="宋体" w:eastAsia="宋体" w:cs="宋体"/>
                <w:snapToGrid/>
                <w:color w:val="auto"/>
                <w:kern w:val="2"/>
                <w:sz w:val="24"/>
                <w:szCs w:val="24"/>
                <w:highlight w:val="none"/>
                <w:lang w:val="en-US" w:eastAsia="zh-CN"/>
              </w:rPr>
              <w:t>6</w:t>
            </w:r>
            <w:r>
              <w:rPr>
                <w:rFonts w:hint="eastAsia" w:ascii="宋体" w:hAnsi="宋体" w:eastAsia="宋体" w:cs="宋体"/>
                <w:snapToGrid/>
                <w:color w:val="auto"/>
                <w:kern w:val="2"/>
                <w:sz w:val="24"/>
                <w:szCs w:val="24"/>
                <w:highlight w:val="none"/>
                <w:lang w:eastAsia="zh-CN"/>
              </w:rPr>
              <w:t>年</w:t>
            </w:r>
            <w:r>
              <w:rPr>
                <w:rFonts w:hint="eastAsia" w:ascii="宋体" w:hAnsi="宋体" w:eastAsia="宋体" w:cs="宋体"/>
                <w:snapToGrid/>
                <w:color w:val="auto"/>
                <w:kern w:val="2"/>
                <w:sz w:val="24"/>
                <w:szCs w:val="24"/>
                <w:highlight w:val="none"/>
                <w:lang w:val="en-US" w:eastAsia="zh-CN"/>
              </w:rPr>
              <w:t>2</w:t>
            </w:r>
            <w:r>
              <w:rPr>
                <w:rFonts w:hint="eastAsia" w:ascii="宋体" w:hAnsi="宋体" w:eastAsia="宋体" w:cs="宋体"/>
                <w:snapToGrid/>
                <w:color w:val="auto"/>
                <w:kern w:val="2"/>
                <w:sz w:val="24"/>
                <w:szCs w:val="24"/>
                <w:highlight w:val="none"/>
                <w:lang w:eastAsia="zh-CN"/>
              </w:rPr>
              <w:t>月</w:t>
            </w:r>
            <w:r>
              <w:rPr>
                <w:rFonts w:hint="eastAsia" w:ascii="宋体" w:hAnsi="宋体" w:eastAsia="宋体" w:cs="宋体"/>
                <w:snapToGrid/>
                <w:color w:val="auto"/>
                <w:kern w:val="2"/>
                <w:sz w:val="24"/>
                <w:szCs w:val="24"/>
                <w:highlight w:val="none"/>
                <w:lang w:val="en-US" w:eastAsia="zh-CN"/>
              </w:rPr>
              <w:t>28</w:t>
            </w:r>
            <w:r>
              <w:rPr>
                <w:rFonts w:hint="eastAsia" w:ascii="宋体" w:hAnsi="宋体" w:eastAsia="宋体" w:cs="宋体"/>
                <w:snapToGrid/>
                <w:color w:val="auto"/>
                <w:kern w:val="2"/>
                <w:sz w:val="24"/>
                <w:szCs w:val="24"/>
                <w:highlight w:val="none"/>
                <w:lang w:eastAsia="zh-CN"/>
              </w:rPr>
              <w:t>日</w:t>
            </w:r>
            <w:r>
              <w:rPr>
                <w:rFonts w:hint="eastAsia" w:ascii="宋体" w:hAnsi="宋体" w:eastAsia="宋体" w:cs="宋体"/>
                <w:snapToGrid/>
                <w:color w:val="auto"/>
                <w:kern w:val="2"/>
                <w:sz w:val="24"/>
                <w:szCs w:val="24"/>
                <w:highlight w:val="none"/>
                <w:lang w:val="en-US" w:eastAsia="zh-CN"/>
              </w:rPr>
              <w:t>08</w:t>
            </w:r>
            <w:r>
              <w:rPr>
                <w:rFonts w:hint="eastAsia" w:ascii="宋体" w:hAnsi="宋体" w:eastAsia="宋体" w:cs="宋体"/>
                <w:snapToGrid/>
                <w:color w:val="auto"/>
                <w:kern w:val="2"/>
                <w:sz w:val="24"/>
                <w:szCs w:val="24"/>
                <w:highlight w:val="none"/>
                <w:lang w:eastAsia="zh-CN"/>
              </w:rPr>
              <w:t>：</w:t>
            </w:r>
            <w:r>
              <w:rPr>
                <w:rFonts w:hint="eastAsia" w:ascii="宋体" w:hAnsi="宋体" w:eastAsia="宋体" w:cs="宋体"/>
                <w:snapToGrid/>
                <w:color w:val="auto"/>
                <w:kern w:val="2"/>
                <w:sz w:val="24"/>
                <w:szCs w:val="24"/>
                <w:highlight w:val="none"/>
                <w:lang w:val="en-US" w:eastAsia="zh-CN"/>
              </w:rPr>
              <w:t>00</w:t>
            </w:r>
            <w:r>
              <w:rPr>
                <w:rFonts w:hint="eastAsia" w:ascii="宋体" w:hAnsi="宋体" w:eastAsia="宋体" w:cs="宋体"/>
                <w:snapToGrid/>
                <w:color w:val="auto"/>
                <w:kern w:val="2"/>
                <w:sz w:val="24"/>
                <w:szCs w:val="24"/>
                <w:highlight w:val="none"/>
                <w:lang w:eastAsia="zh-CN"/>
              </w:rPr>
              <w:t>-</w:t>
            </w:r>
            <w:r>
              <w:rPr>
                <w:rFonts w:hint="eastAsia" w:ascii="宋体" w:hAnsi="宋体" w:eastAsia="宋体" w:cs="宋体"/>
                <w:snapToGrid/>
                <w:color w:val="auto"/>
                <w:kern w:val="2"/>
                <w:sz w:val="24"/>
                <w:szCs w:val="24"/>
                <w:highlight w:val="none"/>
                <w:lang w:val="en-US" w:eastAsia="zh-CN"/>
              </w:rPr>
              <w:t>09</w:t>
            </w:r>
            <w:r>
              <w:rPr>
                <w:rFonts w:hint="eastAsia" w:ascii="宋体" w:hAnsi="宋体" w:eastAsia="宋体" w:cs="宋体"/>
                <w:snapToGrid/>
                <w:color w:val="auto"/>
                <w:kern w:val="2"/>
                <w:sz w:val="24"/>
                <w:szCs w:val="24"/>
                <w:highlight w:val="none"/>
                <w:lang w:eastAsia="zh-CN"/>
              </w:rPr>
              <w:t>：</w:t>
            </w:r>
            <w:r>
              <w:rPr>
                <w:rFonts w:hint="eastAsia" w:ascii="宋体" w:hAnsi="宋体" w:eastAsia="宋体" w:cs="宋体"/>
                <w:snapToGrid/>
                <w:color w:val="auto"/>
                <w:kern w:val="2"/>
                <w:sz w:val="24"/>
                <w:szCs w:val="24"/>
                <w:highlight w:val="none"/>
                <w:lang w:val="en-US" w:eastAsia="zh-CN"/>
              </w:rPr>
              <w:t xml:space="preserve">00   </w:t>
            </w:r>
            <w:r>
              <w:rPr>
                <w:rFonts w:hint="eastAsia" w:ascii="宋体" w:hAnsi="宋体" w:eastAsia="宋体" w:cs="宋体"/>
                <w:snapToGrid/>
                <w:color w:val="auto"/>
                <w:kern w:val="2"/>
                <w:sz w:val="24"/>
                <w:szCs w:val="24"/>
                <w:highlight w:val="none"/>
                <w:lang w:eastAsia="zh-CN"/>
              </w:rPr>
              <w:t xml:space="preserve"> （北京时间）。</w:t>
            </w:r>
          </w:p>
          <w:p w14:paraId="464713B4">
            <w:pPr>
              <w:keepNext w:val="0"/>
              <w:keepLines w:val="0"/>
              <w:pageBreakBefore w:val="0"/>
              <w:widowControl w:val="0"/>
              <w:numPr>
                <w:ilvl w:val="0"/>
                <w:numId w:val="0"/>
              </w:numPr>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color w:val="auto"/>
                <w:kern w:val="2"/>
                <w:sz w:val="24"/>
                <w:szCs w:val="24"/>
                <w:highlight w:val="none"/>
                <w:lang w:val="zh-CN" w:eastAsia="zh-CN"/>
              </w:rPr>
            </w:pPr>
            <w:r>
              <w:rPr>
                <w:rFonts w:hint="eastAsia" w:ascii="宋体" w:hAnsi="宋体" w:eastAsia="宋体" w:cs="宋体"/>
                <w:snapToGrid/>
                <w:color w:val="auto"/>
                <w:kern w:val="2"/>
                <w:sz w:val="24"/>
                <w:szCs w:val="24"/>
                <w:highlight w:val="none"/>
                <w:lang w:eastAsia="zh-CN"/>
              </w:rPr>
              <w:t>2.递交地点：山东省青岛市崂山区香岭路1号北大资源博雅3号楼22层2204会议室。</w:t>
            </w:r>
          </w:p>
        </w:tc>
      </w:tr>
      <w:tr w14:paraId="0058B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708" w:type="dxa"/>
            <w:shd w:val="clear" w:color="auto" w:fill="auto"/>
            <w:vAlign w:val="center"/>
          </w:tcPr>
          <w:p w14:paraId="02B67179">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en-US"/>
              </w:rPr>
            </w:pPr>
            <w:r>
              <w:rPr>
                <w:rFonts w:hint="eastAsia" w:ascii="宋体" w:hAnsi="宋体" w:eastAsia="宋体" w:cs="宋体"/>
                <w:snapToGrid/>
                <w:kern w:val="2"/>
                <w:sz w:val="24"/>
                <w:szCs w:val="24"/>
                <w:highlight w:val="none"/>
                <w:lang w:eastAsia="zh-CN"/>
              </w:rPr>
              <w:t>1</w:t>
            </w:r>
            <w:r>
              <w:rPr>
                <w:rFonts w:hint="eastAsia" w:ascii="宋体" w:hAnsi="宋体" w:eastAsia="宋体" w:cs="宋体"/>
                <w:snapToGrid/>
                <w:kern w:val="2"/>
                <w:sz w:val="24"/>
                <w:szCs w:val="24"/>
                <w:highlight w:val="none"/>
                <w:lang w:val="en-US" w:eastAsia="zh-CN"/>
              </w:rPr>
              <w:t>8</w:t>
            </w:r>
          </w:p>
        </w:tc>
        <w:tc>
          <w:tcPr>
            <w:tcW w:w="1700" w:type="dxa"/>
            <w:shd w:val="clear" w:color="auto" w:fill="auto"/>
            <w:vAlign w:val="center"/>
          </w:tcPr>
          <w:p w14:paraId="55FAA9F7">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zh-CN" w:eastAsia="zh-CN"/>
              </w:rPr>
            </w:pPr>
            <w:r>
              <w:rPr>
                <w:rFonts w:hint="eastAsia" w:ascii="宋体" w:hAnsi="宋体" w:eastAsia="宋体" w:cs="宋体"/>
                <w:snapToGrid/>
                <w:kern w:val="2"/>
                <w:sz w:val="24"/>
                <w:szCs w:val="24"/>
                <w:highlight w:val="none"/>
                <w:lang w:eastAsia="zh-CN"/>
              </w:rPr>
              <w:t>遴选时间</w:t>
            </w:r>
            <w:r>
              <w:rPr>
                <w:rFonts w:hint="eastAsia" w:ascii="宋体" w:hAnsi="宋体" w:eastAsia="宋体" w:cs="宋体"/>
                <w:snapToGrid/>
                <w:kern w:val="2"/>
                <w:sz w:val="24"/>
                <w:szCs w:val="24"/>
                <w:highlight w:val="none"/>
                <w:lang w:val="en-US" w:eastAsia="zh-CN"/>
              </w:rPr>
              <w:t>及</w:t>
            </w:r>
            <w:r>
              <w:rPr>
                <w:rFonts w:hint="eastAsia" w:ascii="宋体" w:hAnsi="宋体" w:eastAsia="宋体" w:cs="宋体"/>
                <w:snapToGrid/>
                <w:kern w:val="2"/>
                <w:sz w:val="24"/>
                <w:szCs w:val="24"/>
                <w:highlight w:val="none"/>
                <w:lang w:eastAsia="zh-CN"/>
              </w:rPr>
              <w:t>地点</w:t>
            </w:r>
          </w:p>
        </w:tc>
        <w:tc>
          <w:tcPr>
            <w:tcW w:w="6514" w:type="dxa"/>
            <w:shd w:val="clear" w:color="auto" w:fill="auto"/>
            <w:vAlign w:val="top"/>
          </w:tcPr>
          <w:p w14:paraId="3A2243DD">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val="en-US" w:eastAsia="zh-CN"/>
              </w:rPr>
              <w:t>1</w:t>
            </w:r>
            <w:r>
              <w:rPr>
                <w:rFonts w:hint="eastAsia" w:ascii="宋体" w:hAnsi="宋体" w:eastAsia="宋体" w:cs="宋体"/>
                <w:snapToGrid/>
                <w:color w:val="auto"/>
                <w:kern w:val="2"/>
                <w:sz w:val="24"/>
                <w:szCs w:val="24"/>
                <w:highlight w:val="none"/>
                <w:lang w:eastAsia="zh-CN"/>
              </w:rPr>
              <w:t>.遴选时间：202</w:t>
            </w:r>
            <w:r>
              <w:rPr>
                <w:rFonts w:hint="eastAsia" w:ascii="宋体" w:hAnsi="宋体" w:eastAsia="宋体" w:cs="宋体"/>
                <w:snapToGrid/>
                <w:color w:val="auto"/>
                <w:kern w:val="2"/>
                <w:sz w:val="24"/>
                <w:szCs w:val="24"/>
                <w:highlight w:val="none"/>
                <w:lang w:val="en-US" w:eastAsia="zh-CN"/>
              </w:rPr>
              <w:t>6</w:t>
            </w:r>
            <w:r>
              <w:rPr>
                <w:rFonts w:hint="eastAsia" w:ascii="宋体" w:hAnsi="宋体" w:eastAsia="宋体" w:cs="宋体"/>
                <w:snapToGrid/>
                <w:color w:val="auto"/>
                <w:kern w:val="2"/>
                <w:sz w:val="24"/>
                <w:szCs w:val="24"/>
                <w:highlight w:val="none"/>
                <w:lang w:eastAsia="zh-CN"/>
              </w:rPr>
              <w:t>年</w:t>
            </w:r>
            <w:r>
              <w:rPr>
                <w:rFonts w:hint="eastAsia" w:ascii="宋体" w:hAnsi="宋体" w:eastAsia="宋体" w:cs="宋体"/>
                <w:snapToGrid/>
                <w:color w:val="auto"/>
                <w:kern w:val="2"/>
                <w:sz w:val="24"/>
                <w:szCs w:val="24"/>
                <w:highlight w:val="none"/>
                <w:lang w:val="en-US" w:eastAsia="zh-CN"/>
              </w:rPr>
              <w:t>2</w:t>
            </w:r>
            <w:r>
              <w:rPr>
                <w:rFonts w:hint="eastAsia" w:ascii="宋体" w:hAnsi="宋体" w:eastAsia="宋体" w:cs="宋体"/>
                <w:snapToGrid/>
                <w:color w:val="auto"/>
                <w:kern w:val="2"/>
                <w:sz w:val="24"/>
                <w:szCs w:val="24"/>
                <w:highlight w:val="none"/>
                <w:lang w:eastAsia="zh-CN"/>
              </w:rPr>
              <w:t>月</w:t>
            </w:r>
            <w:r>
              <w:rPr>
                <w:rFonts w:hint="eastAsia" w:ascii="宋体" w:hAnsi="宋体" w:eastAsia="宋体" w:cs="宋体"/>
                <w:snapToGrid/>
                <w:color w:val="auto"/>
                <w:kern w:val="2"/>
                <w:sz w:val="24"/>
                <w:szCs w:val="24"/>
                <w:highlight w:val="none"/>
                <w:lang w:val="en-US" w:eastAsia="zh-CN"/>
              </w:rPr>
              <w:t>28</w:t>
            </w:r>
            <w:r>
              <w:rPr>
                <w:rFonts w:hint="eastAsia" w:ascii="宋体" w:hAnsi="宋体" w:eastAsia="宋体" w:cs="宋体"/>
                <w:snapToGrid/>
                <w:color w:val="auto"/>
                <w:kern w:val="2"/>
                <w:sz w:val="24"/>
                <w:szCs w:val="24"/>
                <w:highlight w:val="none"/>
                <w:lang w:eastAsia="zh-CN"/>
              </w:rPr>
              <w:t>日</w:t>
            </w:r>
            <w:r>
              <w:rPr>
                <w:rFonts w:hint="eastAsia" w:ascii="宋体" w:hAnsi="宋体" w:eastAsia="宋体" w:cs="宋体"/>
                <w:snapToGrid/>
                <w:color w:val="auto"/>
                <w:kern w:val="2"/>
                <w:sz w:val="24"/>
                <w:szCs w:val="24"/>
                <w:highlight w:val="none"/>
                <w:lang w:val="en-US" w:eastAsia="zh-CN"/>
              </w:rPr>
              <w:t>09</w:t>
            </w:r>
            <w:r>
              <w:rPr>
                <w:rFonts w:hint="eastAsia" w:ascii="宋体" w:hAnsi="宋体" w:eastAsia="宋体" w:cs="宋体"/>
                <w:snapToGrid/>
                <w:color w:val="auto"/>
                <w:kern w:val="2"/>
                <w:sz w:val="24"/>
                <w:szCs w:val="24"/>
                <w:highlight w:val="none"/>
                <w:lang w:eastAsia="zh-CN"/>
              </w:rPr>
              <w:t>：</w:t>
            </w:r>
            <w:r>
              <w:rPr>
                <w:rFonts w:hint="eastAsia" w:ascii="宋体" w:hAnsi="宋体" w:eastAsia="宋体" w:cs="宋体"/>
                <w:snapToGrid/>
                <w:color w:val="auto"/>
                <w:kern w:val="2"/>
                <w:sz w:val="24"/>
                <w:szCs w:val="24"/>
                <w:highlight w:val="none"/>
                <w:lang w:val="en-US" w:eastAsia="zh-CN"/>
              </w:rPr>
              <w:t>00</w:t>
            </w:r>
            <w:r>
              <w:rPr>
                <w:rFonts w:hint="eastAsia" w:ascii="宋体" w:hAnsi="宋体" w:eastAsia="宋体" w:cs="宋体"/>
                <w:snapToGrid/>
                <w:color w:val="auto"/>
                <w:kern w:val="2"/>
                <w:sz w:val="24"/>
                <w:szCs w:val="24"/>
                <w:highlight w:val="none"/>
                <w:lang w:eastAsia="zh-CN"/>
              </w:rPr>
              <w:t>（北京时间）。</w:t>
            </w:r>
          </w:p>
          <w:p w14:paraId="0D180CA6">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color w:val="auto"/>
                <w:kern w:val="2"/>
                <w:sz w:val="24"/>
                <w:szCs w:val="24"/>
                <w:highlight w:val="none"/>
                <w:lang w:val="zh-CN" w:eastAsia="zh-CN"/>
              </w:rPr>
            </w:pPr>
            <w:r>
              <w:rPr>
                <w:rFonts w:hint="eastAsia" w:ascii="宋体" w:hAnsi="宋体" w:eastAsia="宋体" w:cs="宋体"/>
                <w:snapToGrid/>
                <w:color w:val="auto"/>
                <w:kern w:val="2"/>
                <w:sz w:val="24"/>
                <w:szCs w:val="24"/>
                <w:highlight w:val="none"/>
                <w:lang w:eastAsia="zh-CN"/>
              </w:rPr>
              <w:t>2.递交地点：山东省青岛市崂山区香岭路1号北大资源博雅3号楼22层2204会议室。</w:t>
            </w:r>
          </w:p>
        </w:tc>
      </w:tr>
      <w:tr w14:paraId="3C925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708" w:type="dxa"/>
            <w:shd w:val="clear" w:color="auto" w:fill="auto"/>
            <w:vAlign w:val="center"/>
          </w:tcPr>
          <w:p w14:paraId="5CACBD43">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default" w:ascii="宋体" w:hAnsi="宋体" w:eastAsia="宋体" w:cs="宋体"/>
                <w:snapToGrid/>
                <w:kern w:val="2"/>
                <w:sz w:val="24"/>
                <w:szCs w:val="24"/>
                <w:highlight w:val="none"/>
                <w:lang w:val="en-US" w:eastAsia="en-US"/>
              </w:rPr>
            </w:pPr>
            <w:r>
              <w:rPr>
                <w:rFonts w:hint="eastAsia" w:ascii="宋体" w:hAnsi="宋体" w:eastAsia="宋体" w:cs="宋体"/>
                <w:snapToGrid/>
                <w:kern w:val="2"/>
                <w:sz w:val="24"/>
                <w:szCs w:val="24"/>
                <w:highlight w:val="none"/>
                <w:lang w:val="en-US" w:eastAsia="zh-CN"/>
              </w:rPr>
              <w:t>19</w:t>
            </w:r>
          </w:p>
        </w:tc>
        <w:tc>
          <w:tcPr>
            <w:tcW w:w="1700" w:type="dxa"/>
            <w:shd w:val="clear" w:color="auto" w:fill="auto"/>
            <w:vAlign w:val="center"/>
          </w:tcPr>
          <w:p w14:paraId="00FE5FF3">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en-US"/>
              </w:rPr>
            </w:pPr>
            <w:r>
              <w:rPr>
                <w:rFonts w:hint="eastAsia" w:ascii="宋体" w:hAnsi="宋体" w:eastAsia="宋体" w:cs="宋体"/>
                <w:snapToGrid/>
                <w:kern w:val="2"/>
                <w:sz w:val="24"/>
                <w:szCs w:val="24"/>
                <w:highlight w:val="none"/>
                <w:lang w:eastAsia="zh-CN"/>
              </w:rPr>
              <w:t>信用记录</w:t>
            </w:r>
          </w:p>
        </w:tc>
        <w:tc>
          <w:tcPr>
            <w:tcW w:w="6514" w:type="dxa"/>
            <w:shd w:val="clear" w:color="auto" w:fill="auto"/>
            <w:vAlign w:val="top"/>
          </w:tcPr>
          <w:p w14:paraId="09D3E916">
            <w:pPr>
              <w:keepNext w:val="0"/>
              <w:keepLines w:val="0"/>
              <w:pageBreakBefore w:val="0"/>
              <w:widowControl w:val="0"/>
              <w:kinsoku/>
              <w:wordWrap/>
              <w:overflowPunct w:val="0"/>
              <w:topLinePunct/>
              <w:autoSpaceDE/>
              <w:autoSpaceDN/>
              <w:bidi w:val="0"/>
              <w:adjustRightInd/>
              <w:snapToGrid/>
              <w:spacing w:line="360" w:lineRule="auto"/>
              <w:ind w:firstLine="0" w:firstLineChars="0"/>
              <w:jc w:val="both"/>
              <w:textAlignment w:val="auto"/>
              <w:rPr>
                <w:rFonts w:hint="eastAsia" w:ascii="宋体" w:hAnsi="宋体" w:eastAsia="宋体" w:cs="宋体"/>
                <w:snapToGrid/>
                <w:kern w:val="2"/>
                <w:sz w:val="24"/>
                <w:szCs w:val="24"/>
                <w:highlight w:val="none"/>
                <w:lang w:val="en-US" w:eastAsia="zh-CN"/>
              </w:rPr>
            </w:pPr>
            <w:r>
              <w:rPr>
                <w:rFonts w:hint="eastAsia" w:ascii="宋体" w:hAnsi="宋体" w:eastAsia="宋体" w:cs="宋体"/>
                <w:snapToGrid/>
                <w:kern w:val="2"/>
                <w:sz w:val="24"/>
                <w:szCs w:val="24"/>
                <w:highlight w:val="none"/>
                <w:lang w:eastAsia="zh-CN"/>
              </w:rPr>
              <w:t>遴选人将在评选时，对响应人的信用记录进行查询，查询网址为信用中国（www.creditchina.gov.cn）、中国政府采购网（www.ccgp.gov.cn），对列入失信被执行人、重大税收违法失信主体名单、政府采购严重违法失信行为记录名单及其他不符合《中华人民共和国政府采购法》第二十二条规定条件的响应人，取消其参选资格。</w:t>
            </w:r>
          </w:p>
        </w:tc>
      </w:tr>
      <w:tr w14:paraId="66C08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708" w:type="dxa"/>
            <w:shd w:val="clear" w:color="auto" w:fill="auto"/>
            <w:vAlign w:val="center"/>
          </w:tcPr>
          <w:p w14:paraId="78C1B8D3">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en-US"/>
              </w:rPr>
            </w:pPr>
            <w:r>
              <w:rPr>
                <w:rFonts w:hint="eastAsia" w:ascii="宋体" w:hAnsi="宋体" w:eastAsia="宋体" w:cs="宋体"/>
                <w:snapToGrid/>
                <w:kern w:val="2"/>
                <w:sz w:val="24"/>
                <w:szCs w:val="24"/>
                <w:highlight w:val="none"/>
                <w:lang w:eastAsia="zh-CN"/>
              </w:rPr>
              <w:t>2</w:t>
            </w:r>
            <w:r>
              <w:rPr>
                <w:rFonts w:hint="eastAsia" w:ascii="宋体" w:hAnsi="宋体" w:eastAsia="宋体" w:cs="宋体"/>
                <w:snapToGrid/>
                <w:kern w:val="2"/>
                <w:sz w:val="24"/>
                <w:szCs w:val="24"/>
                <w:highlight w:val="none"/>
                <w:lang w:val="en-US" w:eastAsia="zh-CN"/>
              </w:rPr>
              <w:t>0</w:t>
            </w:r>
          </w:p>
        </w:tc>
        <w:tc>
          <w:tcPr>
            <w:tcW w:w="1700" w:type="dxa"/>
            <w:shd w:val="clear" w:color="auto" w:fill="auto"/>
            <w:vAlign w:val="center"/>
          </w:tcPr>
          <w:p w14:paraId="634D97A6">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en-US"/>
              </w:rPr>
            </w:pPr>
            <w:r>
              <w:rPr>
                <w:rFonts w:hint="eastAsia" w:ascii="宋体" w:hAnsi="宋体" w:eastAsia="宋体" w:cs="宋体"/>
                <w:snapToGrid/>
                <w:kern w:val="2"/>
                <w:sz w:val="24"/>
                <w:szCs w:val="24"/>
                <w:highlight w:val="none"/>
                <w:lang w:eastAsia="zh-CN"/>
              </w:rPr>
              <w:t>其他内容</w:t>
            </w:r>
          </w:p>
        </w:tc>
        <w:tc>
          <w:tcPr>
            <w:tcW w:w="6514" w:type="dxa"/>
            <w:shd w:val="clear" w:color="auto" w:fill="auto"/>
            <w:vAlign w:val="top"/>
          </w:tcPr>
          <w:p w14:paraId="322BB536">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eastAsia="zh-CN"/>
              </w:rPr>
            </w:pPr>
            <w:r>
              <w:rPr>
                <w:rFonts w:hint="eastAsia" w:ascii="宋体" w:hAnsi="宋体" w:eastAsia="宋体" w:cs="宋体"/>
                <w:snapToGrid/>
                <w:kern w:val="2"/>
                <w:sz w:val="24"/>
                <w:szCs w:val="24"/>
                <w:highlight w:val="none"/>
                <w:lang w:eastAsia="zh-CN"/>
              </w:rPr>
              <w:t>1.在任何遴选环节中，需评选小组就某项定性的评审结论做出表决的，由评选小组全体成员按照少数服从多数的原则，以记名投票方式表决。</w:t>
            </w:r>
          </w:p>
          <w:p w14:paraId="52CE0D2B">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en-US" w:eastAsia="zh-CN"/>
              </w:rPr>
            </w:pPr>
            <w:r>
              <w:rPr>
                <w:rFonts w:hint="eastAsia" w:ascii="宋体" w:hAnsi="宋体" w:eastAsia="宋体" w:cs="宋体"/>
                <w:snapToGrid/>
                <w:kern w:val="2"/>
                <w:sz w:val="24"/>
                <w:szCs w:val="24"/>
                <w:highlight w:val="none"/>
                <w:lang w:eastAsia="zh-CN"/>
              </w:rPr>
              <w:t>2.需要补充的其他内容：响应人如有疑问，可按相关规定以书面的形式向遴选人提出。</w:t>
            </w:r>
          </w:p>
        </w:tc>
      </w:tr>
      <w:tr w14:paraId="5B613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708" w:type="dxa"/>
            <w:shd w:val="clear" w:color="auto" w:fill="auto"/>
            <w:vAlign w:val="center"/>
          </w:tcPr>
          <w:p w14:paraId="707C7307">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en-US"/>
              </w:rPr>
            </w:pPr>
            <w:r>
              <w:rPr>
                <w:rFonts w:hint="eastAsia" w:ascii="宋体" w:hAnsi="宋体" w:eastAsia="宋体" w:cs="宋体"/>
                <w:snapToGrid/>
                <w:kern w:val="2"/>
                <w:sz w:val="24"/>
                <w:szCs w:val="24"/>
                <w:highlight w:val="none"/>
                <w:lang w:eastAsia="zh-CN"/>
              </w:rPr>
              <w:t>2</w:t>
            </w:r>
            <w:r>
              <w:rPr>
                <w:rFonts w:hint="eastAsia" w:ascii="宋体" w:hAnsi="宋体" w:eastAsia="宋体" w:cs="宋体"/>
                <w:snapToGrid/>
                <w:kern w:val="2"/>
                <w:sz w:val="24"/>
                <w:szCs w:val="24"/>
                <w:highlight w:val="none"/>
                <w:lang w:val="en-US" w:eastAsia="zh-CN"/>
              </w:rPr>
              <w:t>1</w:t>
            </w:r>
          </w:p>
        </w:tc>
        <w:tc>
          <w:tcPr>
            <w:tcW w:w="1700" w:type="dxa"/>
            <w:shd w:val="clear" w:color="auto" w:fill="auto"/>
            <w:vAlign w:val="center"/>
          </w:tcPr>
          <w:p w14:paraId="0F0BDF60">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en-US"/>
              </w:rPr>
            </w:pPr>
            <w:r>
              <w:rPr>
                <w:rFonts w:hint="eastAsia" w:ascii="宋体" w:hAnsi="宋体" w:eastAsia="宋体" w:cs="宋体"/>
                <w:snapToGrid/>
                <w:kern w:val="2"/>
                <w:sz w:val="24"/>
                <w:szCs w:val="24"/>
                <w:highlight w:val="none"/>
                <w:lang w:val="en-US" w:eastAsia="zh-CN"/>
              </w:rPr>
              <w:t>采购</w:t>
            </w:r>
            <w:r>
              <w:rPr>
                <w:rFonts w:hint="eastAsia" w:ascii="宋体" w:hAnsi="宋体" w:eastAsia="宋体" w:cs="宋体"/>
                <w:snapToGrid/>
                <w:kern w:val="2"/>
                <w:sz w:val="24"/>
                <w:szCs w:val="24"/>
                <w:highlight w:val="none"/>
                <w:lang w:eastAsia="zh-CN"/>
              </w:rPr>
              <w:t>代理费</w:t>
            </w:r>
          </w:p>
        </w:tc>
        <w:tc>
          <w:tcPr>
            <w:tcW w:w="6514" w:type="dxa"/>
            <w:shd w:val="clear" w:color="auto" w:fill="auto"/>
            <w:vAlign w:val="center"/>
          </w:tcPr>
          <w:p w14:paraId="38685756">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en-US" w:eastAsia="zh-CN"/>
              </w:rPr>
            </w:pPr>
            <w:r>
              <w:rPr>
                <w:rFonts w:hint="eastAsia" w:ascii="宋体" w:hAnsi="宋体" w:eastAsia="宋体" w:cs="宋体"/>
                <w:b/>
                <w:bCs/>
                <w:snapToGrid/>
                <w:kern w:val="2"/>
                <w:sz w:val="24"/>
                <w:szCs w:val="24"/>
                <w:highlight w:val="none"/>
                <w:lang w:val="en-US" w:eastAsia="zh-CN"/>
              </w:rPr>
              <w:t>采购代理费</w:t>
            </w:r>
            <w:r>
              <w:rPr>
                <w:rFonts w:hint="eastAsia" w:ascii="宋体" w:hAnsi="宋体" w:eastAsia="宋体" w:cs="宋体"/>
                <w:snapToGrid/>
                <w:kern w:val="2"/>
                <w:sz w:val="24"/>
                <w:szCs w:val="24"/>
                <w:highlight w:val="none"/>
                <w:lang w:val="en-US" w:eastAsia="zh-CN"/>
              </w:rPr>
              <w:t>：8000.00元/家，由入选人向采购代理机构缴纳。</w:t>
            </w:r>
          </w:p>
        </w:tc>
      </w:tr>
      <w:tr w14:paraId="0532B5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708" w:type="dxa"/>
            <w:shd w:val="clear" w:color="auto" w:fill="auto"/>
            <w:vAlign w:val="center"/>
          </w:tcPr>
          <w:p w14:paraId="45C39B50">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en-US"/>
              </w:rPr>
            </w:pPr>
            <w:r>
              <w:rPr>
                <w:rFonts w:hint="eastAsia" w:ascii="宋体" w:hAnsi="宋体" w:eastAsia="宋体" w:cs="宋体"/>
                <w:snapToGrid/>
                <w:kern w:val="2"/>
                <w:sz w:val="24"/>
                <w:szCs w:val="24"/>
                <w:highlight w:val="none"/>
                <w:lang w:eastAsia="zh-CN"/>
              </w:rPr>
              <w:t>2</w:t>
            </w:r>
            <w:r>
              <w:rPr>
                <w:rFonts w:hint="eastAsia" w:ascii="宋体" w:hAnsi="宋体" w:eastAsia="宋体" w:cs="宋体"/>
                <w:snapToGrid/>
                <w:kern w:val="2"/>
                <w:sz w:val="24"/>
                <w:szCs w:val="24"/>
                <w:highlight w:val="none"/>
                <w:lang w:val="en-US" w:eastAsia="zh-CN"/>
              </w:rPr>
              <w:t>2</w:t>
            </w:r>
          </w:p>
        </w:tc>
        <w:tc>
          <w:tcPr>
            <w:tcW w:w="1700" w:type="dxa"/>
            <w:shd w:val="clear" w:color="auto" w:fill="auto"/>
            <w:vAlign w:val="center"/>
          </w:tcPr>
          <w:p w14:paraId="5B6321F3">
            <w:pPr>
              <w:keepNext w:val="0"/>
              <w:keepLines w:val="0"/>
              <w:pageBreakBefore w:val="0"/>
              <w:widowControl w:val="0"/>
              <w:kinsoku/>
              <w:wordWrap/>
              <w:overflowPunct w:val="0"/>
              <w:topLinePunct/>
              <w:autoSpaceDE/>
              <w:autoSpaceDN/>
              <w:bidi w:val="0"/>
              <w:adjustRightInd/>
              <w:snapToGrid/>
              <w:spacing w:line="360" w:lineRule="auto"/>
              <w:jc w:val="center"/>
              <w:textAlignment w:val="auto"/>
              <w:rPr>
                <w:rFonts w:hint="eastAsia" w:ascii="宋体" w:hAnsi="宋体" w:eastAsia="宋体" w:cs="宋体"/>
                <w:snapToGrid/>
                <w:kern w:val="2"/>
                <w:sz w:val="24"/>
                <w:szCs w:val="24"/>
                <w:highlight w:val="none"/>
                <w:lang w:val="en-US" w:eastAsia="en-US"/>
              </w:rPr>
            </w:pPr>
            <w:r>
              <w:rPr>
                <w:rFonts w:hint="eastAsia" w:ascii="宋体" w:hAnsi="宋体" w:eastAsia="宋体" w:cs="宋体"/>
                <w:snapToGrid/>
                <w:kern w:val="2"/>
                <w:sz w:val="24"/>
                <w:szCs w:val="24"/>
                <w:highlight w:val="none"/>
                <w:lang w:eastAsia="zh-CN"/>
              </w:rPr>
              <w:t>保密</w:t>
            </w:r>
          </w:p>
        </w:tc>
        <w:tc>
          <w:tcPr>
            <w:tcW w:w="6514" w:type="dxa"/>
            <w:shd w:val="clear" w:color="auto" w:fill="auto"/>
            <w:vAlign w:val="top"/>
          </w:tcPr>
          <w:p w14:paraId="385621E7">
            <w:pPr>
              <w:keepNext w:val="0"/>
              <w:keepLines w:val="0"/>
              <w:pageBreakBefore w:val="0"/>
              <w:widowControl w:val="0"/>
              <w:kinsoku/>
              <w:wordWrap/>
              <w:overflowPunct w:val="0"/>
              <w:topLinePunct/>
              <w:autoSpaceDE/>
              <w:autoSpaceDN/>
              <w:bidi w:val="0"/>
              <w:adjustRightInd/>
              <w:snapToGrid/>
              <w:spacing w:line="360" w:lineRule="auto"/>
              <w:jc w:val="both"/>
              <w:textAlignment w:val="auto"/>
              <w:rPr>
                <w:rFonts w:hint="eastAsia" w:ascii="宋体" w:hAnsi="宋体" w:eastAsia="宋体" w:cs="宋体"/>
                <w:snapToGrid/>
                <w:kern w:val="2"/>
                <w:sz w:val="24"/>
                <w:szCs w:val="24"/>
                <w:highlight w:val="none"/>
                <w:lang w:val="en-US" w:eastAsia="zh-CN"/>
              </w:rPr>
            </w:pPr>
            <w:r>
              <w:rPr>
                <w:rFonts w:hint="eastAsia" w:ascii="宋体" w:hAnsi="宋体" w:eastAsia="宋体" w:cs="宋体"/>
                <w:snapToGrid/>
                <w:kern w:val="2"/>
                <w:sz w:val="24"/>
                <w:szCs w:val="24"/>
                <w:highlight w:val="none"/>
                <w:lang w:eastAsia="zh-CN"/>
              </w:rPr>
              <w:t>参与遴选活动的各方，应对遴选文件和响应文件中的商业 和技术等信息保密，违者应对由此造成的后果承担法律责任。</w:t>
            </w:r>
          </w:p>
        </w:tc>
      </w:tr>
    </w:tbl>
    <w:p w14:paraId="67067945">
      <w:pPr>
        <w:keepNext w:val="0"/>
        <w:keepLines w:val="0"/>
        <w:pageBreakBefore w:val="0"/>
        <w:kinsoku/>
        <w:wordWrap/>
        <w:overflowPunct w:val="0"/>
        <w:topLinePunct/>
        <w:bidi w:val="0"/>
        <w:spacing w:line="360" w:lineRule="auto"/>
        <w:rPr>
          <w:rFonts w:ascii="Arial"/>
          <w:sz w:val="21"/>
          <w:highlight w:val="none"/>
        </w:rPr>
      </w:pPr>
    </w:p>
    <w:p w14:paraId="2422E108">
      <w:pPr>
        <w:keepNext w:val="0"/>
        <w:keepLines w:val="0"/>
        <w:pageBreakBefore w:val="0"/>
        <w:kinsoku/>
        <w:wordWrap/>
        <w:overflowPunct w:val="0"/>
        <w:topLinePunct/>
        <w:bidi w:val="0"/>
        <w:spacing w:line="360" w:lineRule="auto"/>
        <w:rPr>
          <w:rFonts w:ascii="Arial" w:hAnsi="Arial" w:eastAsia="Arial" w:cs="Arial"/>
          <w:sz w:val="21"/>
          <w:szCs w:val="21"/>
          <w:highlight w:val="none"/>
        </w:rPr>
        <w:sectPr>
          <w:footerReference r:id="rId5" w:type="default"/>
          <w:pgSz w:w="11907" w:h="16839"/>
          <w:pgMar w:top="1417" w:right="1701" w:bottom="1417" w:left="1701" w:header="567" w:footer="567" w:gutter="0"/>
          <w:pgNumType w:fmt="decimal" w:start="1"/>
          <w:cols w:space="0" w:num="1"/>
          <w:rtlGutter w:val="0"/>
          <w:docGrid w:linePitch="0" w:charSpace="0"/>
        </w:sectPr>
      </w:pPr>
    </w:p>
    <w:p w14:paraId="3A01A936">
      <w:pPr>
        <w:keepNext w:val="0"/>
        <w:keepLines w:val="0"/>
        <w:pageBreakBefore w:val="0"/>
        <w:kinsoku/>
        <w:wordWrap/>
        <w:overflowPunct w:val="0"/>
        <w:topLinePunct/>
        <w:bidi w:val="0"/>
        <w:spacing w:before="56" w:line="360" w:lineRule="auto"/>
        <w:ind w:left="561"/>
        <w:outlineLvl w:val="1"/>
        <w:rPr>
          <w:rFonts w:ascii="宋体" w:hAnsi="宋体" w:eastAsia="宋体" w:cs="宋体"/>
          <w:sz w:val="28"/>
          <w:szCs w:val="28"/>
          <w:highlight w:val="none"/>
        </w:rPr>
      </w:pPr>
      <w:bookmarkStart w:id="23" w:name="bookmark9"/>
      <w:bookmarkEnd w:id="23"/>
      <w:bookmarkStart w:id="24" w:name="_Toc20166"/>
      <w:r>
        <w:rPr>
          <w:rFonts w:ascii="宋体" w:hAnsi="宋体" w:eastAsia="宋体" w:cs="宋体"/>
          <w:b/>
          <w:bCs/>
          <w:spacing w:val="-3"/>
          <w:sz w:val="28"/>
          <w:szCs w:val="28"/>
          <w:highlight w:val="none"/>
        </w:rPr>
        <w:t>三、遴选文件的组成、澄清及修改</w:t>
      </w:r>
      <w:bookmarkEnd w:id="24"/>
    </w:p>
    <w:p w14:paraId="1F7EEB6B">
      <w:pPr>
        <w:keepNext w:val="0"/>
        <w:keepLines w:val="0"/>
        <w:pageBreakBefore w:val="0"/>
        <w:kinsoku/>
        <w:wordWrap/>
        <w:overflowPunct w:val="0"/>
        <w:topLinePunct/>
        <w:bidi w:val="0"/>
        <w:spacing w:before="78" w:line="360" w:lineRule="auto"/>
        <w:ind w:left="492"/>
        <w:outlineLvl w:val="2"/>
        <w:rPr>
          <w:rFonts w:ascii="宋体" w:hAnsi="宋体" w:eastAsia="宋体" w:cs="宋体"/>
          <w:sz w:val="24"/>
          <w:szCs w:val="24"/>
          <w:highlight w:val="none"/>
        </w:rPr>
      </w:pPr>
      <w:bookmarkStart w:id="25" w:name="_Toc22282"/>
      <w:r>
        <w:rPr>
          <w:rFonts w:ascii="宋体" w:hAnsi="宋体" w:eastAsia="宋体" w:cs="宋体"/>
          <w:b/>
          <w:bCs/>
          <w:spacing w:val="-5"/>
          <w:sz w:val="24"/>
          <w:szCs w:val="24"/>
          <w:highlight w:val="none"/>
        </w:rPr>
        <w:t>（一）遴选文件组成</w:t>
      </w:r>
      <w:bookmarkEnd w:id="25"/>
    </w:p>
    <w:p w14:paraId="4218444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1．本遴选文件由遴选文件目录所列内容组成。本遴选文件第五部分“合同格式”是遴选文件的重要组成部分，</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必须仔细阅读并充分理解。</w:t>
      </w:r>
    </w:p>
    <w:p w14:paraId="39D539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2．</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应认真审阅遴选文件中所有的事项、格式、条款和规范要求等</w:t>
      </w:r>
      <w:r>
        <w:rPr>
          <w:rFonts w:hint="eastAsia"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rPr>
        <w:t>若</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没有按遴选文件要求提交全部资料，或</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没有对遴选文件做出实质性响应，将否决</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的遴选资格。</w:t>
      </w:r>
    </w:p>
    <w:p w14:paraId="793A713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3．</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应认真阅读遴选文件中所有的事项和条款，充分了解本遴选项目的遴选内容、范围及各项要求，承认遴选文件的合理性与合法性，遵守本次遴选的程序和要求，履行遴选文件中</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的各项义务。</w:t>
      </w:r>
    </w:p>
    <w:p w14:paraId="2EA8B98F">
      <w:pPr>
        <w:keepNext w:val="0"/>
        <w:keepLines w:val="0"/>
        <w:pageBreakBefore w:val="0"/>
        <w:kinsoku/>
        <w:wordWrap/>
        <w:overflowPunct w:val="0"/>
        <w:topLinePunct/>
        <w:bidi w:val="0"/>
        <w:spacing w:before="78" w:line="360" w:lineRule="auto"/>
        <w:ind w:left="492"/>
        <w:outlineLvl w:val="2"/>
        <w:rPr>
          <w:rFonts w:ascii="宋体" w:hAnsi="宋体" w:eastAsia="宋体" w:cs="宋体"/>
          <w:sz w:val="24"/>
          <w:szCs w:val="24"/>
          <w:highlight w:val="none"/>
        </w:rPr>
      </w:pPr>
      <w:bookmarkStart w:id="26" w:name="_Toc18905"/>
      <w:r>
        <w:rPr>
          <w:rFonts w:ascii="宋体" w:hAnsi="宋体" w:eastAsia="宋体" w:cs="宋体"/>
          <w:b/>
          <w:bCs/>
          <w:spacing w:val="-4"/>
          <w:sz w:val="24"/>
          <w:szCs w:val="24"/>
          <w:highlight w:val="none"/>
        </w:rPr>
        <w:t>（二）遴选文件的澄清及修改</w:t>
      </w:r>
      <w:bookmarkEnd w:id="26"/>
    </w:p>
    <w:p w14:paraId="16CFAC7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1</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如对遴选文件有疑问，需遴选人解答或澄清时，须在收到遴选文件</w:t>
      </w:r>
      <w:r>
        <w:rPr>
          <w:rFonts w:hint="eastAsia" w:eastAsia="宋体" w:cs="宋体"/>
          <w:i w:val="0"/>
          <w:iCs w:val="0"/>
          <w:caps w:val="0"/>
          <w:color w:val="auto"/>
          <w:spacing w:val="0"/>
          <w:sz w:val="24"/>
          <w:szCs w:val="24"/>
          <w:highlight w:val="none"/>
          <w:shd w:val="clear" w:color="auto" w:fill="FFFFFF"/>
          <w:vertAlign w:val="baseline"/>
          <w:lang w:val="en-US" w:eastAsia="zh-CN"/>
        </w:rPr>
        <w:t>2</w:t>
      </w:r>
      <w:r>
        <w:rPr>
          <w:rFonts w:hint="eastAsia" w:ascii="宋体" w:hAnsi="宋体" w:eastAsia="宋体" w:cs="宋体"/>
          <w:i w:val="0"/>
          <w:iCs w:val="0"/>
          <w:caps w:val="0"/>
          <w:color w:val="auto"/>
          <w:spacing w:val="0"/>
          <w:sz w:val="24"/>
          <w:szCs w:val="24"/>
          <w:highlight w:val="none"/>
          <w:shd w:val="clear" w:color="auto" w:fill="FFFFFF"/>
          <w:vertAlign w:val="baseline"/>
        </w:rPr>
        <w:t>日内，将要澄清和解答的问题（加盖</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公章PDF版）</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发送至邮箱panghaosheng@sdhyha.com</w:t>
      </w:r>
      <w:r>
        <w:rPr>
          <w:rFonts w:hint="eastAsia" w:ascii="宋体" w:hAnsi="宋体" w:eastAsia="宋体" w:cs="宋体"/>
          <w:i w:val="0"/>
          <w:iCs w:val="0"/>
          <w:caps w:val="0"/>
          <w:color w:val="auto"/>
          <w:spacing w:val="0"/>
          <w:sz w:val="24"/>
          <w:szCs w:val="24"/>
          <w:highlight w:val="none"/>
          <w:shd w:val="clear" w:color="auto" w:fill="FFFFFF"/>
          <w:vertAlign w:val="baseline"/>
        </w:rPr>
        <w:t>提交。遴选人将对</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提出的疑问通过邮箱进行回复，任何口头答复无效。若</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未提出问题，而出现</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对遴选文件理解不一致的情况，其责任由</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自行承担。</w:t>
      </w:r>
    </w:p>
    <w:p w14:paraId="508EF47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2</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rPr>
        <w:t>在递交</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截止时间前，遴选人可能以补充通知的方式修改遴选文件。补充通知将通过</w:t>
      </w:r>
      <w:r>
        <w:rPr>
          <w:rFonts w:hint="eastAsia" w:eastAsia="宋体" w:cs="宋体"/>
          <w:i w:val="0"/>
          <w:iCs w:val="0"/>
          <w:caps w:val="0"/>
          <w:color w:val="auto"/>
          <w:spacing w:val="0"/>
          <w:sz w:val="24"/>
          <w:szCs w:val="24"/>
          <w:highlight w:val="none"/>
          <w:shd w:val="clear" w:color="auto" w:fill="FFFFFF"/>
          <w:vertAlign w:val="baseline"/>
          <w:lang w:val="en-US"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留存</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的</w:t>
      </w:r>
      <w:r>
        <w:rPr>
          <w:rFonts w:hint="eastAsia" w:ascii="宋体" w:hAnsi="宋体" w:eastAsia="宋体" w:cs="宋体"/>
          <w:i w:val="0"/>
          <w:iCs w:val="0"/>
          <w:caps w:val="0"/>
          <w:color w:val="auto"/>
          <w:spacing w:val="0"/>
          <w:sz w:val="24"/>
          <w:szCs w:val="24"/>
          <w:highlight w:val="none"/>
          <w:shd w:val="clear" w:color="auto" w:fill="FFFFFF"/>
          <w:vertAlign w:val="baseline"/>
        </w:rPr>
        <w:t>邮箱</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发至</w:t>
      </w:r>
      <w:r>
        <w:rPr>
          <w:rFonts w:hint="eastAsia" w:eastAsia="宋体" w:cs="宋体"/>
          <w:i w:val="0"/>
          <w:iCs w:val="0"/>
          <w:caps w:val="0"/>
          <w:color w:val="auto"/>
          <w:spacing w:val="0"/>
          <w:sz w:val="24"/>
          <w:szCs w:val="24"/>
          <w:highlight w:val="none"/>
          <w:shd w:val="clear" w:color="auto" w:fill="FFFFFF"/>
          <w:vertAlign w:val="baseline"/>
          <w:lang w:val="en-US"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。补充通知作为遴选文件的组成部分，对</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具有同等约束力。若补充通知影响</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编制，遴选人可适当推后参选截止时间。</w:t>
      </w:r>
    </w:p>
    <w:p w14:paraId="6BF48159">
      <w:pPr>
        <w:keepNext w:val="0"/>
        <w:keepLines w:val="0"/>
        <w:pageBreakBefore w:val="0"/>
        <w:kinsoku/>
        <w:wordWrap/>
        <w:overflowPunct w:val="0"/>
        <w:topLinePunct/>
        <w:bidi w:val="0"/>
        <w:spacing w:before="238" w:line="360" w:lineRule="auto"/>
        <w:ind w:left="588"/>
        <w:outlineLvl w:val="1"/>
        <w:rPr>
          <w:rFonts w:ascii="宋体" w:hAnsi="宋体" w:eastAsia="宋体" w:cs="宋体"/>
          <w:sz w:val="28"/>
          <w:szCs w:val="28"/>
          <w:highlight w:val="none"/>
        </w:rPr>
      </w:pPr>
      <w:bookmarkStart w:id="27" w:name="bookmark11"/>
      <w:bookmarkEnd w:id="27"/>
      <w:bookmarkStart w:id="28" w:name="_Toc20682"/>
      <w:r>
        <w:rPr>
          <w:rFonts w:ascii="宋体" w:hAnsi="宋体" w:eastAsia="宋体" w:cs="宋体"/>
          <w:b/>
          <w:bCs/>
          <w:spacing w:val="-5"/>
          <w:sz w:val="28"/>
          <w:szCs w:val="28"/>
          <w:highlight w:val="none"/>
        </w:rPr>
        <w:t>四、</w:t>
      </w:r>
      <w:r>
        <w:rPr>
          <w:rFonts w:hint="eastAsia" w:ascii="宋体" w:hAnsi="宋体" w:eastAsia="宋体" w:cs="宋体"/>
          <w:b/>
          <w:bCs/>
          <w:spacing w:val="-5"/>
          <w:sz w:val="28"/>
          <w:szCs w:val="28"/>
          <w:highlight w:val="none"/>
          <w:lang w:eastAsia="zh-CN"/>
        </w:rPr>
        <w:t>响应文件</w:t>
      </w:r>
      <w:r>
        <w:rPr>
          <w:rFonts w:ascii="宋体" w:hAnsi="宋体" w:eastAsia="宋体" w:cs="宋体"/>
          <w:b/>
          <w:bCs/>
          <w:spacing w:val="-5"/>
          <w:sz w:val="28"/>
          <w:szCs w:val="28"/>
          <w:highlight w:val="none"/>
        </w:rPr>
        <w:t>语言与计量单位</w:t>
      </w:r>
      <w:bookmarkEnd w:id="28"/>
    </w:p>
    <w:p w14:paraId="798BFF5C">
      <w:pPr>
        <w:keepNext w:val="0"/>
        <w:keepLines w:val="0"/>
        <w:pageBreakBefore w:val="0"/>
        <w:kinsoku/>
        <w:wordWrap/>
        <w:overflowPunct w:val="0"/>
        <w:topLinePunct/>
        <w:bidi w:val="0"/>
        <w:spacing w:before="78" w:line="360" w:lineRule="auto"/>
        <w:ind w:left="492"/>
        <w:outlineLvl w:val="2"/>
        <w:rPr>
          <w:rFonts w:ascii="宋体" w:hAnsi="宋体" w:eastAsia="宋体" w:cs="宋体"/>
          <w:sz w:val="24"/>
          <w:szCs w:val="24"/>
          <w:highlight w:val="none"/>
        </w:rPr>
      </w:pPr>
      <w:bookmarkStart w:id="29" w:name="_Toc22346"/>
      <w:r>
        <w:rPr>
          <w:rFonts w:ascii="宋体" w:hAnsi="宋体" w:eastAsia="宋体" w:cs="宋体"/>
          <w:b/>
          <w:bCs/>
          <w:spacing w:val="-5"/>
          <w:sz w:val="24"/>
          <w:szCs w:val="24"/>
          <w:highlight w:val="none"/>
        </w:rPr>
        <w:t>（一）参选语言</w:t>
      </w:r>
      <w:bookmarkEnd w:id="29"/>
    </w:p>
    <w:p w14:paraId="35D8051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编写的</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、以及</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与遴选人就有关本次遴选事宜的往来 函电应以规范简体中文书写。</w:t>
      </w:r>
    </w:p>
    <w:p w14:paraId="45CAFD3C">
      <w:pPr>
        <w:keepNext w:val="0"/>
        <w:keepLines w:val="0"/>
        <w:pageBreakBefore w:val="0"/>
        <w:kinsoku/>
        <w:wordWrap/>
        <w:overflowPunct w:val="0"/>
        <w:topLinePunct/>
        <w:bidi w:val="0"/>
        <w:spacing w:before="79" w:line="360" w:lineRule="auto"/>
        <w:ind w:left="492"/>
        <w:outlineLvl w:val="2"/>
        <w:rPr>
          <w:rFonts w:ascii="宋体" w:hAnsi="宋体" w:eastAsia="宋体" w:cs="宋体"/>
          <w:sz w:val="24"/>
          <w:szCs w:val="24"/>
          <w:highlight w:val="none"/>
        </w:rPr>
      </w:pPr>
      <w:bookmarkStart w:id="30" w:name="_Toc1414"/>
      <w:r>
        <w:rPr>
          <w:rFonts w:ascii="宋体" w:hAnsi="宋体" w:eastAsia="宋体" w:cs="宋体"/>
          <w:b/>
          <w:bCs/>
          <w:spacing w:val="-5"/>
          <w:sz w:val="24"/>
          <w:szCs w:val="24"/>
          <w:highlight w:val="none"/>
        </w:rPr>
        <w:t>（二）计量单位</w:t>
      </w:r>
      <w:bookmarkEnd w:id="30"/>
    </w:p>
    <w:p w14:paraId="7DF117B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除在遴选文件中有特殊要求外，</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中所使用的计量单位应为中华人民共和国法定计量单位。</w:t>
      </w:r>
    </w:p>
    <w:p w14:paraId="32E7A4EF">
      <w:pPr>
        <w:keepNext w:val="0"/>
        <w:keepLines w:val="0"/>
        <w:pageBreakBefore w:val="0"/>
        <w:kinsoku/>
        <w:wordWrap/>
        <w:overflowPunct w:val="0"/>
        <w:topLinePunct/>
        <w:bidi w:val="0"/>
        <w:spacing w:before="56" w:line="360" w:lineRule="auto"/>
        <w:ind w:left="566"/>
        <w:outlineLvl w:val="1"/>
        <w:rPr>
          <w:rFonts w:ascii="宋体" w:hAnsi="宋体" w:eastAsia="宋体" w:cs="宋体"/>
          <w:sz w:val="28"/>
          <w:szCs w:val="28"/>
          <w:highlight w:val="none"/>
        </w:rPr>
      </w:pPr>
      <w:bookmarkStart w:id="31" w:name="bookmark13"/>
      <w:bookmarkEnd w:id="31"/>
      <w:bookmarkStart w:id="32" w:name="_Toc14987"/>
      <w:r>
        <w:rPr>
          <w:rFonts w:ascii="宋体" w:hAnsi="宋体" w:eastAsia="宋体" w:cs="宋体"/>
          <w:b/>
          <w:bCs/>
          <w:spacing w:val="-4"/>
          <w:sz w:val="28"/>
          <w:szCs w:val="28"/>
          <w:highlight w:val="none"/>
        </w:rPr>
        <w:t>五、</w:t>
      </w:r>
      <w:r>
        <w:rPr>
          <w:rFonts w:hint="eastAsia" w:ascii="宋体" w:hAnsi="宋体" w:eastAsia="宋体" w:cs="宋体"/>
          <w:b/>
          <w:bCs/>
          <w:spacing w:val="-4"/>
          <w:sz w:val="28"/>
          <w:szCs w:val="28"/>
          <w:highlight w:val="none"/>
          <w:lang w:eastAsia="zh-CN"/>
        </w:rPr>
        <w:t>响应文件</w:t>
      </w:r>
      <w:r>
        <w:rPr>
          <w:rFonts w:ascii="宋体" w:hAnsi="宋体" w:eastAsia="宋体" w:cs="宋体"/>
          <w:b/>
          <w:bCs/>
          <w:spacing w:val="-4"/>
          <w:sz w:val="28"/>
          <w:szCs w:val="28"/>
          <w:highlight w:val="none"/>
        </w:rPr>
        <w:t>要求</w:t>
      </w:r>
      <w:bookmarkEnd w:id="32"/>
    </w:p>
    <w:p w14:paraId="7633F926">
      <w:pPr>
        <w:keepNext w:val="0"/>
        <w:keepLines w:val="0"/>
        <w:pageBreakBefore w:val="0"/>
        <w:kinsoku/>
        <w:wordWrap/>
        <w:overflowPunct w:val="0"/>
        <w:topLinePunct/>
        <w:bidi w:val="0"/>
        <w:spacing w:line="360" w:lineRule="auto"/>
        <w:rPr>
          <w:rFonts w:ascii="Arial"/>
          <w:sz w:val="21"/>
          <w:highlight w:val="none"/>
        </w:rPr>
      </w:pPr>
    </w:p>
    <w:p w14:paraId="04A14B54">
      <w:pPr>
        <w:keepNext w:val="0"/>
        <w:keepLines w:val="0"/>
        <w:pageBreakBefore w:val="0"/>
        <w:kinsoku/>
        <w:wordWrap/>
        <w:overflowPunct w:val="0"/>
        <w:topLinePunct/>
        <w:bidi w:val="0"/>
        <w:spacing w:before="78" w:line="360" w:lineRule="auto"/>
        <w:ind w:left="492"/>
        <w:outlineLvl w:val="2"/>
        <w:rPr>
          <w:rFonts w:ascii="宋体" w:hAnsi="宋体" w:eastAsia="宋体" w:cs="宋体"/>
          <w:sz w:val="24"/>
          <w:szCs w:val="24"/>
          <w:highlight w:val="none"/>
        </w:rPr>
      </w:pPr>
      <w:bookmarkStart w:id="33" w:name="_Toc3454"/>
      <w:r>
        <w:rPr>
          <w:rFonts w:ascii="宋体" w:hAnsi="宋体" w:eastAsia="宋体" w:cs="宋体"/>
          <w:b/>
          <w:bCs/>
          <w:spacing w:val="-4"/>
          <w:sz w:val="24"/>
          <w:szCs w:val="24"/>
          <w:highlight w:val="none"/>
        </w:rPr>
        <w:t>（一）</w:t>
      </w:r>
      <w:r>
        <w:rPr>
          <w:rFonts w:hint="eastAsia" w:ascii="宋体" w:hAnsi="宋体" w:eastAsia="宋体" w:cs="宋体"/>
          <w:b/>
          <w:bCs/>
          <w:spacing w:val="-4"/>
          <w:sz w:val="24"/>
          <w:szCs w:val="24"/>
          <w:highlight w:val="none"/>
          <w:lang w:eastAsia="zh-CN"/>
        </w:rPr>
        <w:t>响应文件</w:t>
      </w:r>
      <w:r>
        <w:rPr>
          <w:rFonts w:ascii="宋体" w:hAnsi="宋体" w:eastAsia="宋体" w:cs="宋体"/>
          <w:b/>
          <w:bCs/>
          <w:spacing w:val="-4"/>
          <w:sz w:val="24"/>
          <w:szCs w:val="24"/>
          <w:highlight w:val="none"/>
        </w:rPr>
        <w:t>的组成</w:t>
      </w:r>
      <w:bookmarkEnd w:id="33"/>
    </w:p>
    <w:p w14:paraId="3017DCE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由参选函、首轮报价一览表、商务文件、技术文件四部分组成。</w:t>
      </w:r>
    </w:p>
    <w:p w14:paraId="7F45E41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1</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rPr>
        <w:t>参选函（附件1）；</w:t>
      </w:r>
    </w:p>
    <w:p w14:paraId="759D58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2</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rPr>
        <w:t>首轮报价一览表（附件2）；</w:t>
      </w:r>
    </w:p>
    <w:p w14:paraId="6C60365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3</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rPr>
        <w:t>商务文件</w:t>
      </w:r>
    </w:p>
    <w:p w14:paraId="4AE6DA4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（1）法人授权委托书原件及被授权代表身份证复印件</w:t>
      </w:r>
      <w:r>
        <w:rPr>
          <w:rFonts w:hint="eastAsia" w:eastAsia="宋体" w:cs="宋体"/>
          <w:i w:val="0"/>
          <w:iCs w:val="0"/>
          <w:caps w:val="0"/>
          <w:color w:val="auto"/>
          <w:spacing w:val="0"/>
          <w:sz w:val="24"/>
          <w:szCs w:val="24"/>
          <w:highlight w:val="none"/>
          <w:shd w:val="clear" w:color="auto" w:fill="FFFFFF"/>
          <w:vertAlign w:val="baseline"/>
          <w:lang w:val="en-US" w:eastAsia="zh-CN"/>
        </w:rPr>
        <w:t>及</w:t>
      </w:r>
      <w:r>
        <w:rPr>
          <w:rFonts w:hint="eastAsia" w:ascii="宋体" w:hAnsi="宋体" w:eastAsia="宋体" w:cs="宋体"/>
          <w:i w:val="0"/>
          <w:iCs w:val="0"/>
          <w:caps w:val="0"/>
          <w:color w:val="auto"/>
          <w:spacing w:val="0"/>
          <w:sz w:val="24"/>
          <w:szCs w:val="24"/>
          <w:highlight w:val="none"/>
          <w:shd w:val="clear" w:color="auto" w:fill="FFFFFF"/>
          <w:vertAlign w:val="baseline"/>
        </w:rPr>
        <w:t>被授权代表</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社保证明材料</w:t>
      </w:r>
      <w:r>
        <w:rPr>
          <w:rFonts w:hint="eastAsia" w:ascii="宋体" w:hAnsi="宋体" w:eastAsia="宋体" w:cs="宋体"/>
          <w:i w:val="0"/>
          <w:iCs w:val="0"/>
          <w:caps w:val="0"/>
          <w:color w:val="auto"/>
          <w:spacing w:val="0"/>
          <w:sz w:val="24"/>
          <w:szCs w:val="24"/>
          <w:highlight w:val="none"/>
          <w:shd w:val="clear" w:color="auto" w:fill="FFFFFF"/>
          <w:vertAlign w:val="baseline"/>
        </w:rPr>
        <w:t>（附件3），若</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代表是法定代表人，则需提供身份证复印件；</w:t>
      </w:r>
    </w:p>
    <w:p w14:paraId="354889D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default" w:ascii="宋体" w:hAnsi="宋体" w:eastAsia="宋体" w:cs="宋体"/>
          <w:i w:val="0"/>
          <w:iCs w:val="0"/>
          <w:caps w:val="0"/>
          <w:color w:val="auto"/>
          <w:spacing w:val="0"/>
          <w:sz w:val="24"/>
          <w:szCs w:val="24"/>
          <w:highlight w:val="none"/>
          <w:shd w:val="clear" w:color="auto"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color="auto" w:fill="FFFFFF"/>
          <w:vertAlign w:val="baseline"/>
        </w:rPr>
        <w:t>（2）</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基本情况</w:t>
      </w:r>
      <w:r>
        <w:rPr>
          <w:rFonts w:hint="eastAsia" w:eastAsia="宋体" w:cs="宋体"/>
          <w:i w:val="0"/>
          <w:iCs w:val="0"/>
          <w:caps w:val="0"/>
          <w:color w:val="auto"/>
          <w:spacing w:val="0"/>
          <w:sz w:val="24"/>
          <w:szCs w:val="24"/>
          <w:highlight w:val="none"/>
          <w:shd w:val="clear" w:color="auto" w:fill="FFFFFF"/>
          <w:vertAlign w:val="baseline"/>
          <w:lang w:val="en-US" w:eastAsia="zh-CN"/>
        </w:rPr>
        <w:t>及硬件保障设施；</w:t>
      </w:r>
    </w:p>
    <w:p w14:paraId="2BF07C8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①</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基本情况；</w:t>
      </w:r>
    </w:p>
    <w:p w14:paraId="7A1908C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default" w:ascii="宋体" w:hAnsi="宋体" w:eastAsia="宋体" w:cs="宋体"/>
          <w:i w:val="0"/>
          <w:iCs w:val="0"/>
          <w:caps w:val="0"/>
          <w:color w:val="auto"/>
          <w:spacing w:val="0"/>
          <w:sz w:val="24"/>
          <w:szCs w:val="24"/>
          <w:highlight w:val="none"/>
          <w:shd w:val="clear" w:color="auto"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color="auto" w:fill="FFFFFF"/>
          <w:vertAlign w:val="baseline"/>
        </w:rPr>
        <w:t>②具有固定办公、开评标、档案储存等场所</w:t>
      </w:r>
      <w:r>
        <w:rPr>
          <w:rFonts w:hint="eastAsia" w:eastAsia="宋体" w:cs="宋体"/>
          <w:i w:val="0"/>
          <w:iCs w:val="0"/>
          <w:caps w:val="0"/>
          <w:color w:val="auto"/>
          <w:spacing w:val="0"/>
          <w:sz w:val="24"/>
          <w:szCs w:val="24"/>
          <w:highlight w:val="none"/>
          <w:shd w:val="clear" w:color="auto" w:fill="FFFFFF"/>
          <w:vertAlign w:val="baseline"/>
          <w:lang w:val="en-US" w:eastAsia="zh-CN"/>
        </w:rPr>
        <w:t>及证明材料；</w:t>
      </w:r>
    </w:p>
    <w:p w14:paraId="4B8799E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eastAsia="宋体" w:cs="宋体"/>
          <w:i w:val="0"/>
          <w:iCs w:val="0"/>
          <w:caps w:val="0"/>
          <w:color w:val="auto"/>
          <w:spacing w:val="0"/>
          <w:sz w:val="24"/>
          <w:szCs w:val="24"/>
          <w:highlight w:val="none"/>
          <w:shd w:val="clear" w:color="auto" w:fill="FFFFFF"/>
          <w:vertAlign w:val="baseline"/>
          <w:lang w:val="en-US" w:eastAsia="zh-CN"/>
        </w:rPr>
        <w:t>③</w:t>
      </w:r>
      <w:r>
        <w:rPr>
          <w:rFonts w:hint="eastAsia" w:ascii="宋体" w:hAnsi="宋体" w:eastAsia="宋体" w:cs="宋体"/>
          <w:i w:val="0"/>
          <w:iCs w:val="0"/>
          <w:caps w:val="0"/>
          <w:color w:val="auto"/>
          <w:spacing w:val="0"/>
          <w:sz w:val="24"/>
          <w:szCs w:val="24"/>
          <w:highlight w:val="none"/>
          <w:shd w:val="clear" w:color="auto" w:fill="FFFFFF"/>
          <w:vertAlign w:val="baseline"/>
        </w:rPr>
        <w:t>项目保障</w:t>
      </w:r>
      <w:r>
        <w:rPr>
          <w:rFonts w:hint="eastAsia" w:ascii="宋体" w:hAnsi="宋体" w:cs="宋体"/>
          <w:sz w:val="24"/>
          <w:highlight w:val="none"/>
          <w:lang w:eastAsia="zh-Hans"/>
        </w:rPr>
        <w:t>监控、摄像、车辆等专业设备配置</w:t>
      </w:r>
      <w:r>
        <w:rPr>
          <w:rFonts w:hint="eastAsia" w:eastAsia="宋体" w:cs="宋体"/>
          <w:sz w:val="24"/>
          <w:highlight w:val="none"/>
          <w:lang w:val="en-US" w:eastAsia="zh-CN"/>
        </w:rPr>
        <w:t>及</w:t>
      </w:r>
      <w:r>
        <w:rPr>
          <w:rFonts w:hint="eastAsia" w:ascii="宋体" w:hAnsi="宋体" w:eastAsia="宋体" w:cs="宋体"/>
          <w:i w:val="0"/>
          <w:iCs w:val="0"/>
          <w:caps w:val="0"/>
          <w:color w:val="auto"/>
          <w:spacing w:val="0"/>
          <w:sz w:val="24"/>
          <w:szCs w:val="24"/>
          <w:highlight w:val="none"/>
          <w:shd w:val="clear" w:color="auto" w:fill="FFFFFF"/>
          <w:vertAlign w:val="baseline"/>
        </w:rPr>
        <w:t>证明材料。</w:t>
      </w:r>
    </w:p>
    <w:p w14:paraId="16E0CC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（3）项目团队情况：</w:t>
      </w:r>
    </w:p>
    <w:p w14:paraId="002E4F5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拟派服务团队主要人员情况表、</w:t>
      </w:r>
      <w:r>
        <w:rPr>
          <w:rFonts w:hint="eastAsia" w:eastAsia="宋体" w:cs="宋体"/>
          <w:i w:val="0"/>
          <w:iCs w:val="0"/>
          <w:caps w:val="0"/>
          <w:color w:val="auto"/>
          <w:spacing w:val="0"/>
          <w:sz w:val="24"/>
          <w:szCs w:val="24"/>
          <w:highlight w:val="none"/>
          <w:shd w:val="clear" w:color="auto" w:fill="FFFFFF"/>
          <w:vertAlign w:val="baseline"/>
          <w:lang w:eastAsia="zh-CN"/>
        </w:rPr>
        <w:t>项目经理</w:t>
      </w:r>
      <w:r>
        <w:rPr>
          <w:rFonts w:hint="eastAsia" w:ascii="宋体" w:hAnsi="宋体" w:eastAsia="宋体" w:cs="宋体"/>
          <w:i w:val="0"/>
          <w:iCs w:val="0"/>
          <w:caps w:val="0"/>
          <w:color w:val="auto"/>
          <w:spacing w:val="0"/>
          <w:sz w:val="24"/>
          <w:szCs w:val="24"/>
          <w:highlight w:val="none"/>
          <w:shd w:val="clear" w:color="auto" w:fill="FFFFFF"/>
          <w:vertAlign w:val="baseline"/>
        </w:rPr>
        <w:t>情况表</w:t>
      </w:r>
      <w:r>
        <w:rPr>
          <w:rFonts w:hint="eastAsia" w:eastAsia="宋体" w:cs="宋体"/>
          <w:i w:val="0"/>
          <w:iCs w:val="0"/>
          <w:caps w:val="0"/>
          <w:color w:val="auto"/>
          <w:spacing w:val="0"/>
          <w:sz w:val="24"/>
          <w:szCs w:val="24"/>
          <w:highlight w:val="none"/>
          <w:shd w:val="clear" w:color="auto" w:fill="FFFFFF"/>
          <w:vertAlign w:val="baseline"/>
          <w:lang w:val="en-US" w:eastAsia="zh-CN"/>
        </w:rPr>
        <w:t>及</w:t>
      </w:r>
      <w:r>
        <w:rPr>
          <w:rFonts w:hint="eastAsia" w:ascii="宋体" w:hAnsi="宋体" w:eastAsia="宋体" w:cs="宋体"/>
          <w:i w:val="0"/>
          <w:iCs w:val="0"/>
          <w:caps w:val="0"/>
          <w:color w:val="auto"/>
          <w:spacing w:val="0"/>
          <w:sz w:val="24"/>
          <w:szCs w:val="24"/>
          <w:highlight w:val="none"/>
          <w:shd w:val="clear" w:color="auto" w:fill="FFFFFF"/>
          <w:vertAlign w:val="baseline"/>
        </w:rPr>
        <w:t>证明材料（附件5）；</w:t>
      </w:r>
    </w:p>
    <w:p w14:paraId="297493C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（4）资格、资质证明文件：</w:t>
      </w:r>
    </w:p>
    <w:p w14:paraId="2873CA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①营业执照、税务登记证、组织机构代码证（或三证合一营业执照）；</w:t>
      </w:r>
    </w:p>
    <w:p w14:paraId="002F808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eastAsia="zh-CN"/>
        </w:rPr>
      </w:pPr>
      <w:r>
        <w:rPr>
          <w:rFonts w:hint="eastAsia" w:ascii="宋体" w:hAnsi="宋体" w:eastAsia="宋体" w:cs="宋体"/>
          <w:i w:val="0"/>
          <w:iCs w:val="0"/>
          <w:caps w:val="0"/>
          <w:color w:val="auto"/>
          <w:spacing w:val="0"/>
          <w:sz w:val="24"/>
          <w:szCs w:val="24"/>
          <w:highlight w:val="none"/>
          <w:shd w:val="clear" w:color="auto" w:fill="FFFFFF"/>
          <w:vertAlign w:val="baseline"/>
        </w:rPr>
        <w:t>②</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提供中国政府采购网</w:t>
      </w:r>
      <w:r>
        <w:rPr>
          <w:rFonts w:hint="eastAsia" w:ascii="宋体" w:hAnsi="宋体" w:eastAsia="宋体" w:cs="宋体"/>
          <w:i w:val="0"/>
          <w:iCs w:val="0"/>
          <w:caps w:val="0"/>
          <w:color w:val="auto"/>
          <w:spacing w:val="0"/>
          <w:sz w:val="24"/>
          <w:szCs w:val="24"/>
          <w:highlight w:val="none"/>
          <w:shd w:val="clear" w:color="auto" w:fill="FFFFFF"/>
          <w:vertAlign w:val="baseline"/>
        </w:rPr>
        <w:fldChar w:fldCharType="begin"/>
      </w:r>
      <w:r>
        <w:rPr>
          <w:rFonts w:hint="eastAsia" w:ascii="宋体" w:hAnsi="宋体" w:eastAsia="宋体" w:cs="宋体"/>
          <w:i w:val="0"/>
          <w:iCs w:val="0"/>
          <w:caps w:val="0"/>
          <w:color w:val="auto"/>
          <w:spacing w:val="0"/>
          <w:sz w:val="24"/>
          <w:szCs w:val="24"/>
          <w:highlight w:val="none"/>
          <w:shd w:val="clear" w:color="auto" w:fill="FFFFFF"/>
          <w:vertAlign w:val="baseline"/>
        </w:rPr>
        <w:instrText xml:space="preserve"> HYPERLINK "http://www.ccgp.gov.cn/agency/md/" </w:instrText>
      </w:r>
      <w:r>
        <w:rPr>
          <w:rFonts w:hint="eastAsia" w:ascii="宋体" w:hAnsi="宋体" w:eastAsia="宋体" w:cs="宋体"/>
          <w:i w:val="0"/>
          <w:iCs w:val="0"/>
          <w:caps w:val="0"/>
          <w:color w:val="auto"/>
          <w:spacing w:val="0"/>
          <w:sz w:val="24"/>
          <w:szCs w:val="24"/>
          <w:highlight w:val="none"/>
          <w:shd w:val="clear" w:color="auto" w:fill="FFFFFF"/>
          <w:vertAlign w:val="baseline"/>
        </w:rPr>
        <w:fldChar w:fldCharType="separate"/>
      </w:r>
      <w:r>
        <w:rPr>
          <w:rFonts w:hint="eastAsia" w:ascii="宋体" w:hAnsi="宋体" w:eastAsia="宋体" w:cs="宋体"/>
          <w:i w:val="0"/>
          <w:iCs w:val="0"/>
          <w:caps w:val="0"/>
          <w:color w:val="auto"/>
          <w:spacing w:val="0"/>
          <w:sz w:val="24"/>
          <w:szCs w:val="24"/>
          <w:highlight w:val="none"/>
          <w:shd w:val="clear" w:color="auto" w:fill="FFFFFF"/>
          <w:vertAlign w:val="baseline"/>
        </w:rPr>
        <w:t>“政府采购代理机构名单</w:t>
      </w:r>
      <w:r>
        <w:rPr>
          <w:rFonts w:hint="eastAsia" w:ascii="宋体" w:hAnsi="宋体" w:eastAsia="宋体" w:cs="宋体"/>
          <w:i w:val="0"/>
          <w:iCs w:val="0"/>
          <w:caps w:val="0"/>
          <w:color w:val="auto"/>
          <w:spacing w:val="0"/>
          <w:sz w:val="24"/>
          <w:szCs w:val="24"/>
          <w:highlight w:val="none"/>
          <w:shd w:val="clear" w:color="auto" w:fill="FFFFFF"/>
          <w:vertAlign w:val="baseline"/>
        </w:rPr>
        <w:fldChar w:fldCharType="end"/>
      </w:r>
      <w:r>
        <w:rPr>
          <w:rFonts w:hint="eastAsia" w:ascii="宋体" w:hAnsi="宋体" w:eastAsia="宋体" w:cs="宋体"/>
          <w:i w:val="0"/>
          <w:iCs w:val="0"/>
          <w:caps w:val="0"/>
          <w:color w:val="auto"/>
          <w:spacing w:val="0"/>
          <w:sz w:val="24"/>
          <w:szCs w:val="24"/>
          <w:highlight w:val="none"/>
          <w:shd w:val="clear" w:color="auto" w:fill="FFFFFF"/>
          <w:vertAlign w:val="baseline"/>
        </w:rPr>
        <w:t>”</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cs="仿宋"/>
          <w:snapToGrid w:val="0"/>
          <w:kern w:val="0"/>
          <w:sz w:val="24"/>
          <w:highlight w:val="none"/>
          <w:lang w:val="zh-CN"/>
        </w:rPr>
        <w:t>青岛市政府采购网“代理机构名录”</w:t>
      </w:r>
      <w:r>
        <w:rPr>
          <w:rFonts w:hint="eastAsia" w:ascii="宋体" w:hAnsi="宋体" w:eastAsia="宋体" w:cs="宋体"/>
          <w:i w:val="0"/>
          <w:iCs w:val="0"/>
          <w:caps w:val="0"/>
          <w:color w:val="auto"/>
          <w:spacing w:val="0"/>
          <w:sz w:val="24"/>
          <w:szCs w:val="24"/>
          <w:highlight w:val="none"/>
          <w:shd w:val="clear" w:color="auto" w:fill="FFFFFF"/>
          <w:vertAlign w:val="baseline"/>
        </w:rPr>
        <w:t>截图（加盖公章）</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w:t>
      </w:r>
    </w:p>
    <w:p w14:paraId="30EFCF7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Chars="0" w:right="0" w:rightChars="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val="zh-CN" w:eastAsia="zh-CN"/>
        </w:rPr>
      </w:pPr>
      <w:r>
        <w:rPr>
          <w:rFonts w:hint="eastAsia" w:eastAsia="宋体" w:cs="宋体"/>
          <w:i w:val="0"/>
          <w:iCs w:val="0"/>
          <w:caps w:val="0"/>
          <w:color w:val="auto"/>
          <w:spacing w:val="0"/>
          <w:sz w:val="24"/>
          <w:szCs w:val="24"/>
          <w:highlight w:val="none"/>
          <w:shd w:val="clear" w:color="auto" w:fill="FFFFFF"/>
          <w:vertAlign w:val="baseline"/>
          <w:lang w:val="en-US" w:eastAsia="zh-CN"/>
        </w:rPr>
        <w:t>③</w:t>
      </w:r>
      <w:r>
        <w:rPr>
          <w:rFonts w:hint="eastAsia" w:ascii="宋体" w:hAnsi="宋体" w:eastAsia="宋体" w:cs="宋体"/>
          <w:i w:val="0"/>
          <w:iCs w:val="0"/>
          <w:caps w:val="0"/>
          <w:color w:val="auto"/>
          <w:spacing w:val="0"/>
          <w:sz w:val="24"/>
          <w:szCs w:val="24"/>
          <w:highlight w:val="none"/>
          <w:shd w:val="clear" w:color="auto" w:fill="FFFFFF"/>
          <w:vertAlign w:val="baseline"/>
        </w:rPr>
        <w:t>近三年内，在经营活动中没有重大违法记录</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的书面声明（</w:t>
      </w:r>
      <w:r>
        <w:rPr>
          <w:rFonts w:hint="eastAsia" w:ascii="宋体" w:hAnsi="宋体" w:eastAsia="宋体" w:cs="宋体"/>
          <w:i w:val="0"/>
          <w:iCs w:val="0"/>
          <w:caps w:val="0"/>
          <w:color w:val="auto"/>
          <w:spacing w:val="0"/>
          <w:sz w:val="24"/>
          <w:szCs w:val="24"/>
          <w:highlight w:val="none"/>
          <w:shd w:val="clear" w:color="auto" w:fill="FFFFFF"/>
          <w:vertAlign w:val="baseline"/>
        </w:rPr>
        <w:t>附件</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4）</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w:t>
      </w:r>
    </w:p>
    <w:p w14:paraId="703FD96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default" w:ascii="宋体" w:hAnsi="宋体" w:eastAsia="宋体" w:cs="宋体"/>
          <w:i w:val="0"/>
          <w:iCs w:val="0"/>
          <w:caps w:val="0"/>
          <w:color w:val="auto"/>
          <w:spacing w:val="0"/>
          <w:sz w:val="24"/>
          <w:szCs w:val="24"/>
          <w:highlight w:val="none"/>
          <w:shd w:val="clear" w:color="auto" w:fill="FFFFFF"/>
          <w:vertAlign w:val="baseline"/>
          <w:lang w:val="en-US" w:eastAsia="zh-CN"/>
        </w:rPr>
      </w:pPr>
      <w:r>
        <w:rPr>
          <w:rFonts w:hint="eastAsia" w:eastAsia="宋体" w:cs="宋体"/>
          <w:i w:val="0"/>
          <w:iCs w:val="0"/>
          <w:caps w:val="0"/>
          <w:color w:val="auto"/>
          <w:spacing w:val="0"/>
          <w:sz w:val="24"/>
          <w:szCs w:val="24"/>
          <w:highlight w:val="none"/>
          <w:shd w:val="clear" w:color="auto" w:fill="FFFFFF"/>
          <w:vertAlign w:val="baseline"/>
          <w:lang w:val="en-US" w:eastAsia="zh-CN"/>
        </w:rPr>
        <w:t>④</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声明函：格式自拟，包括下列内容：</w:t>
      </w:r>
    </w:p>
    <w:p w14:paraId="58385F9B">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420" w:leftChars="0" w:right="0" w:hanging="420" w:firstLineChars="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具有履行合同所必需的设备和专业技术能力；</w:t>
      </w:r>
    </w:p>
    <w:p w14:paraId="55C959DB">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420" w:leftChars="0" w:right="0" w:hanging="420" w:firstLineChars="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cs="宋体"/>
          <w:kern w:val="0"/>
          <w:sz w:val="24"/>
          <w:highlight w:val="none"/>
        </w:rPr>
        <w:t>具有良好的商业信誉和健全的财务会计制度</w:t>
      </w:r>
      <w:r>
        <w:rPr>
          <w:rFonts w:hint="eastAsia" w:ascii="宋体" w:hAnsi="宋体" w:eastAsia="宋体" w:cs="宋体"/>
          <w:kern w:val="0"/>
          <w:sz w:val="24"/>
          <w:highlight w:val="none"/>
          <w:lang w:eastAsia="zh-CN"/>
        </w:rPr>
        <w:t>；</w:t>
      </w:r>
    </w:p>
    <w:p w14:paraId="3B6BADAD">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420" w:leftChars="0" w:right="0" w:hanging="420" w:firstLineChars="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cs="宋体"/>
          <w:kern w:val="0"/>
          <w:sz w:val="24"/>
          <w:highlight w:val="none"/>
        </w:rPr>
        <w:t>具有依法缴纳税收和社会保障资金的良好记录</w:t>
      </w:r>
      <w:r>
        <w:rPr>
          <w:rFonts w:hint="eastAsia" w:ascii="宋体" w:hAnsi="宋体" w:eastAsia="宋体" w:cs="宋体"/>
          <w:kern w:val="0"/>
          <w:sz w:val="24"/>
          <w:highlight w:val="none"/>
          <w:lang w:eastAsia="zh-CN"/>
        </w:rPr>
        <w:t>；</w:t>
      </w:r>
    </w:p>
    <w:p w14:paraId="3BE8AB9B">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420" w:leftChars="0" w:right="0" w:hanging="420" w:firstLineChars="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val="zh-CN"/>
        </w:rPr>
      </w:pPr>
      <w:r>
        <w:rPr>
          <w:rFonts w:hint="eastAsia" w:ascii="宋体" w:hAnsi="宋体" w:eastAsia="宋体" w:cs="宋体"/>
          <w:i w:val="0"/>
          <w:iCs w:val="0"/>
          <w:caps w:val="0"/>
          <w:color w:val="auto"/>
          <w:spacing w:val="0"/>
          <w:sz w:val="24"/>
          <w:szCs w:val="24"/>
          <w:highlight w:val="none"/>
          <w:shd w:val="clear" w:color="auto" w:fill="FFFFFF"/>
          <w:vertAlign w:val="baseline"/>
          <w:lang w:val="zh-CN"/>
        </w:rPr>
        <w:t>遵守《中华人民共和国政府采购法》、《中华人民共和国招标投标法》及相关法律、法规和规章；</w:t>
      </w:r>
    </w:p>
    <w:p w14:paraId="14EA336D">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420" w:leftChars="0" w:right="0" w:hanging="420" w:firstLineChars="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val="zh-CN"/>
        </w:rPr>
      </w:pPr>
      <w:r>
        <w:rPr>
          <w:rFonts w:hint="eastAsia" w:eastAsia="宋体" w:cs="宋体"/>
          <w:i w:val="0"/>
          <w:iCs w:val="0"/>
          <w:caps w:val="0"/>
          <w:color w:val="auto"/>
          <w:spacing w:val="0"/>
          <w:sz w:val="24"/>
          <w:szCs w:val="24"/>
          <w:highlight w:val="none"/>
          <w:shd w:val="clear" w:color="auto" w:fill="FFFFFF"/>
          <w:vertAlign w:val="baseline"/>
          <w:lang w:val="zh-CN"/>
        </w:rPr>
        <w:t>响应人</w:t>
      </w:r>
      <w:r>
        <w:rPr>
          <w:rFonts w:hint="eastAsia" w:ascii="宋体" w:hAnsi="宋体" w:eastAsia="宋体" w:cs="宋体"/>
          <w:i w:val="0"/>
          <w:iCs w:val="0"/>
          <w:caps w:val="0"/>
          <w:color w:val="auto"/>
          <w:spacing w:val="0"/>
          <w:sz w:val="24"/>
          <w:szCs w:val="24"/>
          <w:highlight w:val="none"/>
          <w:shd w:val="clear" w:color="auto" w:fill="FFFFFF"/>
          <w:vertAlign w:val="baseline"/>
          <w:lang w:val="zh-CN"/>
        </w:rPr>
        <w:t>拥有不少于5名熟悉招投标及政府采购法律法规、具有编制</w:t>
      </w:r>
      <w:r>
        <w:rPr>
          <w:rFonts w:hint="eastAsia" w:eastAsia="宋体" w:cs="宋体"/>
          <w:i w:val="0"/>
          <w:iCs w:val="0"/>
          <w:caps w:val="0"/>
          <w:color w:val="auto"/>
          <w:spacing w:val="0"/>
          <w:sz w:val="24"/>
          <w:szCs w:val="24"/>
          <w:highlight w:val="none"/>
          <w:shd w:val="clear" w:color="auto" w:fill="FFFFFF"/>
          <w:vertAlign w:val="baseline"/>
          <w:lang w:val="zh-CN"/>
        </w:rPr>
        <w:t>遴选文件</w:t>
      </w:r>
      <w:r>
        <w:rPr>
          <w:rFonts w:hint="eastAsia" w:ascii="宋体" w:hAnsi="宋体" w:eastAsia="宋体" w:cs="宋体"/>
          <w:i w:val="0"/>
          <w:iCs w:val="0"/>
          <w:caps w:val="0"/>
          <w:color w:val="auto"/>
          <w:spacing w:val="0"/>
          <w:sz w:val="24"/>
          <w:szCs w:val="24"/>
          <w:highlight w:val="none"/>
          <w:shd w:val="clear" w:color="auto" w:fill="FFFFFF"/>
          <w:vertAlign w:val="baseline"/>
          <w:lang w:val="zh-CN"/>
        </w:rPr>
        <w:t>和组织采购活动等相应能力的专业人员；</w:t>
      </w:r>
    </w:p>
    <w:p w14:paraId="4A25A9C4">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420" w:leftChars="0" w:right="0" w:hanging="420" w:firstLineChars="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val="zh-CN"/>
        </w:rPr>
      </w:pPr>
      <w:r>
        <w:rPr>
          <w:rFonts w:hint="eastAsia" w:eastAsia="宋体" w:cs="宋体"/>
          <w:i w:val="0"/>
          <w:iCs w:val="0"/>
          <w:caps w:val="0"/>
          <w:color w:val="auto"/>
          <w:spacing w:val="0"/>
          <w:sz w:val="24"/>
          <w:szCs w:val="24"/>
          <w:highlight w:val="none"/>
          <w:shd w:val="clear" w:color="auto" w:fill="FFFFFF"/>
          <w:vertAlign w:val="baseline"/>
          <w:lang w:val="zh-CN"/>
        </w:rPr>
        <w:t>响应人</w:t>
      </w:r>
      <w:r>
        <w:rPr>
          <w:rFonts w:hint="eastAsia" w:ascii="宋体" w:hAnsi="宋体" w:eastAsia="宋体" w:cs="宋体"/>
          <w:i w:val="0"/>
          <w:iCs w:val="0"/>
          <w:caps w:val="0"/>
          <w:color w:val="auto"/>
          <w:spacing w:val="0"/>
          <w:sz w:val="24"/>
          <w:szCs w:val="24"/>
          <w:highlight w:val="none"/>
          <w:shd w:val="clear" w:color="auto" w:fill="FFFFFF"/>
          <w:vertAlign w:val="baseline"/>
          <w:lang w:val="zh-CN"/>
        </w:rPr>
        <w:t>有固定的办公场所及开评标场所，具备完善的监控设备和良好的音视频监控资料的保存、存档、管理条件；</w:t>
      </w:r>
    </w:p>
    <w:p w14:paraId="16A5F899">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420" w:leftChars="0" w:right="0" w:hanging="420" w:firstLineChars="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val="zh-CN"/>
        </w:rPr>
      </w:pP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拟派</w:t>
      </w:r>
      <w:r>
        <w:rPr>
          <w:rFonts w:hint="eastAsia" w:ascii="宋体" w:hAnsi="宋体" w:eastAsia="宋体" w:cs="宋体"/>
          <w:i w:val="0"/>
          <w:iCs w:val="0"/>
          <w:caps w:val="0"/>
          <w:color w:val="auto"/>
          <w:spacing w:val="0"/>
          <w:sz w:val="24"/>
          <w:szCs w:val="24"/>
          <w:highlight w:val="none"/>
          <w:shd w:val="clear" w:color="auto" w:fill="FFFFFF"/>
          <w:vertAlign w:val="baseline"/>
          <w:lang w:val="zh-CN"/>
        </w:rPr>
        <w:t>从业人员未在其他代理机构登记从业；</w:t>
      </w:r>
    </w:p>
    <w:p w14:paraId="07D726C5">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420" w:leftChars="0" w:right="0" w:hanging="420" w:firstLineChars="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val="zh-CN"/>
        </w:rPr>
      </w:pPr>
      <w:r>
        <w:rPr>
          <w:rFonts w:hint="eastAsia" w:ascii="宋体" w:hAnsi="宋体" w:eastAsia="宋体" w:cs="宋体"/>
          <w:i w:val="0"/>
          <w:iCs w:val="0"/>
          <w:caps w:val="0"/>
          <w:color w:val="auto"/>
          <w:spacing w:val="0"/>
          <w:sz w:val="24"/>
          <w:szCs w:val="24"/>
          <w:highlight w:val="none"/>
          <w:shd w:val="clear" w:color="auto" w:fill="FFFFFF"/>
          <w:vertAlign w:val="baseline"/>
          <w:lang w:val="zh-CN"/>
        </w:rPr>
        <w:t>单位负责人为同一人或者存在控股、管理关系的不同单位，</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没有</w:t>
      </w:r>
      <w:r>
        <w:rPr>
          <w:rFonts w:hint="eastAsia" w:ascii="宋体" w:hAnsi="宋体" w:eastAsia="宋体" w:cs="宋体"/>
          <w:i w:val="0"/>
          <w:iCs w:val="0"/>
          <w:caps w:val="0"/>
          <w:color w:val="auto"/>
          <w:spacing w:val="0"/>
          <w:sz w:val="24"/>
          <w:szCs w:val="24"/>
          <w:highlight w:val="none"/>
          <w:shd w:val="clear" w:color="auto" w:fill="FFFFFF"/>
          <w:vertAlign w:val="baseline"/>
          <w:lang w:val="zh-CN"/>
        </w:rPr>
        <w:t>参加同一标段报价或者未划分标段的同一采购项目报价；</w:t>
      </w:r>
    </w:p>
    <w:p w14:paraId="046F4E71">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420" w:leftChars="0" w:right="0" w:hanging="420" w:firstLineChars="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未组成</w:t>
      </w:r>
      <w:r>
        <w:rPr>
          <w:rFonts w:hint="eastAsia" w:ascii="宋体" w:hAnsi="宋体" w:eastAsia="宋体" w:cs="宋体"/>
          <w:i w:val="0"/>
          <w:iCs w:val="0"/>
          <w:caps w:val="0"/>
          <w:color w:val="auto"/>
          <w:spacing w:val="0"/>
          <w:sz w:val="24"/>
          <w:szCs w:val="24"/>
          <w:highlight w:val="none"/>
          <w:shd w:val="clear" w:color="auto" w:fill="FFFFFF"/>
          <w:vertAlign w:val="baseline"/>
          <w:lang w:val="zh-CN"/>
        </w:rPr>
        <w:t>联合体参选，</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不存在挂靠行为、如入选不</w:t>
      </w:r>
      <w:r>
        <w:rPr>
          <w:rFonts w:hint="eastAsia" w:ascii="宋体" w:hAnsi="宋体" w:eastAsia="宋体" w:cs="宋体"/>
          <w:i w:val="0"/>
          <w:iCs w:val="0"/>
          <w:caps w:val="0"/>
          <w:color w:val="auto"/>
          <w:spacing w:val="0"/>
          <w:sz w:val="24"/>
          <w:szCs w:val="24"/>
          <w:highlight w:val="none"/>
          <w:shd w:val="clear" w:color="auto" w:fill="FFFFFF"/>
          <w:vertAlign w:val="baseline"/>
          <w:lang w:val="zh-CN"/>
        </w:rPr>
        <w:t>分包</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转包</w:t>
      </w:r>
      <w:r>
        <w:rPr>
          <w:rFonts w:hint="eastAsia" w:ascii="宋体" w:hAnsi="宋体" w:eastAsia="宋体" w:cs="宋体"/>
          <w:i w:val="0"/>
          <w:iCs w:val="0"/>
          <w:caps w:val="0"/>
          <w:color w:val="auto"/>
          <w:spacing w:val="0"/>
          <w:sz w:val="24"/>
          <w:szCs w:val="24"/>
          <w:highlight w:val="none"/>
          <w:shd w:val="clear" w:color="auto" w:fill="FFFFFF"/>
          <w:vertAlign w:val="baseline"/>
          <w:lang w:val="zh-CN"/>
        </w:rPr>
        <w:t>。</w:t>
      </w:r>
    </w:p>
    <w:p w14:paraId="5D6F217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eastAsia="宋体" w:cs="宋体"/>
          <w:i w:val="0"/>
          <w:iCs w:val="0"/>
          <w:caps w:val="0"/>
          <w:color w:val="auto"/>
          <w:spacing w:val="0"/>
          <w:sz w:val="24"/>
          <w:szCs w:val="24"/>
          <w:highlight w:val="none"/>
          <w:shd w:val="clear" w:color="auto" w:fill="FFFFFF"/>
          <w:vertAlign w:val="baseline"/>
          <w:lang w:eastAsia="zh-CN"/>
        </w:rPr>
        <w:t>（</w:t>
      </w:r>
      <w:r>
        <w:rPr>
          <w:rFonts w:hint="eastAsia" w:eastAsia="宋体" w:cs="宋体"/>
          <w:i w:val="0"/>
          <w:iCs w:val="0"/>
          <w:caps w:val="0"/>
          <w:color w:val="auto"/>
          <w:spacing w:val="0"/>
          <w:sz w:val="24"/>
          <w:szCs w:val="24"/>
          <w:highlight w:val="none"/>
          <w:shd w:val="clear" w:color="auto" w:fill="FFFFFF"/>
          <w:vertAlign w:val="baseline"/>
          <w:lang w:val="en-US" w:eastAsia="zh-CN"/>
        </w:rPr>
        <w:t>5</w:t>
      </w:r>
      <w:r>
        <w:rPr>
          <w:rFonts w:hint="eastAsia"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遴选人</w:t>
      </w:r>
      <w:r>
        <w:rPr>
          <w:rFonts w:hint="eastAsia" w:ascii="宋体" w:hAnsi="宋体" w:eastAsia="宋体" w:cs="宋体"/>
          <w:i w:val="0"/>
          <w:iCs w:val="0"/>
          <w:caps w:val="0"/>
          <w:color w:val="auto"/>
          <w:spacing w:val="0"/>
          <w:sz w:val="24"/>
          <w:szCs w:val="24"/>
          <w:highlight w:val="none"/>
          <w:shd w:val="clear" w:color="auto" w:fill="FFFFFF"/>
          <w:vertAlign w:val="baseline"/>
        </w:rPr>
        <w:t>或采购代理机构将在“信用中国”和“中国政府采购网”网站上对</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进行查询并打印查询记录，查询截止时点为：递交首次响应文件截止时间当日。对经查询被“信用中国”网站、“中国政府采购网”网站被列入失信被执行人、</w:t>
      </w:r>
      <w:r>
        <w:rPr>
          <w:rFonts w:hint="eastAsia" w:eastAsia="宋体" w:cs="宋体"/>
          <w:i w:val="0"/>
          <w:iCs w:val="0"/>
          <w:caps w:val="0"/>
          <w:color w:val="auto"/>
          <w:spacing w:val="0"/>
          <w:sz w:val="24"/>
          <w:szCs w:val="24"/>
          <w:highlight w:val="none"/>
          <w:shd w:val="clear" w:color="auto" w:fill="FFFFFF"/>
          <w:vertAlign w:val="baseline"/>
          <w:lang w:eastAsia="zh-CN"/>
        </w:rPr>
        <w:t>重大税收违法失信主体名单</w:t>
      </w:r>
      <w:r>
        <w:rPr>
          <w:rFonts w:hint="eastAsia" w:ascii="宋体" w:hAnsi="宋体" w:eastAsia="宋体" w:cs="宋体"/>
          <w:i w:val="0"/>
          <w:iCs w:val="0"/>
          <w:caps w:val="0"/>
          <w:color w:val="auto"/>
          <w:spacing w:val="0"/>
          <w:sz w:val="24"/>
          <w:szCs w:val="24"/>
          <w:highlight w:val="none"/>
          <w:shd w:val="clear" w:color="auto" w:fill="FFFFFF"/>
          <w:vertAlign w:val="baseline"/>
        </w:rPr>
        <w:t>的、政府采购严重违法失信行为记录名单（处罚期限尚未届满的）的</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，其报价将按无效报价处理。两个以上的自然人、法人或者其他组织组成一个联合体，以一个</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的身份共同参加政府采购活动的，应当对所有联合体成员进行信用记录查询，联合体成员存在上述不良信用记录的，视同联合体存在不良信用记录，其报价将按无效报价处理。</w:t>
      </w:r>
    </w:p>
    <w:p w14:paraId="743909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遴选人</w:t>
      </w:r>
      <w:r>
        <w:rPr>
          <w:rFonts w:hint="eastAsia" w:ascii="宋体" w:hAnsi="宋体" w:eastAsia="宋体" w:cs="宋体"/>
          <w:i w:val="0"/>
          <w:iCs w:val="0"/>
          <w:caps w:val="0"/>
          <w:color w:val="auto"/>
          <w:spacing w:val="0"/>
          <w:sz w:val="24"/>
          <w:szCs w:val="24"/>
          <w:highlight w:val="none"/>
          <w:shd w:val="clear" w:color="auto" w:fill="FFFFFF"/>
          <w:vertAlign w:val="baseline"/>
        </w:rPr>
        <w:t>或采购代理机构对于查询到的</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失信行为事由、处理机关名称及处理日期、处理有效期间等，以屏幕截图的方式保存，并承诺查询记录仅用于本次采购活动过程中，不用于其他目的。</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不良信用记录以</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遴选人</w:t>
      </w:r>
      <w:r>
        <w:rPr>
          <w:rFonts w:hint="eastAsia" w:ascii="宋体" w:hAnsi="宋体" w:eastAsia="宋体" w:cs="宋体"/>
          <w:i w:val="0"/>
          <w:iCs w:val="0"/>
          <w:caps w:val="0"/>
          <w:color w:val="auto"/>
          <w:spacing w:val="0"/>
          <w:sz w:val="24"/>
          <w:szCs w:val="24"/>
          <w:highlight w:val="none"/>
          <w:shd w:val="clear" w:color="auto" w:fill="FFFFFF"/>
          <w:vertAlign w:val="baseline"/>
        </w:rPr>
        <w:t>或采购代理机构现场查询结果为准，并如实记录查询情况。</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自行提供的与网站信息不一致的其他证明材料亦不作为资格审查的依据。在本</w:t>
      </w:r>
      <w:r>
        <w:rPr>
          <w:rFonts w:hint="eastAsia" w:eastAsia="宋体" w:cs="宋体"/>
          <w:i w:val="0"/>
          <w:iCs w:val="0"/>
          <w:caps w:val="0"/>
          <w:color w:val="auto"/>
          <w:spacing w:val="0"/>
          <w:sz w:val="24"/>
          <w:szCs w:val="24"/>
          <w:highlight w:val="none"/>
          <w:shd w:val="clear" w:color="auto" w:fill="FFFFFF"/>
          <w:vertAlign w:val="baseline"/>
          <w:lang w:eastAsia="zh-CN"/>
        </w:rPr>
        <w:t>遴选文件</w:t>
      </w:r>
      <w:r>
        <w:rPr>
          <w:rFonts w:hint="eastAsia" w:ascii="宋体" w:hAnsi="宋体" w:eastAsia="宋体" w:cs="宋体"/>
          <w:i w:val="0"/>
          <w:iCs w:val="0"/>
          <w:caps w:val="0"/>
          <w:color w:val="auto"/>
          <w:spacing w:val="0"/>
          <w:sz w:val="24"/>
          <w:szCs w:val="24"/>
          <w:highlight w:val="none"/>
          <w:shd w:val="clear" w:color="auto" w:fill="FFFFFF"/>
          <w:vertAlign w:val="baseline"/>
        </w:rPr>
        <w:t>规定的查询时间之后，网站信息发生的任何变更均不再作为评审依据。</w:t>
      </w:r>
    </w:p>
    <w:p w14:paraId="16ABB99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w:t>
      </w:r>
      <w:r>
        <w:rPr>
          <w:rFonts w:hint="eastAsia" w:eastAsia="宋体" w:cs="宋体"/>
          <w:i w:val="0"/>
          <w:iCs w:val="0"/>
          <w:caps w:val="0"/>
          <w:color w:val="auto"/>
          <w:spacing w:val="0"/>
          <w:sz w:val="24"/>
          <w:szCs w:val="24"/>
          <w:highlight w:val="none"/>
          <w:shd w:val="clear" w:color="auto" w:fill="FFFFFF"/>
          <w:vertAlign w:val="baseline"/>
          <w:lang w:val="en-US" w:eastAsia="zh-CN"/>
        </w:rPr>
        <w:t>6</w:t>
      </w:r>
      <w:r>
        <w:rPr>
          <w:rFonts w:hint="eastAsia" w:ascii="宋体" w:hAnsi="宋体" w:eastAsia="宋体" w:cs="宋体"/>
          <w:i w:val="0"/>
          <w:iCs w:val="0"/>
          <w:caps w:val="0"/>
          <w:color w:val="auto"/>
          <w:spacing w:val="0"/>
          <w:sz w:val="24"/>
          <w:szCs w:val="24"/>
          <w:highlight w:val="none"/>
          <w:shd w:val="clear" w:color="auto" w:fill="FFFFFF"/>
          <w:vertAlign w:val="baseline"/>
        </w:rPr>
        <w:t>）</w:t>
      </w:r>
      <w:r>
        <w:rPr>
          <w:rFonts w:hint="eastAsia" w:eastAsia="宋体" w:cs="宋体"/>
          <w:i w:val="0"/>
          <w:iCs w:val="0"/>
          <w:caps w:val="0"/>
          <w:color w:val="auto"/>
          <w:spacing w:val="0"/>
          <w:sz w:val="24"/>
          <w:szCs w:val="24"/>
          <w:highlight w:val="none"/>
          <w:shd w:val="clear" w:color="auto" w:fill="FFFFFF"/>
          <w:vertAlign w:val="baseline"/>
          <w:lang w:eastAsia="zh-CN"/>
        </w:rPr>
        <w:t>类似项目业绩一览表</w:t>
      </w:r>
      <w:r>
        <w:rPr>
          <w:rFonts w:hint="eastAsia" w:ascii="宋体" w:hAnsi="宋体" w:eastAsia="宋体" w:cs="宋体"/>
          <w:i w:val="0"/>
          <w:iCs w:val="0"/>
          <w:caps w:val="0"/>
          <w:color w:val="auto"/>
          <w:spacing w:val="0"/>
          <w:sz w:val="24"/>
          <w:szCs w:val="24"/>
          <w:highlight w:val="none"/>
          <w:shd w:val="clear" w:color="auto" w:fill="FFFFFF"/>
          <w:vertAlign w:val="baseline"/>
        </w:rPr>
        <w:t>（附件6）；</w:t>
      </w:r>
    </w:p>
    <w:p w14:paraId="5CEF663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eastAsia="zh-CN"/>
        </w:rPr>
      </w:pPr>
      <w:r>
        <w:rPr>
          <w:rFonts w:hint="eastAsia" w:ascii="宋体" w:hAnsi="宋体" w:eastAsia="宋体" w:cs="宋体"/>
          <w:i w:val="0"/>
          <w:iCs w:val="0"/>
          <w:caps w:val="0"/>
          <w:color w:val="auto"/>
          <w:spacing w:val="0"/>
          <w:sz w:val="24"/>
          <w:szCs w:val="24"/>
          <w:highlight w:val="none"/>
          <w:shd w:val="clear" w:color="auto" w:fill="FFFFFF"/>
          <w:vertAlign w:val="baseline"/>
        </w:rPr>
        <w:t>（</w:t>
      </w:r>
      <w:r>
        <w:rPr>
          <w:rFonts w:hint="eastAsia" w:eastAsia="宋体" w:cs="宋体"/>
          <w:i w:val="0"/>
          <w:iCs w:val="0"/>
          <w:caps w:val="0"/>
          <w:color w:val="auto"/>
          <w:spacing w:val="0"/>
          <w:sz w:val="24"/>
          <w:szCs w:val="24"/>
          <w:highlight w:val="none"/>
          <w:shd w:val="clear" w:color="auto" w:fill="FFFFFF"/>
          <w:vertAlign w:val="baseline"/>
          <w:lang w:val="en-US" w:eastAsia="zh-CN"/>
        </w:rPr>
        <w:t>7</w:t>
      </w:r>
      <w:r>
        <w:rPr>
          <w:rFonts w:hint="eastAsia" w:ascii="宋体" w:hAnsi="宋体" w:eastAsia="宋体" w:cs="宋体"/>
          <w:i w:val="0"/>
          <w:iCs w:val="0"/>
          <w:caps w:val="0"/>
          <w:color w:val="auto"/>
          <w:spacing w:val="0"/>
          <w:sz w:val="24"/>
          <w:szCs w:val="24"/>
          <w:highlight w:val="none"/>
          <w:shd w:val="clear" w:color="auto" w:fill="FFFFFF"/>
          <w:vertAlign w:val="baseline"/>
        </w:rPr>
        <w:t>）</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认为需要提交的其他文件</w:t>
      </w:r>
      <w:r>
        <w:rPr>
          <w:rFonts w:hint="eastAsia" w:eastAsia="宋体" w:cs="宋体"/>
          <w:i w:val="0"/>
          <w:iCs w:val="0"/>
          <w:caps w:val="0"/>
          <w:color w:val="auto"/>
          <w:spacing w:val="0"/>
          <w:sz w:val="24"/>
          <w:szCs w:val="24"/>
          <w:highlight w:val="none"/>
          <w:shd w:val="clear" w:color="auto" w:fill="FFFFFF"/>
          <w:vertAlign w:val="baseline"/>
          <w:lang w:eastAsia="zh-CN"/>
        </w:rPr>
        <w:t>。</w:t>
      </w:r>
    </w:p>
    <w:p w14:paraId="1669879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4</w:t>
      </w:r>
      <w:r>
        <w:rPr>
          <w:rFonts w:hint="eastAsia"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rPr>
        <w:t>技术文件</w:t>
      </w:r>
    </w:p>
    <w:p w14:paraId="72EE58E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eastAsia="zh-CN"/>
        </w:rPr>
      </w:pP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（1）硬件设施保障；</w:t>
      </w:r>
    </w:p>
    <w:p w14:paraId="7FB149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eastAsia="zh-CN"/>
        </w:rPr>
      </w:pP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（2）内部组织制度；</w:t>
      </w:r>
    </w:p>
    <w:p w14:paraId="6F32F95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eastAsia="zh-CN"/>
        </w:rPr>
      </w:pP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3</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）服务方案；</w:t>
      </w:r>
    </w:p>
    <w:p w14:paraId="41C8B8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eastAsia="zh-CN"/>
        </w:rPr>
      </w:pP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4</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）风险管控方案；</w:t>
      </w:r>
    </w:p>
    <w:p w14:paraId="019BE25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eastAsia="zh-CN"/>
        </w:rPr>
      </w:pPr>
      <w:bookmarkStart w:id="34" w:name="_Toc27411"/>
      <w:r>
        <w:rPr>
          <w:rFonts w:hint="eastAsia" w:ascii="宋体" w:hAnsi="宋体"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5</w:t>
      </w:r>
      <w:r>
        <w:rPr>
          <w:rFonts w:hint="eastAsia" w:ascii="宋体" w:hAnsi="宋体" w:eastAsia="宋体" w:cs="宋体"/>
          <w:i w:val="0"/>
          <w:iCs w:val="0"/>
          <w:caps w:val="0"/>
          <w:color w:val="auto"/>
          <w:spacing w:val="0"/>
          <w:sz w:val="24"/>
          <w:szCs w:val="24"/>
          <w:highlight w:val="none"/>
          <w:shd w:val="clear" w:color="auto" w:fill="FFFFFF"/>
          <w:vertAlign w:val="baseline"/>
          <w:lang w:eastAsia="zh-CN"/>
        </w:rPr>
        <w:t>）自有采购管理信息化系统；</w:t>
      </w:r>
    </w:p>
    <w:p w14:paraId="3764B82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eastAsia="zh-CN"/>
        </w:rPr>
      </w:pP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（6）日常办公地及开标地交通情况。</w:t>
      </w:r>
    </w:p>
    <w:p w14:paraId="092B8D6A">
      <w:pPr>
        <w:keepNext w:val="0"/>
        <w:keepLines w:val="0"/>
        <w:pageBreakBefore w:val="0"/>
        <w:kinsoku/>
        <w:wordWrap/>
        <w:overflowPunct w:val="0"/>
        <w:topLinePunct/>
        <w:bidi w:val="0"/>
        <w:spacing w:before="78" w:line="360" w:lineRule="auto"/>
        <w:ind w:left="492"/>
        <w:outlineLvl w:val="2"/>
        <w:rPr>
          <w:rFonts w:ascii="宋体" w:hAnsi="宋体" w:eastAsia="宋体" w:cs="宋体"/>
          <w:sz w:val="24"/>
          <w:szCs w:val="24"/>
          <w:highlight w:val="none"/>
        </w:rPr>
      </w:pPr>
      <w:r>
        <w:rPr>
          <w:rFonts w:ascii="宋体" w:hAnsi="宋体" w:eastAsia="宋体" w:cs="宋体"/>
          <w:b/>
          <w:bCs/>
          <w:spacing w:val="-4"/>
          <w:sz w:val="24"/>
          <w:szCs w:val="24"/>
          <w:highlight w:val="none"/>
        </w:rPr>
        <w:t>（二）</w:t>
      </w:r>
      <w:r>
        <w:rPr>
          <w:rFonts w:hint="eastAsia" w:ascii="宋体" w:hAnsi="宋体" w:eastAsia="宋体" w:cs="宋体"/>
          <w:b/>
          <w:bCs/>
          <w:spacing w:val="-4"/>
          <w:sz w:val="24"/>
          <w:szCs w:val="24"/>
          <w:highlight w:val="none"/>
          <w:lang w:eastAsia="zh-CN"/>
        </w:rPr>
        <w:t>响应文件</w:t>
      </w:r>
      <w:r>
        <w:rPr>
          <w:rFonts w:ascii="宋体" w:hAnsi="宋体" w:eastAsia="宋体" w:cs="宋体"/>
          <w:b/>
          <w:bCs/>
          <w:spacing w:val="-4"/>
          <w:sz w:val="24"/>
          <w:szCs w:val="24"/>
          <w:highlight w:val="none"/>
        </w:rPr>
        <w:t>编制规定</w:t>
      </w:r>
      <w:bookmarkEnd w:id="34"/>
    </w:p>
    <w:p w14:paraId="686CCCD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纸质</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正本一份，副本</w:t>
      </w:r>
      <w:r>
        <w:rPr>
          <w:rFonts w:hint="eastAsia" w:eastAsia="宋体" w:cs="宋体"/>
          <w:i w:val="0"/>
          <w:iCs w:val="0"/>
          <w:caps w:val="0"/>
          <w:color w:val="auto"/>
          <w:spacing w:val="0"/>
          <w:sz w:val="24"/>
          <w:szCs w:val="24"/>
          <w:highlight w:val="none"/>
          <w:shd w:val="clear" w:color="auto" w:fill="FFFFFF"/>
          <w:vertAlign w:val="baseline"/>
          <w:lang w:val="en-US" w:eastAsia="zh-CN"/>
        </w:rPr>
        <w:t>四</w:t>
      </w:r>
      <w:r>
        <w:rPr>
          <w:rFonts w:hint="eastAsia" w:ascii="宋体" w:hAnsi="宋体" w:eastAsia="宋体" w:cs="宋体"/>
          <w:i w:val="0"/>
          <w:iCs w:val="0"/>
          <w:caps w:val="0"/>
          <w:color w:val="auto"/>
          <w:spacing w:val="0"/>
          <w:sz w:val="24"/>
          <w:szCs w:val="24"/>
          <w:highlight w:val="none"/>
          <w:shd w:val="clear" w:color="auto" w:fill="FFFFFF"/>
          <w:vertAlign w:val="baseline"/>
        </w:rPr>
        <w:t>份。</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包含参选函、</w:t>
      </w:r>
      <w:r>
        <w:rPr>
          <w:rFonts w:hint="eastAsia" w:eastAsia="宋体" w:cs="宋体"/>
          <w:i w:val="0"/>
          <w:iCs w:val="0"/>
          <w:caps w:val="0"/>
          <w:color w:val="auto"/>
          <w:spacing w:val="0"/>
          <w:sz w:val="24"/>
          <w:szCs w:val="24"/>
          <w:highlight w:val="none"/>
          <w:shd w:val="clear" w:color="auto" w:fill="FFFFFF"/>
          <w:vertAlign w:val="baseline"/>
          <w:lang w:val="en-US" w:eastAsia="zh-CN"/>
        </w:rPr>
        <w:t>首轮报价一览表</w:t>
      </w:r>
      <w:r>
        <w:rPr>
          <w:rFonts w:hint="eastAsia" w:ascii="宋体" w:hAnsi="宋体" w:eastAsia="宋体" w:cs="宋体"/>
          <w:i w:val="0"/>
          <w:iCs w:val="0"/>
          <w:caps w:val="0"/>
          <w:color w:val="auto"/>
          <w:spacing w:val="0"/>
          <w:sz w:val="24"/>
          <w:szCs w:val="24"/>
          <w:highlight w:val="none"/>
          <w:shd w:val="clear" w:color="auto" w:fill="FFFFFF"/>
          <w:vertAlign w:val="baseline"/>
        </w:rPr>
        <w:t>、商务文件、技术文件四部分，胶装成册。</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为A4幅面，并编制目录，目录、内容标注连续页码，正本上明确注明“正本”字样，副本明确标明“副本 ”字样；正本和副本不一致时，以正本为准。副本可用正本签字盖章后的复印件</w:t>
      </w:r>
    </w:p>
    <w:p w14:paraId="1E48AEFA">
      <w:pPr>
        <w:keepNext w:val="0"/>
        <w:keepLines w:val="0"/>
        <w:pageBreakBefore w:val="0"/>
        <w:kinsoku/>
        <w:wordWrap/>
        <w:overflowPunct w:val="0"/>
        <w:topLinePunct/>
        <w:bidi w:val="0"/>
        <w:spacing w:before="100" w:line="360" w:lineRule="auto"/>
        <w:ind w:left="492"/>
        <w:outlineLvl w:val="2"/>
        <w:rPr>
          <w:rFonts w:ascii="宋体" w:hAnsi="宋体" w:eastAsia="宋体" w:cs="宋体"/>
          <w:sz w:val="24"/>
          <w:szCs w:val="24"/>
          <w:highlight w:val="none"/>
        </w:rPr>
      </w:pPr>
      <w:bookmarkStart w:id="35" w:name="_Toc2486"/>
      <w:r>
        <w:rPr>
          <w:rFonts w:ascii="宋体" w:hAnsi="宋体" w:eastAsia="宋体" w:cs="宋体"/>
          <w:b/>
          <w:bCs/>
          <w:spacing w:val="-6"/>
          <w:sz w:val="24"/>
          <w:szCs w:val="24"/>
          <w:highlight w:val="none"/>
        </w:rPr>
        <w:t>（三）其他</w:t>
      </w:r>
      <w:bookmarkEnd w:id="35"/>
    </w:p>
    <w:p w14:paraId="1C52B8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1</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须由</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法人授权代表在规定签章处签名并加盖</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公章。</w:t>
      </w:r>
    </w:p>
    <w:p w14:paraId="7401380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2</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不得有涂改、增删之处。</w:t>
      </w:r>
    </w:p>
    <w:p w14:paraId="74724C2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3</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编制必须按遴选文件中评分标准的顺序及格式要求制作，并编制目录。</w:t>
      </w:r>
    </w:p>
    <w:p w14:paraId="31D0D3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4</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在装订</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时使用胶装，请勿使用活页装订。</w:t>
      </w:r>
    </w:p>
    <w:p w14:paraId="25FE9FE0">
      <w:pPr>
        <w:keepNext w:val="0"/>
        <w:keepLines w:val="0"/>
        <w:pageBreakBefore w:val="0"/>
        <w:kinsoku/>
        <w:wordWrap/>
        <w:overflowPunct w:val="0"/>
        <w:topLinePunct/>
        <w:bidi w:val="0"/>
        <w:spacing w:before="235" w:line="360" w:lineRule="auto"/>
        <w:ind w:left="563"/>
        <w:outlineLvl w:val="1"/>
        <w:rPr>
          <w:rFonts w:ascii="宋体" w:hAnsi="宋体" w:eastAsia="宋体" w:cs="宋体"/>
          <w:sz w:val="28"/>
          <w:szCs w:val="28"/>
          <w:highlight w:val="none"/>
        </w:rPr>
      </w:pPr>
      <w:bookmarkStart w:id="36" w:name="bookmark15"/>
      <w:bookmarkEnd w:id="36"/>
      <w:bookmarkStart w:id="37" w:name="_Toc6037"/>
      <w:r>
        <w:rPr>
          <w:rFonts w:ascii="宋体" w:hAnsi="宋体" w:eastAsia="宋体" w:cs="宋体"/>
          <w:b/>
          <w:bCs/>
          <w:spacing w:val="-4"/>
          <w:sz w:val="28"/>
          <w:szCs w:val="28"/>
          <w:highlight w:val="none"/>
        </w:rPr>
        <w:t>六、</w:t>
      </w:r>
      <w:r>
        <w:rPr>
          <w:rFonts w:hint="eastAsia" w:ascii="宋体" w:hAnsi="宋体" w:eastAsia="宋体" w:cs="宋体"/>
          <w:b/>
          <w:bCs/>
          <w:spacing w:val="-4"/>
          <w:sz w:val="28"/>
          <w:szCs w:val="28"/>
          <w:highlight w:val="none"/>
          <w:lang w:eastAsia="zh-CN"/>
        </w:rPr>
        <w:t>响应文件</w:t>
      </w:r>
      <w:r>
        <w:rPr>
          <w:rFonts w:ascii="宋体" w:hAnsi="宋体" w:eastAsia="宋体" w:cs="宋体"/>
          <w:b/>
          <w:bCs/>
          <w:spacing w:val="-4"/>
          <w:sz w:val="28"/>
          <w:szCs w:val="28"/>
          <w:highlight w:val="none"/>
        </w:rPr>
        <w:t>的密封与标记</w:t>
      </w:r>
      <w:bookmarkEnd w:id="37"/>
    </w:p>
    <w:p w14:paraId="7BD679F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（一）</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应将</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装入信袋内加以密封，并在密封处加盖单位公章及法人代表签字盖章或授权代表签字。</w:t>
      </w:r>
    </w:p>
    <w:p w14:paraId="226F810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lang w:eastAsia="zh-CN"/>
        </w:rPr>
      </w:pPr>
      <w:r>
        <w:rPr>
          <w:rFonts w:hint="eastAsia" w:ascii="宋体" w:hAnsi="宋体" w:eastAsia="宋体" w:cs="宋体"/>
          <w:i w:val="0"/>
          <w:iCs w:val="0"/>
          <w:caps w:val="0"/>
          <w:color w:val="auto"/>
          <w:spacing w:val="0"/>
          <w:sz w:val="24"/>
          <w:szCs w:val="24"/>
          <w:highlight w:val="none"/>
          <w:shd w:val="clear" w:color="auto" w:fill="FFFFFF"/>
          <w:vertAlign w:val="baseline"/>
        </w:rPr>
        <w:t>（二）信袋上应写明：1.项目编号</w:t>
      </w:r>
      <w:r>
        <w:rPr>
          <w:rFonts w:hint="eastAsia"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rPr>
        <w:t>2.项目名称</w:t>
      </w:r>
      <w:r>
        <w:rPr>
          <w:rFonts w:hint="eastAsia"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rPr>
        <w:t>3.</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名称</w:t>
      </w:r>
      <w:r>
        <w:rPr>
          <w:rFonts w:hint="eastAsia" w:eastAsia="宋体" w:cs="宋体"/>
          <w:i w:val="0"/>
          <w:iCs w:val="0"/>
          <w:caps w:val="0"/>
          <w:color w:val="auto"/>
          <w:spacing w:val="0"/>
          <w:sz w:val="24"/>
          <w:szCs w:val="24"/>
          <w:highlight w:val="none"/>
          <w:shd w:val="clear" w:color="auto" w:fill="FFFFFF"/>
          <w:vertAlign w:val="baseline"/>
          <w:lang w:eastAsia="zh-CN"/>
        </w:rPr>
        <w:t>。</w:t>
      </w:r>
    </w:p>
    <w:p w14:paraId="1E1D258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b/>
          <w:bCs/>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（三）每一密封件在封口处加盖单位公章并注明“于</w:t>
      </w:r>
      <w:r>
        <w:rPr>
          <w:rFonts w:hint="eastAsia"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Fonts w:hint="eastAsia" w:ascii="宋体" w:hAnsi="宋体" w:eastAsia="宋体" w:cs="宋体"/>
          <w:i w:val="0"/>
          <w:iCs w:val="0"/>
          <w:caps w:val="0"/>
          <w:color w:val="auto"/>
          <w:spacing w:val="0"/>
          <w:sz w:val="24"/>
          <w:szCs w:val="24"/>
          <w:highlight w:val="none"/>
          <w:shd w:val="clear" w:color="auto" w:fill="FFFFFF"/>
          <w:vertAlign w:val="baseline"/>
        </w:rPr>
        <w:t>年</w:t>
      </w:r>
      <w:r>
        <w:rPr>
          <w:rFonts w:hint="eastAsia"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Fonts w:hint="eastAsia" w:ascii="宋体" w:hAnsi="宋体" w:eastAsia="宋体" w:cs="宋体"/>
          <w:i w:val="0"/>
          <w:iCs w:val="0"/>
          <w:caps w:val="0"/>
          <w:color w:val="auto"/>
          <w:spacing w:val="0"/>
          <w:sz w:val="24"/>
          <w:szCs w:val="24"/>
          <w:highlight w:val="none"/>
          <w:shd w:val="clear" w:color="auto" w:fill="FFFFFF"/>
          <w:vertAlign w:val="baseline"/>
        </w:rPr>
        <w:t>月</w:t>
      </w:r>
      <w:r>
        <w:rPr>
          <w:rFonts w:hint="eastAsia"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Fonts w:hint="eastAsia" w:ascii="宋体" w:hAnsi="宋体" w:eastAsia="宋体" w:cs="宋体"/>
          <w:i w:val="0"/>
          <w:iCs w:val="0"/>
          <w:caps w:val="0"/>
          <w:color w:val="auto"/>
          <w:spacing w:val="0"/>
          <w:sz w:val="24"/>
          <w:szCs w:val="24"/>
          <w:highlight w:val="none"/>
          <w:shd w:val="clear" w:color="auto" w:fill="FFFFFF"/>
          <w:vertAlign w:val="baseline"/>
        </w:rPr>
        <w:t>日</w:t>
      </w:r>
      <w:r>
        <w:rPr>
          <w:rFonts w:hint="eastAsia"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Fonts w:hint="eastAsia" w:eastAsia="宋体" w:cs="宋体"/>
          <w:i w:val="0"/>
          <w:iCs w:val="0"/>
          <w:caps w:val="0"/>
          <w:color w:val="auto"/>
          <w:spacing w:val="0"/>
          <w:sz w:val="24"/>
          <w:szCs w:val="24"/>
          <w:highlight w:val="none"/>
          <w:shd w:val="clear" w:color="auto" w:fill="FFFFFF"/>
          <w:vertAlign w:val="baseline"/>
          <w:lang w:val="en-US" w:eastAsia="zh-CN"/>
        </w:rPr>
        <w:t>时</w:t>
      </w:r>
      <w:r>
        <w:rPr>
          <w:rFonts w:hint="eastAsia"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Fonts w:hint="eastAsia" w:eastAsia="宋体" w:cs="宋体"/>
          <w:i w:val="0"/>
          <w:iCs w:val="0"/>
          <w:caps w:val="0"/>
          <w:color w:val="auto"/>
          <w:spacing w:val="0"/>
          <w:sz w:val="24"/>
          <w:szCs w:val="24"/>
          <w:highlight w:val="none"/>
          <w:shd w:val="clear" w:color="auto" w:fill="FFFFFF"/>
          <w:vertAlign w:val="baseline"/>
          <w:lang w:val="en-US" w:eastAsia="zh-CN"/>
        </w:rPr>
        <w:t>分</w:t>
      </w:r>
      <w:r>
        <w:rPr>
          <w:rFonts w:hint="eastAsia"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rPr>
        <w:t>北京时间</w:t>
      </w:r>
      <w:r>
        <w:rPr>
          <w:rFonts w:hint="eastAsia" w:eastAsia="宋体" w:cs="宋体"/>
          <w:i w:val="0"/>
          <w:iCs w:val="0"/>
          <w:caps w:val="0"/>
          <w:color w:val="auto"/>
          <w:spacing w:val="0"/>
          <w:sz w:val="24"/>
          <w:szCs w:val="24"/>
          <w:highlight w:val="none"/>
          <w:shd w:val="clear" w:color="auto" w:fill="FFFFFF"/>
          <w:vertAlign w:val="baseline"/>
          <w:lang w:eastAsia="zh-CN"/>
        </w:rPr>
        <w:t>）</w:t>
      </w:r>
      <w:r>
        <w:rPr>
          <w:rFonts w:hint="eastAsia" w:ascii="宋体" w:hAnsi="宋体" w:eastAsia="宋体" w:cs="宋体"/>
          <w:i w:val="0"/>
          <w:iCs w:val="0"/>
          <w:caps w:val="0"/>
          <w:color w:val="auto"/>
          <w:spacing w:val="0"/>
          <w:sz w:val="24"/>
          <w:szCs w:val="24"/>
          <w:highlight w:val="none"/>
          <w:shd w:val="clear" w:color="auto" w:fill="FFFFFF"/>
          <w:vertAlign w:val="baseline"/>
        </w:rPr>
        <w:t>之前不准启封”字样，并加盖</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公章，</w:t>
      </w:r>
      <w:r>
        <w:rPr>
          <w:rFonts w:hint="eastAsia" w:ascii="宋体" w:hAnsi="宋体" w:eastAsia="宋体" w:cs="宋体"/>
          <w:b/>
          <w:bCs/>
          <w:i w:val="0"/>
          <w:iCs w:val="0"/>
          <w:caps w:val="0"/>
          <w:color w:val="auto"/>
          <w:spacing w:val="0"/>
          <w:sz w:val="24"/>
          <w:szCs w:val="24"/>
          <w:highlight w:val="none"/>
          <w:shd w:val="clear" w:color="auto" w:fill="FFFFFF"/>
          <w:vertAlign w:val="baseline"/>
        </w:rPr>
        <w:t>未密封或无公章的，遴选人不予接收。</w:t>
      </w:r>
    </w:p>
    <w:p w14:paraId="36365C24">
      <w:pPr>
        <w:keepNext w:val="0"/>
        <w:keepLines w:val="0"/>
        <w:pageBreakBefore w:val="0"/>
        <w:kinsoku/>
        <w:wordWrap/>
        <w:overflowPunct w:val="0"/>
        <w:topLinePunct/>
        <w:bidi w:val="0"/>
        <w:spacing w:before="56" w:line="360" w:lineRule="auto"/>
        <w:ind w:left="560"/>
        <w:outlineLvl w:val="1"/>
        <w:rPr>
          <w:rFonts w:ascii="宋体" w:hAnsi="宋体" w:eastAsia="宋体" w:cs="宋体"/>
          <w:sz w:val="28"/>
          <w:szCs w:val="28"/>
          <w:highlight w:val="none"/>
        </w:rPr>
      </w:pPr>
      <w:bookmarkStart w:id="38" w:name="bookmark17"/>
      <w:bookmarkEnd w:id="38"/>
      <w:bookmarkStart w:id="39" w:name="_Toc16596"/>
      <w:r>
        <w:rPr>
          <w:rFonts w:ascii="宋体" w:hAnsi="宋体" w:eastAsia="宋体" w:cs="宋体"/>
          <w:b/>
          <w:bCs/>
          <w:spacing w:val="-3"/>
          <w:sz w:val="28"/>
          <w:szCs w:val="28"/>
          <w:highlight w:val="none"/>
        </w:rPr>
        <w:t>七、</w:t>
      </w:r>
      <w:r>
        <w:rPr>
          <w:rFonts w:hint="eastAsia" w:ascii="宋体" w:hAnsi="宋体" w:eastAsia="宋体" w:cs="宋体"/>
          <w:b/>
          <w:bCs/>
          <w:spacing w:val="-3"/>
          <w:sz w:val="28"/>
          <w:szCs w:val="28"/>
          <w:highlight w:val="none"/>
          <w:lang w:eastAsia="zh-CN"/>
        </w:rPr>
        <w:t>响应文件</w:t>
      </w:r>
      <w:r>
        <w:rPr>
          <w:rFonts w:ascii="宋体" w:hAnsi="宋体" w:eastAsia="宋体" w:cs="宋体"/>
          <w:b/>
          <w:bCs/>
          <w:spacing w:val="-3"/>
          <w:sz w:val="28"/>
          <w:szCs w:val="28"/>
          <w:highlight w:val="none"/>
        </w:rPr>
        <w:t>的递交</w:t>
      </w:r>
      <w:bookmarkEnd w:id="39"/>
    </w:p>
    <w:p w14:paraId="233748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（一）</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代表必须按遴选文件的规定</w:t>
      </w:r>
      <w:r>
        <w:rPr>
          <w:rFonts w:hint="eastAsia" w:eastAsia="宋体" w:cs="宋体"/>
          <w:i w:val="0"/>
          <w:iCs w:val="0"/>
          <w:caps w:val="0"/>
          <w:color w:val="auto"/>
          <w:spacing w:val="0"/>
          <w:sz w:val="24"/>
          <w:szCs w:val="24"/>
          <w:highlight w:val="none"/>
          <w:shd w:val="clear" w:color="auto" w:fill="FFFFFF"/>
          <w:vertAlign w:val="baseline"/>
          <w:lang w:eastAsia="zh-CN"/>
        </w:rPr>
        <w:t>签字响应文件</w:t>
      </w:r>
      <w:r>
        <w:rPr>
          <w:rFonts w:hint="eastAsia" w:ascii="宋体" w:hAnsi="宋体" w:eastAsia="宋体" w:cs="宋体"/>
          <w:i w:val="0"/>
          <w:iCs w:val="0"/>
          <w:caps w:val="0"/>
          <w:color w:val="auto"/>
          <w:spacing w:val="0"/>
          <w:sz w:val="24"/>
          <w:szCs w:val="24"/>
          <w:highlight w:val="none"/>
          <w:shd w:val="clear" w:color="auto" w:fill="FFFFFF"/>
          <w:vertAlign w:val="baseline"/>
        </w:rPr>
        <w:t>（正本、副本及各附件），并</w:t>
      </w:r>
      <w:r>
        <w:rPr>
          <w:rFonts w:hint="eastAsia" w:eastAsia="宋体" w:cs="宋体"/>
          <w:i w:val="0"/>
          <w:iCs w:val="0"/>
          <w:caps w:val="0"/>
          <w:color w:val="auto"/>
          <w:spacing w:val="0"/>
          <w:sz w:val="24"/>
          <w:szCs w:val="24"/>
          <w:highlight w:val="none"/>
          <w:shd w:val="clear" w:color="auto" w:fill="FFFFFF"/>
          <w:vertAlign w:val="baseline"/>
          <w:lang w:eastAsia="zh-CN"/>
        </w:rPr>
        <w:t>加盖公章</w:t>
      </w:r>
      <w:r>
        <w:rPr>
          <w:rFonts w:hint="eastAsia" w:ascii="宋体" w:hAnsi="宋体" w:eastAsia="宋体" w:cs="宋体"/>
          <w:i w:val="0"/>
          <w:iCs w:val="0"/>
          <w:caps w:val="0"/>
          <w:color w:val="auto"/>
          <w:spacing w:val="0"/>
          <w:sz w:val="24"/>
          <w:szCs w:val="24"/>
          <w:highlight w:val="none"/>
          <w:shd w:val="clear" w:color="auto" w:fill="FFFFFF"/>
          <w:vertAlign w:val="baseline"/>
        </w:rPr>
        <w:t>。</w:t>
      </w:r>
    </w:p>
    <w:p w14:paraId="4F24DD4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（二）</w:t>
      </w:r>
      <w:r>
        <w:rPr>
          <w:rFonts w:hint="eastAsia" w:eastAsia="宋体" w:cs="宋体"/>
          <w:b/>
          <w:bCs/>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b/>
          <w:bCs/>
          <w:i w:val="0"/>
          <w:iCs w:val="0"/>
          <w:caps w:val="0"/>
          <w:color w:val="auto"/>
          <w:spacing w:val="0"/>
          <w:sz w:val="24"/>
          <w:szCs w:val="24"/>
          <w:highlight w:val="none"/>
          <w:shd w:val="clear" w:color="auto" w:fill="FFFFFF"/>
          <w:vertAlign w:val="baseline"/>
        </w:rPr>
        <w:t>法定代表人或授权代表未按遴选文件要求</w:t>
      </w:r>
      <w:r>
        <w:rPr>
          <w:rFonts w:hint="eastAsia" w:eastAsia="宋体" w:cs="宋体"/>
          <w:b/>
          <w:bCs/>
          <w:i w:val="0"/>
          <w:iCs w:val="0"/>
          <w:caps w:val="0"/>
          <w:color w:val="auto"/>
          <w:spacing w:val="0"/>
          <w:sz w:val="24"/>
          <w:szCs w:val="24"/>
          <w:highlight w:val="none"/>
          <w:shd w:val="clear" w:color="auto" w:fill="FFFFFF"/>
          <w:vertAlign w:val="baseline"/>
          <w:lang w:eastAsia="zh-CN"/>
        </w:rPr>
        <w:t>签字响应文件</w:t>
      </w:r>
      <w:r>
        <w:rPr>
          <w:rFonts w:hint="eastAsia" w:ascii="宋体" w:hAnsi="宋体" w:eastAsia="宋体" w:cs="宋体"/>
          <w:b/>
          <w:bCs/>
          <w:i w:val="0"/>
          <w:iCs w:val="0"/>
          <w:caps w:val="0"/>
          <w:color w:val="auto"/>
          <w:spacing w:val="0"/>
          <w:sz w:val="24"/>
          <w:szCs w:val="24"/>
          <w:highlight w:val="none"/>
          <w:shd w:val="clear" w:color="auto" w:fill="FFFFFF"/>
          <w:vertAlign w:val="baseline"/>
        </w:rPr>
        <w:t>且未同时加盖单位公章，视为无效</w:t>
      </w:r>
      <w:r>
        <w:rPr>
          <w:rFonts w:hint="eastAsia" w:eastAsia="宋体" w:cs="宋体"/>
          <w:b/>
          <w:bCs/>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w:t>
      </w:r>
    </w:p>
    <w:p w14:paraId="3C76E6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（三）所有</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递交的</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将按有关规定予以存档，无论入选与否，</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递交的参选材料均不予退还。</w:t>
      </w:r>
    </w:p>
    <w:p w14:paraId="3BE8C1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（四）遴选人将拒收不符合遴选文件要求或在递交</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截止时间之后送达的</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w:t>
      </w:r>
    </w:p>
    <w:p w14:paraId="27B28674">
      <w:pPr>
        <w:keepNext w:val="0"/>
        <w:keepLines w:val="0"/>
        <w:pageBreakBefore w:val="0"/>
        <w:kinsoku/>
        <w:wordWrap/>
        <w:overflowPunct w:val="0"/>
        <w:topLinePunct/>
        <w:bidi w:val="0"/>
        <w:spacing w:before="239" w:line="360" w:lineRule="auto"/>
        <w:ind w:left="566"/>
        <w:outlineLvl w:val="1"/>
        <w:rPr>
          <w:rFonts w:ascii="宋体" w:hAnsi="宋体" w:eastAsia="宋体" w:cs="宋体"/>
          <w:sz w:val="28"/>
          <w:szCs w:val="28"/>
          <w:highlight w:val="none"/>
        </w:rPr>
      </w:pPr>
      <w:bookmarkStart w:id="40" w:name="bookmark19"/>
      <w:bookmarkEnd w:id="40"/>
      <w:bookmarkStart w:id="41" w:name="_Toc23537"/>
      <w:r>
        <w:rPr>
          <w:rFonts w:ascii="宋体" w:hAnsi="宋体" w:eastAsia="宋体" w:cs="宋体"/>
          <w:b/>
          <w:bCs/>
          <w:spacing w:val="-4"/>
          <w:sz w:val="28"/>
          <w:szCs w:val="28"/>
          <w:highlight w:val="none"/>
        </w:rPr>
        <w:t>八、参选有效期</w:t>
      </w:r>
      <w:bookmarkEnd w:id="41"/>
    </w:p>
    <w:p w14:paraId="58DF4DE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b/>
          <w:bCs/>
          <w:i w:val="0"/>
          <w:iCs w:val="0"/>
          <w:caps w:val="0"/>
          <w:color w:val="auto"/>
          <w:spacing w:val="0"/>
          <w:sz w:val="24"/>
          <w:szCs w:val="24"/>
          <w:highlight w:val="none"/>
          <w:shd w:val="clear" w:color="auto" w:fill="FFFFFF"/>
          <w:vertAlign w:val="baseline"/>
        </w:rPr>
      </w:pP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的有效期为自递交</w:t>
      </w:r>
      <w:r>
        <w:rPr>
          <w:rFonts w:hint="eastAsia" w:eastAsia="宋体" w:cs="宋体"/>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i w:val="0"/>
          <w:iCs w:val="0"/>
          <w:caps w:val="0"/>
          <w:color w:val="auto"/>
          <w:spacing w:val="0"/>
          <w:sz w:val="24"/>
          <w:szCs w:val="24"/>
          <w:highlight w:val="none"/>
          <w:shd w:val="clear" w:color="auto" w:fill="FFFFFF"/>
          <w:vertAlign w:val="baseline"/>
        </w:rPr>
        <w:t>截止之日起</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90</w:t>
      </w:r>
      <w:r>
        <w:rPr>
          <w:rFonts w:hint="eastAsia" w:ascii="宋体" w:hAnsi="宋体" w:eastAsia="宋体" w:cs="宋体"/>
          <w:i w:val="0"/>
          <w:iCs w:val="0"/>
          <w:caps w:val="0"/>
          <w:color w:val="auto"/>
          <w:spacing w:val="0"/>
          <w:sz w:val="24"/>
          <w:szCs w:val="24"/>
          <w:highlight w:val="none"/>
          <w:shd w:val="clear" w:color="auto" w:fill="FFFFFF"/>
          <w:vertAlign w:val="baseline"/>
        </w:rPr>
        <w:t>日历日。</w:t>
      </w:r>
      <w:r>
        <w:rPr>
          <w:rFonts w:hint="eastAsia" w:eastAsia="宋体" w:cs="宋体"/>
          <w:b/>
          <w:bCs/>
          <w:i w:val="0"/>
          <w:iCs w:val="0"/>
          <w:caps w:val="0"/>
          <w:color w:val="auto"/>
          <w:spacing w:val="0"/>
          <w:sz w:val="24"/>
          <w:szCs w:val="24"/>
          <w:highlight w:val="none"/>
          <w:shd w:val="clear" w:color="auto" w:fill="FFFFFF"/>
          <w:vertAlign w:val="baseline"/>
          <w:lang w:eastAsia="zh-CN"/>
        </w:rPr>
        <w:t>响应文件</w:t>
      </w:r>
      <w:r>
        <w:rPr>
          <w:rFonts w:hint="eastAsia" w:ascii="宋体" w:hAnsi="宋体" w:eastAsia="宋体" w:cs="宋体"/>
          <w:b/>
          <w:bCs/>
          <w:i w:val="0"/>
          <w:iCs w:val="0"/>
          <w:caps w:val="0"/>
          <w:color w:val="auto"/>
          <w:spacing w:val="0"/>
          <w:sz w:val="24"/>
          <w:szCs w:val="24"/>
          <w:highlight w:val="none"/>
          <w:shd w:val="clear" w:color="auto" w:fill="FFFFFF"/>
          <w:vertAlign w:val="baseline"/>
        </w:rPr>
        <w:t>的有效 期比本规定的有效期短的，将被视为不响应遴选，</w:t>
      </w:r>
      <w:r>
        <w:rPr>
          <w:rFonts w:hint="eastAsia" w:eastAsia="宋体" w:cs="宋体"/>
          <w:b/>
          <w:bCs/>
          <w:i w:val="0"/>
          <w:iCs w:val="0"/>
          <w:caps w:val="0"/>
          <w:color w:val="auto"/>
          <w:spacing w:val="0"/>
          <w:sz w:val="24"/>
          <w:szCs w:val="24"/>
          <w:highlight w:val="none"/>
          <w:shd w:val="clear" w:color="auto" w:fill="FFFFFF"/>
          <w:vertAlign w:val="baseline"/>
          <w:lang w:val="en-US" w:eastAsia="zh-CN"/>
        </w:rPr>
        <w:t>按</w:t>
      </w:r>
      <w:r>
        <w:rPr>
          <w:rFonts w:hint="eastAsia" w:ascii="宋体" w:hAnsi="宋体" w:eastAsia="宋体" w:cs="宋体"/>
          <w:b/>
          <w:bCs/>
          <w:i w:val="0"/>
          <w:iCs w:val="0"/>
          <w:caps w:val="0"/>
          <w:color w:val="auto"/>
          <w:spacing w:val="0"/>
          <w:sz w:val="24"/>
          <w:szCs w:val="24"/>
          <w:highlight w:val="none"/>
          <w:shd w:val="clear" w:color="auto" w:fill="FFFFFF"/>
          <w:vertAlign w:val="baseline"/>
        </w:rPr>
        <w:t>无效</w:t>
      </w:r>
      <w:r>
        <w:rPr>
          <w:rFonts w:hint="eastAsia" w:eastAsia="宋体" w:cs="宋体"/>
          <w:b/>
          <w:bCs/>
          <w:i w:val="0"/>
          <w:iCs w:val="0"/>
          <w:caps w:val="0"/>
          <w:color w:val="auto"/>
          <w:spacing w:val="0"/>
          <w:sz w:val="24"/>
          <w:szCs w:val="24"/>
          <w:highlight w:val="none"/>
          <w:shd w:val="clear" w:color="auto" w:fill="FFFFFF"/>
          <w:vertAlign w:val="baseline"/>
          <w:lang w:eastAsia="zh-CN"/>
        </w:rPr>
        <w:t>响应文件</w:t>
      </w:r>
      <w:r>
        <w:rPr>
          <w:rFonts w:hint="eastAsia" w:eastAsia="宋体" w:cs="宋体"/>
          <w:b/>
          <w:bCs/>
          <w:i w:val="0"/>
          <w:iCs w:val="0"/>
          <w:caps w:val="0"/>
          <w:color w:val="auto"/>
          <w:spacing w:val="0"/>
          <w:sz w:val="24"/>
          <w:szCs w:val="24"/>
          <w:highlight w:val="none"/>
          <w:shd w:val="clear" w:color="auto" w:fill="FFFFFF"/>
          <w:vertAlign w:val="baseline"/>
          <w:lang w:val="en-US" w:eastAsia="zh-CN"/>
        </w:rPr>
        <w:t>处理</w:t>
      </w:r>
      <w:r>
        <w:rPr>
          <w:rFonts w:hint="eastAsia" w:ascii="宋体" w:hAnsi="宋体" w:eastAsia="宋体" w:cs="宋体"/>
          <w:b/>
          <w:bCs/>
          <w:i w:val="0"/>
          <w:iCs w:val="0"/>
          <w:caps w:val="0"/>
          <w:color w:val="auto"/>
          <w:spacing w:val="0"/>
          <w:sz w:val="24"/>
          <w:szCs w:val="24"/>
          <w:highlight w:val="none"/>
          <w:shd w:val="clear" w:color="auto" w:fill="FFFFFF"/>
          <w:vertAlign w:val="baseline"/>
        </w:rPr>
        <w:t>。</w:t>
      </w:r>
    </w:p>
    <w:p w14:paraId="4B0D368A">
      <w:pPr>
        <w:keepNext w:val="0"/>
        <w:keepLines w:val="0"/>
        <w:pageBreakBefore w:val="0"/>
        <w:kinsoku/>
        <w:wordWrap/>
        <w:overflowPunct w:val="0"/>
        <w:topLinePunct/>
        <w:bidi w:val="0"/>
        <w:spacing w:before="118" w:line="360" w:lineRule="auto"/>
        <w:ind w:left="568"/>
        <w:outlineLvl w:val="1"/>
        <w:rPr>
          <w:rFonts w:ascii="宋体" w:hAnsi="宋体" w:eastAsia="宋体" w:cs="宋体"/>
          <w:sz w:val="28"/>
          <w:szCs w:val="28"/>
          <w:highlight w:val="none"/>
        </w:rPr>
      </w:pPr>
      <w:bookmarkStart w:id="42" w:name="bookmark21"/>
      <w:bookmarkEnd w:id="42"/>
      <w:bookmarkStart w:id="43" w:name="_Toc22464"/>
      <w:r>
        <w:rPr>
          <w:rFonts w:ascii="宋体" w:hAnsi="宋体" w:eastAsia="宋体" w:cs="宋体"/>
          <w:b/>
          <w:bCs/>
          <w:spacing w:val="-5"/>
          <w:sz w:val="28"/>
          <w:szCs w:val="28"/>
          <w:highlight w:val="none"/>
        </w:rPr>
        <w:t>九、无效参选</w:t>
      </w:r>
      <w:bookmarkEnd w:id="43"/>
    </w:p>
    <w:p w14:paraId="693D2DF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2" w:firstLineChars="200"/>
        <w:textAlignment w:val="baseline"/>
        <w:outlineLvl w:val="2"/>
        <w:rPr>
          <w:rFonts w:hint="eastAsia" w:ascii="宋体" w:hAnsi="宋体" w:eastAsia="宋体" w:cs="宋体"/>
          <w:b/>
          <w:bCs/>
          <w:i w:val="0"/>
          <w:iCs w:val="0"/>
          <w:caps w:val="0"/>
          <w:color w:val="auto"/>
          <w:spacing w:val="0"/>
          <w:sz w:val="24"/>
          <w:szCs w:val="24"/>
          <w:highlight w:val="none"/>
          <w:shd w:val="clear" w:color="auto" w:fill="FFFFFF"/>
          <w:vertAlign w:val="baseline"/>
        </w:rPr>
      </w:pPr>
      <w:bookmarkStart w:id="44" w:name="_Toc1999"/>
      <w:r>
        <w:rPr>
          <w:rFonts w:hint="eastAsia" w:ascii="宋体" w:hAnsi="宋体" w:eastAsia="宋体" w:cs="宋体"/>
          <w:b/>
          <w:bCs/>
          <w:i w:val="0"/>
          <w:iCs w:val="0"/>
          <w:caps w:val="0"/>
          <w:color w:val="auto"/>
          <w:spacing w:val="0"/>
          <w:sz w:val="24"/>
          <w:szCs w:val="24"/>
          <w:highlight w:val="none"/>
          <w:shd w:val="clear" w:color="auto" w:fill="FFFFFF"/>
          <w:vertAlign w:val="baseline"/>
        </w:rPr>
        <w:t>（一）</w:t>
      </w:r>
      <w:r>
        <w:rPr>
          <w:rFonts w:hint="eastAsia" w:eastAsia="宋体" w:cs="宋体"/>
          <w:b/>
          <w:bCs/>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b/>
          <w:bCs/>
          <w:i w:val="0"/>
          <w:iCs w:val="0"/>
          <w:caps w:val="0"/>
          <w:color w:val="auto"/>
          <w:spacing w:val="0"/>
          <w:sz w:val="24"/>
          <w:szCs w:val="24"/>
          <w:highlight w:val="none"/>
          <w:shd w:val="clear" w:color="auto" w:fill="FFFFFF"/>
          <w:vertAlign w:val="baseline"/>
        </w:rPr>
        <w:t>有下列情况之一，其参选视为无效参选：</w:t>
      </w:r>
      <w:bookmarkEnd w:id="44"/>
    </w:p>
    <w:p w14:paraId="13771B1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1</w:t>
      </w:r>
      <w:r>
        <w:rPr>
          <w:rFonts w:hint="eastAsia" w:eastAsia="宋体" w:cs="宋体"/>
          <w:sz w:val="24"/>
          <w:szCs w:val="24"/>
          <w:highlight w:val="none"/>
          <w:lang w:eastAsia="zh-CN"/>
        </w:rPr>
        <w:t>.响应文件</w:t>
      </w:r>
      <w:r>
        <w:rPr>
          <w:rFonts w:ascii="宋体" w:hAnsi="宋体" w:eastAsia="宋体" w:cs="宋体"/>
          <w:sz w:val="24"/>
          <w:szCs w:val="24"/>
          <w:highlight w:val="none"/>
        </w:rPr>
        <w:t>逾期送达的；</w:t>
      </w:r>
    </w:p>
    <w:p w14:paraId="149C62E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2</w:t>
      </w:r>
      <w:r>
        <w:rPr>
          <w:rFonts w:hint="eastAsia" w:eastAsia="宋体" w:cs="宋体"/>
          <w:sz w:val="24"/>
          <w:szCs w:val="24"/>
          <w:highlight w:val="none"/>
          <w:lang w:eastAsia="zh-CN"/>
        </w:rPr>
        <w:t>.</w:t>
      </w:r>
      <w:r>
        <w:rPr>
          <w:rFonts w:ascii="宋体" w:hAnsi="宋体" w:eastAsia="宋体" w:cs="宋体"/>
          <w:sz w:val="24"/>
          <w:szCs w:val="24"/>
          <w:highlight w:val="none"/>
        </w:rPr>
        <w:t>未按遴选文件要求提供有关人员有效社保证明的；</w:t>
      </w:r>
    </w:p>
    <w:p w14:paraId="3E10964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3</w:t>
      </w:r>
      <w:r>
        <w:rPr>
          <w:rFonts w:hint="eastAsia" w:eastAsia="宋体" w:cs="宋体"/>
          <w:sz w:val="24"/>
          <w:szCs w:val="24"/>
          <w:highlight w:val="none"/>
          <w:lang w:eastAsia="zh-CN"/>
        </w:rPr>
        <w:t>.响应文件</w:t>
      </w:r>
      <w:r>
        <w:rPr>
          <w:rFonts w:ascii="宋体" w:hAnsi="宋体" w:eastAsia="宋体" w:cs="宋体"/>
          <w:sz w:val="24"/>
          <w:szCs w:val="24"/>
          <w:highlight w:val="none"/>
        </w:rPr>
        <w:t>未按要求进行盖章或</w:t>
      </w:r>
      <w:r>
        <w:rPr>
          <w:rFonts w:hint="eastAsia" w:eastAsia="宋体" w:cs="宋体"/>
          <w:sz w:val="24"/>
          <w:szCs w:val="24"/>
          <w:highlight w:val="none"/>
          <w:lang w:eastAsia="zh-CN"/>
        </w:rPr>
        <w:t>签字</w:t>
      </w:r>
      <w:r>
        <w:rPr>
          <w:rFonts w:ascii="宋体" w:hAnsi="宋体" w:eastAsia="宋体" w:cs="宋体"/>
          <w:sz w:val="24"/>
          <w:szCs w:val="24"/>
          <w:highlight w:val="none"/>
        </w:rPr>
        <w:t>的；</w:t>
      </w:r>
    </w:p>
    <w:p w14:paraId="17712EA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仿宋"/>
          <w:b/>
          <w:bCs/>
          <w:sz w:val="24"/>
          <w:highlight w:val="none"/>
          <w:lang w:eastAsia="zh-CN"/>
        </w:rPr>
      </w:pPr>
      <w:r>
        <w:rPr>
          <w:rFonts w:hint="eastAsia" w:ascii="宋体" w:hAnsi="宋体" w:eastAsia="宋体" w:cs="仿宋"/>
          <w:sz w:val="24"/>
          <w:highlight w:val="none"/>
          <w:lang w:val="en-US" w:eastAsia="zh-CN"/>
        </w:rPr>
        <w:t>4.</w:t>
      </w:r>
      <w:r>
        <w:rPr>
          <w:rFonts w:hint="eastAsia" w:ascii="宋体" w:hAnsi="宋体" w:cs="仿宋"/>
          <w:sz w:val="24"/>
          <w:highlight w:val="none"/>
        </w:rPr>
        <w:t>招标代理服务费要根据《国家发展改革委办公厅关于招标代理服务收费有关问题的通知》</w:t>
      </w:r>
      <w:r>
        <w:rPr>
          <w:rFonts w:hint="eastAsia" w:ascii="宋体" w:hAnsi="宋体" w:eastAsia="宋体" w:cs="仿宋"/>
          <w:sz w:val="24"/>
          <w:highlight w:val="none"/>
          <w:lang w:eastAsia="zh-CN"/>
        </w:rPr>
        <w:t>（</w:t>
      </w:r>
      <w:r>
        <w:rPr>
          <w:rFonts w:hint="eastAsia" w:ascii="宋体" w:hAnsi="宋体" w:cs="仿宋"/>
          <w:sz w:val="24"/>
          <w:highlight w:val="none"/>
        </w:rPr>
        <w:t>发改办价格[2003]857号</w:t>
      </w:r>
      <w:r>
        <w:rPr>
          <w:rFonts w:hint="eastAsia" w:ascii="宋体" w:hAnsi="宋体" w:eastAsia="宋体" w:cs="仿宋"/>
          <w:sz w:val="24"/>
          <w:highlight w:val="none"/>
          <w:lang w:eastAsia="zh-CN"/>
        </w:rPr>
        <w:t>）</w:t>
      </w:r>
      <w:r>
        <w:rPr>
          <w:rFonts w:hint="eastAsia" w:ascii="宋体" w:hAnsi="宋体" w:cs="仿宋"/>
          <w:sz w:val="24"/>
          <w:highlight w:val="none"/>
        </w:rPr>
        <w:t>和国家计委关于《招标代理服务收费管理暂行办法》（计价格[2002]1980号）规定基础上，下浮报价，</w:t>
      </w:r>
      <w:r>
        <w:rPr>
          <w:rFonts w:hint="eastAsia" w:ascii="宋体" w:hAnsi="宋体" w:cs="仿宋"/>
          <w:b/>
          <w:bCs/>
          <w:sz w:val="24"/>
          <w:highlight w:val="none"/>
        </w:rPr>
        <w:t>下浮区间</w:t>
      </w:r>
      <w:r>
        <w:rPr>
          <w:rFonts w:hint="eastAsia" w:ascii="宋体" w:hAnsi="宋体" w:eastAsia="宋体" w:cs="仿宋"/>
          <w:b/>
          <w:bCs/>
          <w:sz w:val="24"/>
          <w:highlight w:val="none"/>
          <w:lang w:val="en-US" w:eastAsia="zh-CN"/>
        </w:rPr>
        <w:t>不在</w:t>
      </w:r>
      <w:r>
        <w:rPr>
          <w:rFonts w:hint="eastAsia" w:ascii="宋体" w:hAnsi="宋体" w:cs="仿宋"/>
          <w:b/>
          <w:bCs/>
          <w:sz w:val="24"/>
          <w:highlight w:val="none"/>
        </w:rPr>
        <w:t>0%-40%</w:t>
      </w:r>
      <w:r>
        <w:rPr>
          <w:rFonts w:hint="eastAsia" w:ascii="宋体" w:hAnsi="宋体" w:eastAsia="宋体" w:cs="仿宋"/>
          <w:b/>
          <w:bCs/>
          <w:sz w:val="24"/>
          <w:highlight w:val="none"/>
          <w:lang w:eastAsia="zh-CN"/>
        </w:rPr>
        <w:t>的；</w:t>
      </w:r>
    </w:p>
    <w:p w14:paraId="72ED31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val="en-US" w:eastAsia="zh-CN"/>
        </w:rPr>
        <w:t>5</w:t>
      </w:r>
      <w:r>
        <w:rPr>
          <w:rFonts w:hint="eastAsia" w:eastAsia="宋体" w:cs="宋体"/>
          <w:sz w:val="24"/>
          <w:szCs w:val="24"/>
          <w:highlight w:val="none"/>
          <w:lang w:eastAsia="zh-CN"/>
        </w:rPr>
        <w:t>.响应文件</w:t>
      </w:r>
      <w:r>
        <w:rPr>
          <w:rFonts w:ascii="宋体" w:hAnsi="宋体" w:eastAsia="宋体" w:cs="宋体"/>
          <w:sz w:val="24"/>
          <w:szCs w:val="24"/>
          <w:highlight w:val="none"/>
        </w:rPr>
        <w:t>未按遴选文件要求和格式填写或填写内容不全的；</w:t>
      </w:r>
    </w:p>
    <w:p w14:paraId="5213F35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val="en-US" w:eastAsia="zh-CN"/>
        </w:rPr>
        <w:t>6</w:t>
      </w:r>
      <w:r>
        <w:rPr>
          <w:rFonts w:hint="eastAsia" w:eastAsia="宋体" w:cs="宋体"/>
          <w:sz w:val="24"/>
          <w:szCs w:val="24"/>
          <w:highlight w:val="none"/>
          <w:lang w:eastAsia="zh-CN"/>
        </w:rPr>
        <w:t>.响应文件</w:t>
      </w:r>
      <w:r>
        <w:rPr>
          <w:rFonts w:ascii="宋体" w:hAnsi="宋体" w:eastAsia="宋体" w:cs="宋体"/>
          <w:sz w:val="24"/>
          <w:szCs w:val="24"/>
          <w:highlight w:val="none"/>
        </w:rPr>
        <w:t>未对遴选文件做出实质性响应或与遴选文件有重大偏离的；</w:t>
      </w:r>
    </w:p>
    <w:p w14:paraId="7F40F4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eastAsia="宋体" w:cs="宋体"/>
          <w:sz w:val="24"/>
          <w:szCs w:val="24"/>
          <w:highlight w:val="none"/>
          <w:lang w:eastAsia="zh-CN"/>
        </w:rPr>
        <w:t>.响应文件</w:t>
      </w:r>
      <w:r>
        <w:rPr>
          <w:rFonts w:ascii="宋体" w:hAnsi="宋体" w:eastAsia="宋体" w:cs="宋体"/>
          <w:sz w:val="24"/>
          <w:szCs w:val="24"/>
          <w:highlight w:val="none"/>
        </w:rPr>
        <w:t>中载明的法定代表人或授权代表，与其他</w:t>
      </w:r>
      <w:r>
        <w:rPr>
          <w:rFonts w:hint="eastAsia" w:eastAsia="宋体" w:cs="宋体"/>
          <w:sz w:val="24"/>
          <w:szCs w:val="24"/>
          <w:highlight w:val="none"/>
          <w:lang w:eastAsia="zh-CN"/>
        </w:rPr>
        <w:t>响应人</w:t>
      </w:r>
      <w:r>
        <w:rPr>
          <w:rFonts w:ascii="宋体" w:hAnsi="宋体" w:eastAsia="宋体" w:cs="宋体"/>
          <w:sz w:val="24"/>
          <w:szCs w:val="24"/>
          <w:highlight w:val="none"/>
        </w:rPr>
        <w:t>的</w:t>
      </w:r>
      <w:r>
        <w:rPr>
          <w:rFonts w:hint="eastAsia" w:eastAsia="宋体" w:cs="宋体"/>
          <w:sz w:val="24"/>
          <w:szCs w:val="24"/>
          <w:highlight w:val="none"/>
          <w:lang w:eastAsia="zh-CN"/>
        </w:rPr>
        <w:t>响应文件</w:t>
      </w:r>
      <w:r>
        <w:rPr>
          <w:rFonts w:ascii="宋体" w:hAnsi="宋体" w:eastAsia="宋体" w:cs="宋体"/>
          <w:sz w:val="24"/>
          <w:szCs w:val="24"/>
          <w:highlight w:val="none"/>
        </w:rPr>
        <w:t>中 载明的法定代表人或授权代表为同一人的，经核实为虚假的；</w:t>
      </w:r>
    </w:p>
    <w:p w14:paraId="300EF82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val="en-US" w:eastAsia="zh-CN"/>
        </w:rPr>
        <w:t>8</w:t>
      </w:r>
      <w:r>
        <w:rPr>
          <w:rFonts w:hint="eastAsia" w:eastAsia="宋体" w:cs="宋体"/>
          <w:sz w:val="24"/>
          <w:szCs w:val="24"/>
          <w:highlight w:val="none"/>
          <w:lang w:eastAsia="zh-CN"/>
        </w:rPr>
        <w:t>.</w:t>
      </w:r>
      <w:r>
        <w:rPr>
          <w:rFonts w:ascii="宋体" w:hAnsi="宋体" w:eastAsia="宋体" w:cs="宋体"/>
          <w:sz w:val="24"/>
          <w:szCs w:val="24"/>
          <w:highlight w:val="none"/>
        </w:rPr>
        <w:t>与本遴选项目其他</w:t>
      </w:r>
      <w:r>
        <w:rPr>
          <w:rFonts w:hint="eastAsia" w:eastAsia="宋体" w:cs="宋体"/>
          <w:sz w:val="24"/>
          <w:szCs w:val="24"/>
          <w:highlight w:val="none"/>
          <w:lang w:eastAsia="zh-CN"/>
        </w:rPr>
        <w:t>响应人</w:t>
      </w:r>
      <w:r>
        <w:rPr>
          <w:rFonts w:ascii="宋体" w:hAnsi="宋体" w:eastAsia="宋体" w:cs="宋体"/>
          <w:sz w:val="24"/>
          <w:szCs w:val="24"/>
          <w:highlight w:val="none"/>
        </w:rPr>
        <w:t>提供的联系人或电话、传真、电子邮箱等方式 出现相同的，经核实为虚假的；</w:t>
      </w:r>
    </w:p>
    <w:p w14:paraId="6A594FF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val="en-US" w:eastAsia="zh-CN"/>
        </w:rPr>
        <w:t>9</w:t>
      </w:r>
      <w:r>
        <w:rPr>
          <w:rFonts w:hint="eastAsia" w:eastAsia="宋体" w:cs="宋体"/>
          <w:sz w:val="24"/>
          <w:szCs w:val="24"/>
          <w:highlight w:val="none"/>
          <w:lang w:eastAsia="zh-CN"/>
        </w:rPr>
        <w:t>.</w:t>
      </w:r>
      <w:r>
        <w:rPr>
          <w:rFonts w:ascii="宋体" w:hAnsi="宋体" w:eastAsia="宋体" w:cs="宋体"/>
          <w:sz w:val="24"/>
          <w:szCs w:val="24"/>
          <w:highlight w:val="none"/>
        </w:rPr>
        <w:t>应提供而未提供有关证书原件的或提交的证明文件和其他材料虚假的；</w:t>
      </w:r>
    </w:p>
    <w:p w14:paraId="64C6472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val="en-US" w:eastAsia="zh-CN"/>
        </w:rPr>
        <w:t>10</w:t>
      </w:r>
      <w:r>
        <w:rPr>
          <w:rFonts w:hint="eastAsia" w:eastAsia="宋体" w:cs="宋体"/>
          <w:sz w:val="24"/>
          <w:szCs w:val="24"/>
          <w:highlight w:val="none"/>
          <w:lang w:eastAsia="zh-CN"/>
        </w:rPr>
        <w:t>.</w:t>
      </w:r>
      <w:r>
        <w:rPr>
          <w:rFonts w:ascii="宋体" w:hAnsi="宋体" w:eastAsia="宋体" w:cs="宋体"/>
          <w:sz w:val="24"/>
          <w:szCs w:val="24"/>
          <w:highlight w:val="none"/>
        </w:rPr>
        <w:t>不同</w:t>
      </w:r>
      <w:r>
        <w:rPr>
          <w:rFonts w:hint="eastAsia" w:eastAsia="宋体" w:cs="宋体"/>
          <w:sz w:val="24"/>
          <w:szCs w:val="24"/>
          <w:highlight w:val="none"/>
          <w:lang w:eastAsia="zh-CN"/>
        </w:rPr>
        <w:t>响应人</w:t>
      </w:r>
      <w:r>
        <w:rPr>
          <w:rFonts w:ascii="宋体" w:hAnsi="宋体" w:eastAsia="宋体" w:cs="宋体"/>
          <w:sz w:val="24"/>
          <w:szCs w:val="24"/>
          <w:highlight w:val="none"/>
        </w:rPr>
        <w:t>的</w:t>
      </w:r>
      <w:r>
        <w:rPr>
          <w:rFonts w:hint="eastAsia" w:eastAsia="宋体" w:cs="宋体"/>
          <w:sz w:val="24"/>
          <w:szCs w:val="24"/>
          <w:highlight w:val="none"/>
          <w:lang w:eastAsia="zh-CN"/>
        </w:rPr>
        <w:t>响应文件</w:t>
      </w:r>
      <w:r>
        <w:rPr>
          <w:rFonts w:ascii="宋体" w:hAnsi="宋体" w:eastAsia="宋体" w:cs="宋体"/>
          <w:sz w:val="24"/>
          <w:szCs w:val="24"/>
          <w:highlight w:val="none"/>
        </w:rPr>
        <w:t>内容、数据非正常雷同，或有其它明显串通参选行为的；</w:t>
      </w:r>
    </w:p>
    <w:p w14:paraId="7C232E5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1</w:t>
      </w:r>
      <w:r>
        <w:rPr>
          <w:rFonts w:hint="eastAsia" w:eastAsia="宋体" w:cs="宋体"/>
          <w:sz w:val="24"/>
          <w:szCs w:val="24"/>
          <w:highlight w:val="none"/>
          <w:lang w:val="en-US" w:eastAsia="zh-CN"/>
        </w:rPr>
        <w:t>1</w:t>
      </w:r>
      <w:r>
        <w:rPr>
          <w:rFonts w:hint="eastAsia" w:eastAsia="宋体" w:cs="宋体"/>
          <w:sz w:val="24"/>
          <w:szCs w:val="24"/>
          <w:highlight w:val="none"/>
          <w:lang w:eastAsia="zh-CN"/>
        </w:rPr>
        <w:t>.响应人</w:t>
      </w:r>
      <w:r>
        <w:rPr>
          <w:rFonts w:ascii="宋体" w:hAnsi="宋体" w:eastAsia="宋体" w:cs="宋体"/>
          <w:sz w:val="24"/>
          <w:szCs w:val="24"/>
          <w:highlight w:val="none"/>
        </w:rPr>
        <w:t>提供的业绩及其他证明材料虚假的；</w:t>
      </w:r>
    </w:p>
    <w:p w14:paraId="20BDAD2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1</w:t>
      </w:r>
      <w:r>
        <w:rPr>
          <w:rFonts w:hint="eastAsia" w:eastAsia="宋体" w:cs="宋体"/>
          <w:sz w:val="24"/>
          <w:szCs w:val="24"/>
          <w:highlight w:val="none"/>
          <w:lang w:val="en-US" w:eastAsia="zh-CN"/>
        </w:rPr>
        <w:t>2</w:t>
      </w:r>
      <w:r>
        <w:rPr>
          <w:rFonts w:hint="eastAsia" w:eastAsia="宋体" w:cs="宋体"/>
          <w:sz w:val="24"/>
          <w:szCs w:val="24"/>
          <w:highlight w:val="none"/>
          <w:lang w:eastAsia="zh-CN"/>
        </w:rPr>
        <w:t>.响应人</w:t>
      </w:r>
      <w:r>
        <w:rPr>
          <w:rFonts w:ascii="宋体" w:hAnsi="宋体" w:eastAsia="宋体" w:cs="宋体"/>
          <w:sz w:val="24"/>
          <w:szCs w:val="24"/>
          <w:highlight w:val="none"/>
        </w:rPr>
        <w:t>有《中华人民共和国违反不正当竞争法》所列的不正当竞争行为 的；</w:t>
      </w:r>
    </w:p>
    <w:p w14:paraId="6CCC7E3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1</w:t>
      </w:r>
      <w:r>
        <w:rPr>
          <w:rFonts w:hint="eastAsia" w:eastAsia="宋体" w:cs="宋体"/>
          <w:sz w:val="24"/>
          <w:szCs w:val="24"/>
          <w:highlight w:val="none"/>
          <w:lang w:val="en-US" w:eastAsia="zh-CN"/>
        </w:rPr>
        <w:t>3</w:t>
      </w:r>
      <w:r>
        <w:rPr>
          <w:rFonts w:hint="eastAsia" w:eastAsia="宋体" w:cs="宋体"/>
          <w:sz w:val="24"/>
          <w:szCs w:val="24"/>
          <w:highlight w:val="none"/>
          <w:lang w:eastAsia="zh-CN"/>
        </w:rPr>
        <w:t>.响应文件</w:t>
      </w:r>
      <w:r>
        <w:rPr>
          <w:rFonts w:ascii="宋体" w:hAnsi="宋体" w:eastAsia="宋体" w:cs="宋体"/>
          <w:sz w:val="24"/>
          <w:szCs w:val="24"/>
          <w:highlight w:val="none"/>
        </w:rPr>
        <w:t>附有遴选人不能接受的条件的；</w:t>
      </w:r>
    </w:p>
    <w:p w14:paraId="440E51A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1</w:t>
      </w:r>
      <w:r>
        <w:rPr>
          <w:rFonts w:hint="eastAsia" w:eastAsia="宋体" w:cs="宋体"/>
          <w:sz w:val="24"/>
          <w:szCs w:val="24"/>
          <w:highlight w:val="none"/>
          <w:lang w:val="en-US" w:eastAsia="zh-CN"/>
        </w:rPr>
        <w:t>4</w:t>
      </w:r>
      <w:r>
        <w:rPr>
          <w:rFonts w:hint="eastAsia" w:eastAsia="宋体" w:cs="宋体"/>
          <w:sz w:val="24"/>
          <w:szCs w:val="24"/>
          <w:highlight w:val="none"/>
          <w:lang w:eastAsia="zh-CN"/>
        </w:rPr>
        <w:t>.</w:t>
      </w:r>
      <w:r>
        <w:rPr>
          <w:rFonts w:ascii="宋体" w:hAnsi="宋体" w:eastAsia="宋体" w:cs="宋体"/>
          <w:sz w:val="24"/>
          <w:szCs w:val="24"/>
          <w:highlight w:val="none"/>
        </w:rPr>
        <w:t>在全部参选过程中，</w:t>
      </w:r>
      <w:r>
        <w:rPr>
          <w:rFonts w:hint="eastAsia" w:eastAsia="宋体" w:cs="宋体"/>
          <w:sz w:val="24"/>
          <w:szCs w:val="24"/>
          <w:highlight w:val="none"/>
          <w:lang w:eastAsia="zh-CN"/>
        </w:rPr>
        <w:t>响应人</w:t>
      </w:r>
      <w:r>
        <w:rPr>
          <w:rFonts w:ascii="宋体" w:hAnsi="宋体" w:eastAsia="宋体" w:cs="宋体"/>
          <w:sz w:val="24"/>
          <w:szCs w:val="24"/>
          <w:highlight w:val="none"/>
        </w:rPr>
        <w:t>以不正当行为影响遴选结果的；</w:t>
      </w:r>
    </w:p>
    <w:p w14:paraId="093F39A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ascii="宋体" w:hAnsi="宋体" w:eastAsia="宋体" w:cs="宋体"/>
          <w:sz w:val="24"/>
          <w:szCs w:val="24"/>
          <w:highlight w:val="none"/>
        </w:rPr>
        <w:t>1</w:t>
      </w:r>
      <w:r>
        <w:rPr>
          <w:rFonts w:hint="eastAsia" w:eastAsia="宋体" w:cs="宋体"/>
          <w:sz w:val="24"/>
          <w:szCs w:val="24"/>
          <w:highlight w:val="none"/>
          <w:lang w:val="en-US" w:eastAsia="zh-CN"/>
        </w:rPr>
        <w:t>5</w:t>
      </w:r>
      <w:r>
        <w:rPr>
          <w:rFonts w:hint="eastAsia" w:eastAsia="宋体" w:cs="宋体"/>
          <w:sz w:val="24"/>
          <w:szCs w:val="24"/>
          <w:highlight w:val="none"/>
          <w:lang w:eastAsia="zh-CN"/>
        </w:rPr>
        <w:t>.</w:t>
      </w:r>
      <w:r>
        <w:rPr>
          <w:rFonts w:ascii="宋体" w:hAnsi="宋体" w:eastAsia="宋体" w:cs="宋体"/>
          <w:sz w:val="24"/>
          <w:szCs w:val="24"/>
          <w:highlight w:val="none"/>
        </w:rPr>
        <w:t>法律、法规规定的其他情况</w:t>
      </w:r>
      <w:r>
        <w:rPr>
          <w:rFonts w:hint="eastAsia" w:ascii="宋体" w:hAnsi="宋体" w:eastAsia="宋体" w:cs="宋体"/>
          <w:i w:val="0"/>
          <w:iCs w:val="0"/>
          <w:caps w:val="0"/>
          <w:color w:val="auto"/>
          <w:spacing w:val="0"/>
          <w:sz w:val="24"/>
          <w:szCs w:val="24"/>
          <w:highlight w:val="none"/>
          <w:shd w:val="clear" w:color="auto" w:fill="FFFFFF"/>
          <w:vertAlign w:val="baseline"/>
        </w:rPr>
        <w:t>。</w:t>
      </w:r>
    </w:p>
    <w:p w14:paraId="066E6F6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2" w:firstLineChars="200"/>
        <w:textAlignment w:val="baseline"/>
        <w:rPr>
          <w:rFonts w:hint="eastAsia" w:ascii="宋体" w:hAnsi="宋体" w:eastAsia="宋体" w:cs="宋体"/>
          <w:b/>
          <w:bCs/>
          <w:i w:val="0"/>
          <w:iCs w:val="0"/>
          <w:caps w:val="0"/>
          <w:color w:val="auto"/>
          <w:spacing w:val="0"/>
          <w:sz w:val="24"/>
          <w:szCs w:val="24"/>
          <w:highlight w:val="none"/>
          <w:shd w:val="clear" w:color="auto" w:fill="FFFFFF"/>
          <w:vertAlign w:val="baseline"/>
        </w:rPr>
      </w:pPr>
      <w:r>
        <w:rPr>
          <w:rFonts w:hint="eastAsia" w:ascii="宋体" w:hAnsi="宋体" w:eastAsia="宋体" w:cs="宋体"/>
          <w:b/>
          <w:bCs/>
          <w:i w:val="0"/>
          <w:iCs w:val="0"/>
          <w:caps w:val="0"/>
          <w:color w:val="auto"/>
          <w:spacing w:val="0"/>
          <w:sz w:val="24"/>
          <w:szCs w:val="24"/>
          <w:highlight w:val="none"/>
          <w:shd w:val="clear" w:color="auto" w:fill="FFFFFF"/>
          <w:vertAlign w:val="baseline"/>
        </w:rPr>
        <w:t>（二）</w:t>
      </w:r>
      <w:r>
        <w:rPr>
          <w:rFonts w:hint="eastAsia" w:eastAsia="宋体" w:cs="宋体"/>
          <w:b/>
          <w:bCs/>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b/>
          <w:bCs/>
          <w:i w:val="0"/>
          <w:iCs w:val="0"/>
          <w:caps w:val="0"/>
          <w:color w:val="auto"/>
          <w:spacing w:val="0"/>
          <w:sz w:val="24"/>
          <w:szCs w:val="24"/>
          <w:highlight w:val="none"/>
          <w:shd w:val="clear" w:color="auto" w:fill="FFFFFF"/>
          <w:vertAlign w:val="baseline"/>
        </w:rPr>
        <w:t>有下列情况之一，其参选视为无效，</w:t>
      </w:r>
      <w:r>
        <w:rPr>
          <w:rFonts w:hint="eastAsia" w:eastAsia="宋体" w:cs="宋体"/>
          <w:b/>
          <w:bCs/>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b/>
          <w:bCs/>
          <w:i w:val="0"/>
          <w:iCs w:val="0"/>
          <w:caps w:val="0"/>
          <w:color w:val="auto"/>
          <w:spacing w:val="0"/>
          <w:sz w:val="24"/>
          <w:szCs w:val="24"/>
          <w:highlight w:val="none"/>
          <w:shd w:val="clear" w:color="auto" w:fill="FFFFFF"/>
          <w:vertAlign w:val="baseline"/>
        </w:rPr>
        <w:t>给遴选人造成损失的，遴选人将严格参照有关法律、法规及规章的规定行使其索赔的权利。</w:t>
      </w:r>
    </w:p>
    <w:p w14:paraId="0642AFB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1.</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 xml:space="preserve">提供的有关证明文件不真实，提供虚假参选材料； </w:t>
      </w:r>
    </w:p>
    <w:p w14:paraId="4DEED06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2.</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在参选有效期内撤回参选；</w:t>
      </w:r>
    </w:p>
    <w:p w14:paraId="6A9CEB1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3.在整个遴选过程中，</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 xml:space="preserve">有企图影响遴选结果的任何活动； </w:t>
      </w:r>
    </w:p>
    <w:p w14:paraId="44653C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4.</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有串通行为的；</w:t>
      </w:r>
    </w:p>
    <w:p w14:paraId="5C50BBE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5.</w:t>
      </w:r>
      <w:r>
        <w:rPr>
          <w:rFonts w:hint="eastAsia" w:eastAsia="宋体" w:cs="宋体"/>
          <w:i w:val="0"/>
          <w:iCs w:val="0"/>
          <w:caps w:val="0"/>
          <w:color w:val="auto"/>
          <w:spacing w:val="0"/>
          <w:sz w:val="24"/>
          <w:szCs w:val="24"/>
          <w:highlight w:val="none"/>
          <w:shd w:val="clear" w:color="auto" w:fill="FFFFFF"/>
          <w:vertAlign w:val="baseline"/>
          <w:lang w:eastAsia="zh-CN"/>
        </w:rPr>
        <w:t>响应人</w:t>
      </w:r>
      <w:r>
        <w:rPr>
          <w:rFonts w:hint="eastAsia" w:ascii="宋体" w:hAnsi="宋体" w:eastAsia="宋体" w:cs="宋体"/>
          <w:i w:val="0"/>
          <w:iCs w:val="0"/>
          <w:caps w:val="0"/>
          <w:color w:val="auto"/>
          <w:spacing w:val="0"/>
          <w:sz w:val="24"/>
          <w:szCs w:val="24"/>
          <w:highlight w:val="none"/>
          <w:shd w:val="clear" w:color="auto" w:fill="FFFFFF"/>
          <w:vertAlign w:val="baseline"/>
        </w:rPr>
        <w:t>向遴选人提供不正当利益；</w:t>
      </w:r>
    </w:p>
    <w:p w14:paraId="209643C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shd w:val="clear" w:color="auto" w:fill="FFFFFF"/>
          <w:vertAlign w:val="baseline"/>
        </w:rPr>
      </w:pPr>
      <w:r>
        <w:rPr>
          <w:rFonts w:hint="eastAsia" w:ascii="宋体" w:hAnsi="宋体" w:eastAsia="宋体" w:cs="宋体"/>
          <w:i w:val="0"/>
          <w:iCs w:val="0"/>
          <w:caps w:val="0"/>
          <w:color w:val="auto"/>
          <w:spacing w:val="0"/>
          <w:sz w:val="24"/>
          <w:szCs w:val="24"/>
          <w:highlight w:val="none"/>
          <w:shd w:val="clear" w:color="auto" w:fill="FFFFFF"/>
          <w:vertAlign w:val="baseline"/>
        </w:rPr>
        <w:t>6.入选人不按规定签订合同；</w:t>
      </w:r>
    </w:p>
    <w:p w14:paraId="17CDEB1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vertAlign w:val="baseline"/>
        </w:rPr>
        <w:t>7.法律、法规规定的其他情况</w:t>
      </w:r>
      <w:r>
        <w:rPr>
          <w:rFonts w:ascii="宋体" w:hAnsi="宋体" w:eastAsia="宋体" w:cs="宋体"/>
          <w:spacing w:val="-1"/>
          <w:sz w:val="24"/>
          <w:szCs w:val="24"/>
          <w:highlight w:val="none"/>
        </w:rPr>
        <w:t>。</w:t>
      </w:r>
    </w:p>
    <w:p w14:paraId="49116FCC">
      <w:pPr>
        <w:keepNext w:val="0"/>
        <w:keepLines w:val="0"/>
        <w:pageBreakBefore w:val="0"/>
        <w:kinsoku/>
        <w:wordWrap/>
        <w:overflowPunct w:val="0"/>
        <w:topLinePunct/>
        <w:bidi w:val="0"/>
        <w:spacing w:before="239" w:line="360" w:lineRule="auto"/>
        <w:ind w:left="562"/>
        <w:outlineLvl w:val="1"/>
        <w:rPr>
          <w:rFonts w:ascii="宋体" w:hAnsi="宋体" w:eastAsia="宋体" w:cs="宋体"/>
          <w:sz w:val="28"/>
          <w:szCs w:val="28"/>
          <w:highlight w:val="none"/>
        </w:rPr>
      </w:pPr>
      <w:bookmarkStart w:id="45" w:name="bookmark23"/>
      <w:bookmarkEnd w:id="45"/>
      <w:bookmarkStart w:id="46" w:name="_Toc11353"/>
      <w:r>
        <w:rPr>
          <w:rFonts w:ascii="宋体" w:hAnsi="宋体" w:eastAsia="宋体" w:cs="宋体"/>
          <w:b/>
          <w:bCs/>
          <w:spacing w:val="-5"/>
          <w:sz w:val="28"/>
          <w:szCs w:val="28"/>
          <w:highlight w:val="none"/>
        </w:rPr>
        <w:t>十、解释权</w:t>
      </w:r>
      <w:bookmarkEnd w:id="46"/>
    </w:p>
    <w:p w14:paraId="3D6438E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vertAlign w:val="baseline"/>
        </w:rPr>
        <w:t>本遴选文件的最终解释权归遴选人，当对一个问题有多种解释时以遴选人的书</w:t>
      </w:r>
      <w:r>
        <w:rPr>
          <w:rFonts w:ascii="宋体" w:hAnsi="宋体" w:eastAsia="宋体" w:cs="宋体"/>
          <w:sz w:val="24"/>
          <w:szCs w:val="24"/>
          <w:highlight w:val="none"/>
        </w:rPr>
        <w:t>面解释为准。遴选文件未做须知明示，遴选人将</w:t>
      </w:r>
      <w:r>
        <w:rPr>
          <w:rFonts w:ascii="宋体" w:hAnsi="宋体" w:eastAsia="宋体" w:cs="宋体"/>
          <w:spacing w:val="-1"/>
          <w:sz w:val="24"/>
          <w:szCs w:val="24"/>
          <w:highlight w:val="none"/>
        </w:rPr>
        <w:t>依据相关法律、法规解释。</w:t>
      </w:r>
    </w:p>
    <w:p w14:paraId="4A8EAB14">
      <w:pPr>
        <w:keepNext w:val="0"/>
        <w:keepLines w:val="0"/>
        <w:pageBreakBefore w:val="0"/>
        <w:kinsoku/>
        <w:wordWrap/>
        <w:overflowPunct w:val="0"/>
        <w:topLinePunct/>
        <w:bidi w:val="0"/>
        <w:spacing w:before="240" w:line="360" w:lineRule="auto"/>
        <w:ind w:left="560"/>
        <w:outlineLvl w:val="1"/>
        <w:rPr>
          <w:rFonts w:ascii="宋体" w:hAnsi="宋体" w:eastAsia="宋体" w:cs="宋体"/>
          <w:sz w:val="28"/>
          <w:szCs w:val="28"/>
          <w:highlight w:val="none"/>
        </w:rPr>
      </w:pPr>
      <w:bookmarkStart w:id="47" w:name="bookmark25"/>
      <w:bookmarkEnd w:id="47"/>
      <w:bookmarkStart w:id="48" w:name="_Toc777"/>
      <w:r>
        <w:rPr>
          <w:rFonts w:ascii="宋体" w:hAnsi="宋体" w:eastAsia="宋体" w:cs="宋体"/>
          <w:b/>
          <w:bCs/>
          <w:spacing w:val="-4"/>
          <w:sz w:val="28"/>
          <w:szCs w:val="28"/>
          <w:highlight w:val="none"/>
        </w:rPr>
        <w:t>十一、入选通知书</w:t>
      </w:r>
      <w:bookmarkEnd w:id="48"/>
    </w:p>
    <w:p w14:paraId="1FB4978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val="en-US" w:eastAsia="zh-CN"/>
        </w:rPr>
        <w:t>1.</w:t>
      </w:r>
      <w:r>
        <w:rPr>
          <w:rFonts w:ascii="宋体" w:hAnsi="宋体" w:eastAsia="宋体" w:cs="宋体"/>
          <w:sz w:val="24"/>
          <w:szCs w:val="24"/>
          <w:highlight w:val="none"/>
        </w:rPr>
        <w:t>《入选通知书》发出后</w:t>
      </w:r>
      <w:r>
        <w:rPr>
          <w:rFonts w:hint="eastAsia" w:eastAsia="宋体" w:cs="宋体"/>
          <w:sz w:val="24"/>
          <w:szCs w:val="24"/>
          <w:highlight w:val="none"/>
          <w:lang w:val="en-US" w:eastAsia="zh-CN"/>
        </w:rPr>
        <w:t>30</w:t>
      </w:r>
      <w:r>
        <w:rPr>
          <w:rFonts w:ascii="宋体" w:hAnsi="宋体" w:eastAsia="宋体" w:cs="宋体"/>
          <w:sz w:val="24"/>
          <w:szCs w:val="24"/>
          <w:highlight w:val="none"/>
        </w:rPr>
        <w:t>日内，遴选人和入选人签订合同。合同签订的内容不能超出遴选文件的实质性内容。逾期不签订合同的，视为自动放弃</w:t>
      </w:r>
      <w:r>
        <w:rPr>
          <w:rFonts w:hint="eastAsia" w:eastAsia="宋体" w:cs="宋体"/>
          <w:sz w:val="24"/>
          <w:szCs w:val="24"/>
          <w:highlight w:val="none"/>
          <w:lang w:eastAsia="zh-CN"/>
        </w:rPr>
        <w:t>入选</w:t>
      </w:r>
      <w:r>
        <w:rPr>
          <w:rFonts w:ascii="宋体" w:hAnsi="宋体" w:eastAsia="宋体" w:cs="宋体"/>
          <w:sz w:val="24"/>
          <w:szCs w:val="24"/>
          <w:highlight w:val="none"/>
        </w:rPr>
        <w:t>资格。</w:t>
      </w:r>
    </w:p>
    <w:p w14:paraId="10A159C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outlineLvl w:val="2"/>
        <w:rPr>
          <w:rFonts w:ascii="宋体" w:hAnsi="宋体" w:eastAsia="宋体" w:cs="宋体"/>
          <w:sz w:val="24"/>
          <w:szCs w:val="24"/>
          <w:highlight w:val="none"/>
        </w:rPr>
      </w:pPr>
      <w:bookmarkStart w:id="49" w:name="_Toc19133"/>
      <w:r>
        <w:rPr>
          <w:rFonts w:hint="eastAsia" w:eastAsia="宋体" w:cs="宋体"/>
          <w:sz w:val="24"/>
          <w:szCs w:val="24"/>
          <w:highlight w:val="none"/>
          <w:lang w:val="en-US" w:eastAsia="zh-CN"/>
        </w:rPr>
        <w:t>2</w:t>
      </w:r>
      <w:r>
        <w:rPr>
          <w:rFonts w:hint="eastAsia" w:eastAsia="宋体" w:cs="宋体"/>
          <w:sz w:val="24"/>
          <w:szCs w:val="24"/>
          <w:highlight w:val="none"/>
          <w:lang w:eastAsia="zh-CN"/>
        </w:rPr>
        <w:t>.入选人</w:t>
      </w:r>
      <w:r>
        <w:rPr>
          <w:rFonts w:ascii="宋体" w:hAnsi="宋体" w:eastAsia="宋体" w:cs="宋体"/>
          <w:sz w:val="24"/>
          <w:szCs w:val="24"/>
          <w:highlight w:val="none"/>
        </w:rPr>
        <w:t>的具体服务内容及业务范围由合同中约定。</w:t>
      </w:r>
      <w:bookmarkEnd w:id="49"/>
    </w:p>
    <w:p w14:paraId="282A2C9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val="en-US" w:eastAsia="zh-CN"/>
        </w:rPr>
        <w:t>3.</w:t>
      </w:r>
      <w:r>
        <w:rPr>
          <w:rFonts w:hint="eastAsia" w:eastAsia="宋体" w:cs="宋体"/>
          <w:sz w:val="24"/>
          <w:szCs w:val="24"/>
          <w:highlight w:val="none"/>
          <w:lang w:eastAsia="zh-CN"/>
        </w:rPr>
        <w:t>.</w:t>
      </w:r>
      <w:r>
        <w:rPr>
          <w:rFonts w:ascii="宋体" w:hAnsi="宋体" w:eastAsia="宋体" w:cs="宋体"/>
          <w:sz w:val="24"/>
          <w:szCs w:val="24"/>
          <w:highlight w:val="none"/>
        </w:rPr>
        <w:t>本次的遴选文件、</w:t>
      </w:r>
      <w:r>
        <w:rPr>
          <w:rFonts w:hint="eastAsia" w:eastAsia="宋体" w:cs="宋体"/>
          <w:sz w:val="24"/>
          <w:szCs w:val="24"/>
          <w:highlight w:val="none"/>
          <w:lang w:eastAsia="zh-CN"/>
        </w:rPr>
        <w:t>入选人</w:t>
      </w:r>
      <w:r>
        <w:rPr>
          <w:rFonts w:ascii="宋体" w:hAnsi="宋体" w:eastAsia="宋体" w:cs="宋体"/>
          <w:sz w:val="24"/>
          <w:szCs w:val="24"/>
          <w:highlight w:val="none"/>
        </w:rPr>
        <w:t>的</w:t>
      </w:r>
      <w:r>
        <w:rPr>
          <w:rFonts w:hint="eastAsia" w:eastAsia="宋体" w:cs="宋体"/>
          <w:sz w:val="24"/>
          <w:szCs w:val="24"/>
          <w:highlight w:val="none"/>
          <w:lang w:eastAsia="zh-CN"/>
        </w:rPr>
        <w:t>响应文件</w:t>
      </w:r>
      <w:r>
        <w:rPr>
          <w:rFonts w:ascii="宋体" w:hAnsi="宋体" w:eastAsia="宋体" w:cs="宋体"/>
          <w:sz w:val="24"/>
          <w:szCs w:val="24"/>
          <w:highlight w:val="none"/>
        </w:rPr>
        <w:t>及书面澄清、承诺文件均作为合同的一部分，具有法律效力。</w:t>
      </w:r>
    </w:p>
    <w:p w14:paraId="6029F789">
      <w:pPr>
        <w:rPr>
          <w:rFonts w:ascii="宋体" w:hAnsi="宋体" w:eastAsia="宋体" w:cs="宋体"/>
          <w:b/>
          <w:bCs/>
          <w:spacing w:val="4"/>
          <w:sz w:val="43"/>
          <w:szCs w:val="43"/>
          <w:highlight w:val="none"/>
        </w:rPr>
      </w:pPr>
      <w:bookmarkStart w:id="50" w:name="bookmark27"/>
      <w:bookmarkEnd w:id="50"/>
      <w:bookmarkStart w:id="51" w:name="_Toc1604"/>
      <w:r>
        <w:rPr>
          <w:rFonts w:ascii="宋体" w:hAnsi="宋体" w:eastAsia="宋体" w:cs="宋体"/>
          <w:b/>
          <w:bCs/>
          <w:spacing w:val="4"/>
          <w:sz w:val="43"/>
          <w:szCs w:val="43"/>
          <w:highlight w:val="none"/>
        </w:rPr>
        <w:br w:type="page"/>
      </w:r>
    </w:p>
    <w:p w14:paraId="06006D45">
      <w:pPr>
        <w:keepNext w:val="0"/>
        <w:keepLines w:val="0"/>
        <w:pageBreakBefore w:val="0"/>
        <w:kinsoku/>
        <w:wordWrap/>
        <w:overflowPunct w:val="0"/>
        <w:topLinePunct/>
        <w:bidi w:val="0"/>
        <w:spacing w:before="88" w:line="360" w:lineRule="auto"/>
        <w:ind w:left="2881"/>
        <w:outlineLvl w:val="0"/>
        <w:rPr>
          <w:rFonts w:ascii="宋体" w:hAnsi="宋体" w:eastAsia="宋体" w:cs="宋体"/>
          <w:sz w:val="43"/>
          <w:szCs w:val="43"/>
          <w:highlight w:val="none"/>
        </w:rPr>
      </w:pPr>
      <w:r>
        <w:rPr>
          <w:rFonts w:ascii="宋体" w:hAnsi="宋体" w:eastAsia="宋体" w:cs="宋体"/>
          <w:b/>
          <w:bCs/>
          <w:spacing w:val="4"/>
          <w:sz w:val="43"/>
          <w:szCs w:val="43"/>
          <w:highlight w:val="none"/>
        </w:rPr>
        <w:t>第三部分</w:t>
      </w:r>
      <w:r>
        <w:rPr>
          <w:rFonts w:ascii="宋体" w:hAnsi="宋体" w:eastAsia="宋体" w:cs="宋体"/>
          <w:spacing w:val="4"/>
          <w:sz w:val="43"/>
          <w:szCs w:val="43"/>
          <w:highlight w:val="none"/>
        </w:rPr>
        <w:t xml:space="preserve"> </w:t>
      </w:r>
      <w:r>
        <w:rPr>
          <w:rFonts w:ascii="宋体" w:hAnsi="宋体" w:eastAsia="宋体" w:cs="宋体"/>
          <w:b/>
          <w:bCs/>
          <w:spacing w:val="4"/>
          <w:sz w:val="43"/>
          <w:szCs w:val="43"/>
          <w:highlight w:val="none"/>
        </w:rPr>
        <w:t>评选</w:t>
      </w:r>
      <w:bookmarkEnd w:id="51"/>
    </w:p>
    <w:p w14:paraId="76ABB332">
      <w:pPr>
        <w:keepNext w:val="0"/>
        <w:keepLines w:val="0"/>
        <w:pageBreakBefore w:val="0"/>
        <w:kinsoku/>
        <w:wordWrap/>
        <w:overflowPunct w:val="0"/>
        <w:topLinePunct/>
        <w:bidi w:val="0"/>
        <w:spacing w:line="360" w:lineRule="auto"/>
        <w:rPr>
          <w:rFonts w:ascii="Arial"/>
          <w:sz w:val="21"/>
          <w:highlight w:val="none"/>
        </w:rPr>
      </w:pPr>
    </w:p>
    <w:p w14:paraId="05849451">
      <w:pPr>
        <w:keepNext w:val="0"/>
        <w:keepLines w:val="0"/>
        <w:pageBreakBefore w:val="0"/>
        <w:kinsoku/>
        <w:wordWrap/>
        <w:overflowPunct w:val="0"/>
        <w:topLinePunct/>
        <w:bidi w:val="0"/>
        <w:spacing w:before="297" w:line="360" w:lineRule="auto"/>
        <w:ind w:left="287"/>
        <w:outlineLvl w:val="1"/>
        <w:rPr>
          <w:rFonts w:hint="eastAsia" w:ascii="宋体" w:hAnsi="宋体" w:eastAsia="宋体" w:cs="宋体"/>
          <w:b/>
          <w:bCs/>
          <w:spacing w:val="-6"/>
          <w:sz w:val="28"/>
          <w:szCs w:val="28"/>
          <w:highlight w:val="none"/>
          <w:lang w:eastAsia="zh-CN"/>
        </w:rPr>
      </w:pPr>
      <w:bookmarkStart w:id="52" w:name="bookmark29"/>
      <w:bookmarkEnd w:id="52"/>
      <w:bookmarkStart w:id="53" w:name="_Toc31227"/>
      <w:r>
        <w:rPr>
          <w:rFonts w:ascii="宋体" w:hAnsi="宋体" w:eastAsia="宋体" w:cs="宋体"/>
          <w:b/>
          <w:bCs/>
          <w:spacing w:val="-6"/>
          <w:sz w:val="28"/>
          <w:szCs w:val="28"/>
          <w:highlight w:val="none"/>
        </w:rPr>
        <w:t>一、递交</w:t>
      </w:r>
      <w:bookmarkEnd w:id="53"/>
      <w:r>
        <w:rPr>
          <w:rFonts w:hint="eastAsia" w:ascii="宋体" w:hAnsi="宋体" w:eastAsia="宋体" w:cs="宋体"/>
          <w:b/>
          <w:bCs/>
          <w:spacing w:val="-6"/>
          <w:sz w:val="28"/>
          <w:szCs w:val="28"/>
          <w:highlight w:val="none"/>
          <w:lang w:eastAsia="zh-CN"/>
        </w:rPr>
        <w:t>响应文件</w:t>
      </w:r>
    </w:p>
    <w:p w14:paraId="2A96B81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eastAsia="zh-CN"/>
        </w:rPr>
        <w:t>（</w:t>
      </w:r>
      <w:r>
        <w:rPr>
          <w:rFonts w:ascii="宋体" w:hAnsi="宋体" w:eastAsia="宋体" w:cs="宋体"/>
          <w:sz w:val="24"/>
          <w:szCs w:val="24"/>
          <w:highlight w:val="none"/>
        </w:rPr>
        <w:t>一</w:t>
      </w:r>
      <w:r>
        <w:rPr>
          <w:rFonts w:hint="eastAsia" w:eastAsia="宋体" w:cs="宋体"/>
          <w:sz w:val="24"/>
          <w:szCs w:val="24"/>
          <w:highlight w:val="none"/>
          <w:lang w:eastAsia="zh-CN"/>
        </w:rPr>
        <w:t>）</w:t>
      </w:r>
      <w:r>
        <w:rPr>
          <w:rFonts w:ascii="宋体" w:hAnsi="宋体" w:eastAsia="宋体" w:cs="宋体"/>
          <w:sz w:val="24"/>
          <w:szCs w:val="24"/>
          <w:highlight w:val="none"/>
        </w:rPr>
        <w:t>遴选人将按</w:t>
      </w:r>
      <w:r>
        <w:rPr>
          <w:rFonts w:hint="eastAsia" w:eastAsia="宋体" w:cs="宋体"/>
          <w:sz w:val="24"/>
          <w:szCs w:val="24"/>
          <w:highlight w:val="none"/>
          <w:lang w:eastAsia="zh-CN"/>
        </w:rPr>
        <w:t>响应人</w:t>
      </w:r>
      <w:r>
        <w:rPr>
          <w:rFonts w:ascii="宋体" w:hAnsi="宋体" w:eastAsia="宋体" w:cs="宋体"/>
          <w:sz w:val="24"/>
          <w:szCs w:val="24"/>
          <w:highlight w:val="none"/>
        </w:rPr>
        <w:t>须知中规定的时间和地点，对所有按时递交并已签收的</w:t>
      </w:r>
      <w:r>
        <w:rPr>
          <w:rFonts w:hint="eastAsia" w:eastAsia="宋体" w:cs="宋体"/>
          <w:sz w:val="24"/>
          <w:szCs w:val="24"/>
          <w:highlight w:val="none"/>
          <w:lang w:val="en-US" w:eastAsia="zh-CN"/>
        </w:rPr>
        <w:t>响应文件</w:t>
      </w:r>
      <w:r>
        <w:rPr>
          <w:rFonts w:ascii="宋体" w:hAnsi="宋体" w:eastAsia="宋体" w:cs="宋体"/>
          <w:sz w:val="24"/>
          <w:szCs w:val="24"/>
          <w:highlight w:val="none"/>
        </w:rPr>
        <w:t>进行评选。</w:t>
      </w:r>
    </w:p>
    <w:p w14:paraId="03CABB9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（二）</w:t>
      </w:r>
      <w:r>
        <w:rPr>
          <w:rFonts w:hint="eastAsia" w:eastAsia="宋体" w:cs="宋体"/>
          <w:sz w:val="24"/>
          <w:szCs w:val="24"/>
          <w:highlight w:val="none"/>
          <w:lang w:eastAsia="zh-CN"/>
        </w:rPr>
        <w:t>响应人</w:t>
      </w:r>
      <w:r>
        <w:rPr>
          <w:rFonts w:ascii="宋体" w:hAnsi="宋体" w:eastAsia="宋体" w:cs="宋体"/>
          <w:sz w:val="24"/>
          <w:szCs w:val="24"/>
          <w:highlight w:val="none"/>
        </w:rPr>
        <w:t>的法定代表人或授权代表按时到场签到，递交</w:t>
      </w:r>
      <w:r>
        <w:rPr>
          <w:rFonts w:hint="eastAsia" w:eastAsia="宋体" w:cs="宋体"/>
          <w:sz w:val="24"/>
          <w:szCs w:val="24"/>
          <w:highlight w:val="none"/>
          <w:lang w:eastAsia="zh-CN"/>
        </w:rPr>
        <w:t>响应文件</w:t>
      </w:r>
      <w:r>
        <w:rPr>
          <w:rFonts w:ascii="宋体" w:hAnsi="宋体" w:eastAsia="宋体" w:cs="宋体"/>
          <w:sz w:val="24"/>
          <w:szCs w:val="24"/>
          <w:highlight w:val="none"/>
        </w:rPr>
        <w:t>，参加评选会议。</w:t>
      </w:r>
    </w:p>
    <w:p w14:paraId="52D7F4A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outlineLvl w:val="2"/>
        <w:rPr>
          <w:rFonts w:ascii="宋体" w:hAnsi="宋体" w:eastAsia="宋体" w:cs="宋体"/>
          <w:sz w:val="24"/>
          <w:szCs w:val="24"/>
          <w:highlight w:val="none"/>
        </w:rPr>
      </w:pPr>
      <w:bookmarkStart w:id="54" w:name="_Toc20837"/>
      <w:r>
        <w:rPr>
          <w:rFonts w:ascii="宋体" w:hAnsi="宋体" w:eastAsia="宋体" w:cs="宋体"/>
          <w:sz w:val="24"/>
          <w:szCs w:val="24"/>
          <w:highlight w:val="none"/>
        </w:rPr>
        <w:t>（三）有下述情况之一者，不予评审：</w:t>
      </w:r>
      <w:bookmarkEnd w:id="54"/>
    </w:p>
    <w:p w14:paraId="5F09805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1</w:t>
      </w:r>
      <w:r>
        <w:rPr>
          <w:rFonts w:hint="eastAsia" w:eastAsia="宋体" w:cs="宋体"/>
          <w:sz w:val="24"/>
          <w:szCs w:val="24"/>
          <w:highlight w:val="none"/>
          <w:lang w:eastAsia="zh-CN"/>
        </w:rPr>
        <w:t>.响应文件</w:t>
      </w:r>
      <w:r>
        <w:rPr>
          <w:rFonts w:ascii="宋体" w:hAnsi="宋体" w:eastAsia="宋体" w:cs="宋体"/>
          <w:sz w:val="24"/>
          <w:szCs w:val="24"/>
          <w:highlight w:val="none"/>
        </w:rPr>
        <w:t>逾期送达的；</w:t>
      </w:r>
    </w:p>
    <w:p w14:paraId="3F1861C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2</w:t>
      </w:r>
      <w:r>
        <w:rPr>
          <w:rFonts w:hint="eastAsia" w:eastAsia="宋体" w:cs="宋体"/>
          <w:sz w:val="24"/>
          <w:szCs w:val="24"/>
          <w:highlight w:val="none"/>
          <w:lang w:eastAsia="zh-CN"/>
        </w:rPr>
        <w:t>.</w:t>
      </w:r>
      <w:r>
        <w:rPr>
          <w:rFonts w:ascii="宋体" w:hAnsi="宋体" w:eastAsia="宋体" w:cs="宋体"/>
          <w:sz w:val="24"/>
          <w:szCs w:val="24"/>
          <w:highlight w:val="none"/>
        </w:rPr>
        <w:t>未按遴选文件要求提供有关人员有效社保证明的；</w:t>
      </w:r>
    </w:p>
    <w:p w14:paraId="3CD0854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3</w:t>
      </w:r>
      <w:r>
        <w:rPr>
          <w:rFonts w:hint="eastAsia" w:eastAsia="宋体" w:cs="宋体"/>
          <w:sz w:val="24"/>
          <w:szCs w:val="24"/>
          <w:highlight w:val="none"/>
          <w:lang w:eastAsia="zh-CN"/>
        </w:rPr>
        <w:t>.响应文件</w:t>
      </w:r>
      <w:r>
        <w:rPr>
          <w:rFonts w:ascii="宋体" w:hAnsi="宋体" w:eastAsia="宋体" w:cs="宋体"/>
          <w:sz w:val="24"/>
          <w:szCs w:val="24"/>
          <w:highlight w:val="none"/>
        </w:rPr>
        <w:t>未按要求进行盖章或</w:t>
      </w:r>
      <w:r>
        <w:rPr>
          <w:rFonts w:hint="eastAsia" w:eastAsia="宋体" w:cs="宋体"/>
          <w:sz w:val="24"/>
          <w:szCs w:val="24"/>
          <w:highlight w:val="none"/>
          <w:lang w:eastAsia="zh-CN"/>
        </w:rPr>
        <w:t>签字</w:t>
      </w:r>
      <w:r>
        <w:rPr>
          <w:rFonts w:ascii="宋体" w:hAnsi="宋体" w:eastAsia="宋体" w:cs="宋体"/>
          <w:sz w:val="24"/>
          <w:szCs w:val="24"/>
          <w:highlight w:val="none"/>
        </w:rPr>
        <w:t>的；</w:t>
      </w:r>
    </w:p>
    <w:p w14:paraId="05F5D1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仿宋"/>
          <w:b/>
          <w:bCs/>
          <w:sz w:val="24"/>
          <w:highlight w:val="none"/>
          <w:lang w:eastAsia="zh-CN"/>
        </w:rPr>
      </w:pPr>
      <w:r>
        <w:rPr>
          <w:rFonts w:hint="eastAsia" w:ascii="宋体" w:hAnsi="宋体" w:eastAsia="宋体" w:cs="仿宋"/>
          <w:sz w:val="24"/>
          <w:highlight w:val="none"/>
          <w:lang w:val="en-US" w:eastAsia="zh-CN"/>
        </w:rPr>
        <w:t>4.</w:t>
      </w:r>
      <w:r>
        <w:rPr>
          <w:rFonts w:hint="eastAsia" w:ascii="宋体" w:hAnsi="宋体" w:cs="仿宋"/>
          <w:sz w:val="24"/>
          <w:highlight w:val="none"/>
        </w:rPr>
        <w:t>招标代理服务费要根据《国家发展改革委办公厅关于招标代理服务收费有关问题的通知》</w:t>
      </w:r>
      <w:r>
        <w:rPr>
          <w:rFonts w:hint="eastAsia" w:ascii="宋体" w:hAnsi="宋体" w:eastAsia="宋体" w:cs="仿宋"/>
          <w:sz w:val="24"/>
          <w:highlight w:val="none"/>
          <w:lang w:eastAsia="zh-CN"/>
        </w:rPr>
        <w:t>（</w:t>
      </w:r>
      <w:r>
        <w:rPr>
          <w:rFonts w:hint="eastAsia" w:ascii="宋体" w:hAnsi="宋体" w:cs="仿宋"/>
          <w:sz w:val="24"/>
          <w:highlight w:val="none"/>
        </w:rPr>
        <w:t>发改办价格[2003]857号</w:t>
      </w:r>
      <w:r>
        <w:rPr>
          <w:rFonts w:hint="eastAsia" w:ascii="宋体" w:hAnsi="宋体" w:eastAsia="宋体" w:cs="仿宋"/>
          <w:sz w:val="24"/>
          <w:highlight w:val="none"/>
          <w:lang w:eastAsia="zh-CN"/>
        </w:rPr>
        <w:t>）</w:t>
      </w:r>
      <w:r>
        <w:rPr>
          <w:rFonts w:hint="eastAsia" w:ascii="宋体" w:hAnsi="宋体" w:cs="仿宋"/>
          <w:sz w:val="24"/>
          <w:highlight w:val="none"/>
        </w:rPr>
        <w:t>和国家计委关于《招标代理服务收费管理暂行办法》（计价格[2002]1980号）规定基础上，下浮报价，</w:t>
      </w:r>
      <w:r>
        <w:rPr>
          <w:rFonts w:hint="eastAsia" w:ascii="宋体" w:hAnsi="宋体" w:cs="仿宋"/>
          <w:b/>
          <w:bCs/>
          <w:sz w:val="24"/>
          <w:highlight w:val="none"/>
        </w:rPr>
        <w:t>下浮区间</w:t>
      </w:r>
      <w:r>
        <w:rPr>
          <w:rFonts w:hint="eastAsia" w:ascii="宋体" w:hAnsi="宋体" w:eastAsia="宋体" w:cs="仿宋"/>
          <w:b/>
          <w:bCs/>
          <w:sz w:val="24"/>
          <w:highlight w:val="none"/>
          <w:lang w:val="en-US" w:eastAsia="zh-CN"/>
        </w:rPr>
        <w:t>不在</w:t>
      </w:r>
      <w:r>
        <w:rPr>
          <w:rFonts w:hint="eastAsia" w:ascii="宋体" w:hAnsi="宋体" w:cs="仿宋"/>
          <w:b/>
          <w:bCs/>
          <w:sz w:val="24"/>
          <w:highlight w:val="none"/>
        </w:rPr>
        <w:t>0%-40%</w:t>
      </w:r>
      <w:r>
        <w:rPr>
          <w:rFonts w:hint="eastAsia" w:ascii="宋体" w:hAnsi="宋体" w:eastAsia="宋体" w:cs="仿宋"/>
          <w:b/>
          <w:bCs/>
          <w:sz w:val="24"/>
          <w:highlight w:val="none"/>
          <w:lang w:eastAsia="zh-CN"/>
        </w:rPr>
        <w:t>的；</w:t>
      </w:r>
    </w:p>
    <w:p w14:paraId="2121199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val="en-US" w:eastAsia="zh-CN"/>
        </w:rPr>
        <w:t>5</w:t>
      </w:r>
      <w:r>
        <w:rPr>
          <w:rFonts w:hint="eastAsia" w:eastAsia="宋体" w:cs="宋体"/>
          <w:sz w:val="24"/>
          <w:szCs w:val="24"/>
          <w:highlight w:val="none"/>
          <w:lang w:eastAsia="zh-CN"/>
        </w:rPr>
        <w:t>.响应文件</w:t>
      </w:r>
      <w:r>
        <w:rPr>
          <w:rFonts w:ascii="宋体" w:hAnsi="宋体" w:eastAsia="宋体" w:cs="宋体"/>
          <w:sz w:val="24"/>
          <w:szCs w:val="24"/>
          <w:highlight w:val="none"/>
        </w:rPr>
        <w:t>未按遴选文件要求和格式填写或填写内容不全的；</w:t>
      </w:r>
    </w:p>
    <w:p w14:paraId="6A0F47B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val="en-US" w:eastAsia="zh-CN"/>
        </w:rPr>
        <w:t>6</w:t>
      </w:r>
      <w:r>
        <w:rPr>
          <w:rFonts w:hint="eastAsia" w:eastAsia="宋体" w:cs="宋体"/>
          <w:sz w:val="24"/>
          <w:szCs w:val="24"/>
          <w:highlight w:val="none"/>
          <w:lang w:eastAsia="zh-CN"/>
        </w:rPr>
        <w:t>.响应文件</w:t>
      </w:r>
      <w:r>
        <w:rPr>
          <w:rFonts w:ascii="宋体" w:hAnsi="宋体" w:eastAsia="宋体" w:cs="宋体"/>
          <w:sz w:val="24"/>
          <w:szCs w:val="24"/>
          <w:highlight w:val="none"/>
        </w:rPr>
        <w:t>未对遴选文件做出实质性响应或与遴选文件有重大偏离的；</w:t>
      </w:r>
    </w:p>
    <w:p w14:paraId="3574723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eastAsia="宋体" w:cs="宋体"/>
          <w:sz w:val="24"/>
          <w:szCs w:val="24"/>
          <w:highlight w:val="none"/>
          <w:lang w:eastAsia="zh-CN"/>
        </w:rPr>
        <w:t>.响应文件</w:t>
      </w:r>
      <w:r>
        <w:rPr>
          <w:rFonts w:ascii="宋体" w:hAnsi="宋体" w:eastAsia="宋体" w:cs="宋体"/>
          <w:sz w:val="24"/>
          <w:szCs w:val="24"/>
          <w:highlight w:val="none"/>
        </w:rPr>
        <w:t>中载明的法定代表人或授权代表，与其他</w:t>
      </w:r>
      <w:r>
        <w:rPr>
          <w:rFonts w:hint="eastAsia" w:eastAsia="宋体" w:cs="宋体"/>
          <w:sz w:val="24"/>
          <w:szCs w:val="24"/>
          <w:highlight w:val="none"/>
          <w:lang w:eastAsia="zh-CN"/>
        </w:rPr>
        <w:t>响应人</w:t>
      </w:r>
      <w:r>
        <w:rPr>
          <w:rFonts w:ascii="宋体" w:hAnsi="宋体" w:eastAsia="宋体" w:cs="宋体"/>
          <w:sz w:val="24"/>
          <w:szCs w:val="24"/>
          <w:highlight w:val="none"/>
        </w:rPr>
        <w:t>的</w:t>
      </w:r>
      <w:r>
        <w:rPr>
          <w:rFonts w:hint="eastAsia" w:eastAsia="宋体" w:cs="宋体"/>
          <w:sz w:val="24"/>
          <w:szCs w:val="24"/>
          <w:highlight w:val="none"/>
          <w:lang w:eastAsia="zh-CN"/>
        </w:rPr>
        <w:t>响应文件</w:t>
      </w:r>
      <w:r>
        <w:rPr>
          <w:rFonts w:ascii="宋体" w:hAnsi="宋体" w:eastAsia="宋体" w:cs="宋体"/>
          <w:sz w:val="24"/>
          <w:szCs w:val="24"/>
          <w:highlight w:val="none"/>
        </w:rPr>
        <w:t>中 载明的法定代表人或授权代表为同一人的，经核实为虚假的；</w:t>
      </w:r>
    </w:p>
    <w:p w14:paraId="4CF714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val="en-US" w:eastAsia="zh-CN"/>
        </w:rPr>
        <w:t>8</w:t>
      </w:r>
      <w:r>
        <w:rPr>
          <w:rFonts w:hint="eastAsia" w:eastAsia="宋体" w:cs="宋体"/>
          <w:sz w:val="24"/>
          <w:szCs w:val="24"/>
          <w:highlight w:val="none"/>
          <w:lang w:eastAsia="zh-CN"/>
        </w:rPr>
        <w:t>.</w:t>
      </w:r>
      <w:r>
        <w:rPr>
          <w:rFonts w:ascii="宋体" w:hAnsi="宋体" w:eastAsia="宋体" w:cs="宋体"/>
          <w:sz w:val="24"/>
          <w:szCs w:val="24"/>
          <w:highlight w:val="none"/>
        </w:rPr>
        <w:t>与本遴选项目其他</w:t>
      </w:r>
      <w:r>
        <w:rPr>
          <w:rFonts w:hint="eastAsia" w:eastAsia="宋体" w:cs="宋体"/>
          <w:sz w:val="24"/>
          <w:szCs w:val="24"/>
          <w:highlight w:val="none"/>
          <w:lang w:eastAsia="zh-CN"/>
        </w:rPr>
        <w:t>响应人</w:t>
      </w:r>
      <w:r>
        <w:rPr>
          <w:rFonts w:ascii="宋体" w:hAnsi="宋体" w:eastAsia="宋体" w:cs="宋体"/>
          <w:sz w:val="24"/>
          <w:szCs w:val="24"/>
          <w:highlight w:val="none"/>
        </w:rPr>
        <w:t>提供的联系人或电话、传真、电子邮箱等方式 出现相同的，经核实为虚假的；</w:t>
      </w:r>
    </w:p>
    <w:p w14:paraId="50014DC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val="en-US" w:eastAsia="zh-CN"/>
        </w:rPr>
        <w:t>9</w:t>
      </w:r>
      <w:r>
        <w:rPr>
          <w:rFonts w:hint="eastAsia" w:eastAsia="宋体" w:cs="宋体"/>
          <w:sz w:val="24"/>
          <w:szCs w:val="24"/>
          <w:highlight w:val="none"/>
          <w:lang w:eastAsia="zh-CN"/>
        </w:rPr>
        <w:t>.</w:t>
      </w:r>
      <w:r>
        <w:rPr>
          <w:rFonts w:ascii="宋体" w:hAnsi="宋体" w:eastAsia="宋体" w:cs="宋体"/>
          <w:sz w:val="24"/>
          <w:szCs w:val="24"/>
          <w:highlight w:val="none"/>
        </w:rPr>
        <w:t>应提供而未提供有关证书原件的或提交的证明文件和其他材料虚假的；</w:t>
      </w:r>
    </w:p>
    <w:p w14:paraId="787B5E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val="en-US" w:eastAsia="zh-CN"/>
        </w:rPr>
        <w:t>10</w:t>
      </w:r>
      <w:r>
        <w:rPr>
          <w:rFonts w:hint="eastAsia" w:eastAsia="宋体" w:cs="宋体"/>
          <w:sz w:val="24"/>
          <w:szCs w:val="24"/>
          <w:highlight w:val="none"/>
          <w:lang w:eastAsia="zh-CN"/>
        </w:rPr>
        <w:t>.</w:t>
      </w:r>
      <w:r>
        <w:rPr>
          <w:rFonts w:ascii="宋体" w:hAnsi="宋体" w:eastAsia="宋体" w:cs="宋体"/>
          <w:sz w:val="24"/>
          <w:szCs w:val="24"/>
          <w:highlight w:val="none"/>
        </w:rPr>
        <w:t>不同</w:t>
      </w:r>
      <w:r>
        <w:rPr>
          <w:rFonts w:hint="eastAsia" w:eastAsia="宋体" w:cs="宋体"/>
          <w:sz w:val="24"/>
          <w:szCs w:val="24"/>
          <w:highlight w:val="none"/>
          <w:lang w:eastAsia="zh-CN"/>
        </w:rPr>
        <w:t>响应人</w:t>
      </w:r>
      <w:r>
        <w:rPr>
          <w:rFonts w:ascii="宋体" w:hAnsi="宋体" w:eastAsia="宋体" w:cs="宋体"/>
          <w:sz w:val="24"/>
          <w:szCs w:val="24"/>
          <w:highlight w:val="none"/>
        </w:rPr>
        <w:t>的</w:t>
      </w:r>
      <w:r>
        <w:rPr>
          <w:rFonts w:hint="eastAsia" w:eastAsia="宋体" w:cs="宋体"/>
          <w:sz w:val="24"/>
          <w:szCs w:val="24"/>
          <w:highlight w:val="none"/>
          <w:lang w:eastAsia="zh-CN"/>
        </w:rPr>
        <w:t>响应文件</w:t>
      </w:r>
      <w:r>
        <w:rPr>
          <w:rFonts w:ascii="宋体" w:hAnsi="宋体" w:eastAsia="宋体" w:cs="宋体"/>
          <w:sz w:val="24"/>
          <w:szCs w:val="24"/>
          <w:highlight w:val="none"/>
        </w:rPr>
        <w:t>内容、数据非正常雷同，或有其它明显串通参选行为的；</w:t>
      </w:r>
    </w:p>
    <w:p w14:paraId="31D68C3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1</w:t>
      </w:r>
      <w:r>
        <w:rPr>
          <w:rFonts w:hint="eastAsia" w:eastAsia="宋体" w:cs="宋体"/>
          <w:sz w:val="24"/>
          <w:szCs w:val="24"/>
          <w:highlight w:val="none"/>
          <w:lang w:val="en-US" w:eastAsia="zh-CN"/>
        </w:rPr>
        <w:t>1</w:t>
      </w:r>
      <w:r>
        <w:rPr>
          <w:rFonts w:hint="eastAsia" w:eastAsia="宋体" w:cs="宋体"/>
          <w:sz w:val="24"/>
          <w:szCs w:val="24"/>
          <w:highlight w:val="none"/>
          <w:lang w:eastAsia="zh-CN"/>
        </w:rPr>
        <w:t>.响应人</w:t>
      </w:r>
      <w:r>
        <w:rPr>
          <w:rFonts w:ascii="宋体" w:hAnsi="宋体" w:eastAsia="宋体" w:cs="宋体"/>
          <w:sz w:val="24"/>
          <w:szCs w:val="24"/>
          <w:highlight w:val="none"/>
        </w:rPr>
        <w:t>提供的业绩及其他证明材料虚假的；</w:t>
      </w:r>
    </w:p>
    <w:p w14:paraId="5BF27C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1</w:t>
      </w:r>
      <w:r>
        <w:rPr>
          <w:rFonts w:hint="eastAsia" w:eastAsia="宋体" w:cs="宋体"/>
          <w:sz w:val="24"/>
          <w:szCs w:val="24"/>
          <w:highlight w:val="none"/>
          <w:lang w:val="en-US" w:eastAsia="zh-CN"/>
        </w:rPr>
        <w:t>2</w:t>
      </w:r>
      <w:r>
        <w:rPr>
          <w:rFonts w:hint="eastAsia" w:eastAsia="宋体" w:cs="宋体"/>
          <w:sz w:val="24"/>
          <w:szCs w:val="24"/>
          <w:highlight w:val="none"/>
          <w:lang w:eastAsia="zh-CN"/>
        </w:rPr>
        <w:t>.响应人</w:t>
      </w:r>
      <w:r>
        <w:rPr>
          <w:rFonts w:ascii="宋体" w:hAnsi="宋体" w:eastAsia="宋体" w:cs="宋体"/>
          <w:sz w:val="24"/>
          <w:szCs w:val="24"/>
          <w:highlight w:val="none"/>
        </w:rPr>
        <w:t>有《中华人民共和国违反不正当竞争法》所列的不正当竞争行为 的；</w:t>
      </w:r>
    </w:p>
    <w:p w14:paraId="38EF4EF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1</w:t>
      </w:r>
      <w:r>
        <w:rPr>
          <w:rFonts w:hint="eastAsia" w:eastAsia="宋体" w:cs="宋体"/>
          <w:sz w:val="24"/>
          <w:szCs w:val="24"/>
          <w:highlight w:val="none"/>
          <w:lang w:val="en-US" w:eastAsia="zh-CN"/>
        </w:rPr>
        <w:t>3</w:t>
      </w:r>
      <w:r>
        <w:rPr>
          <w:rFonts w:hint="eastAsia" w:eastAsia="宋体" w:cs="宋体"/>
          <w:sz w:val="24"/>
          <w:szCs w:val="24"/>
          <w:highlight w:val="none"/>
          <w:lang w:eastAsia="zh-CN"/>
        </w:rPr>
        <w:t>.响应文件</w:t>
      </w:r>
      <w:r>
        <w:rPr>
          <w:rFonts w:ascii="宋体" w:hAnsi="宋体" w:eastAsia="宋体" w:cs="宋体"/>
          <w:sz w:val="24"/>
          <w:szCs w:val="24"/>
          <w:highlight w:val="none"/>
        </w:rPr>
        <w:t>附有遴选人不能接受的条件的；</w:t>
      </w:r>
    </w:p>
    <w:p w14:paraId="15650FA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1</w:t>
      </w:r>
      <w:r>
        <w:rPr>
          <w:rFonts w:hint="eastAsia" w:eastAsia="宋体" w:cs="宋体"/>
          <w:sz w:val="24"/>
          <w:szCs w:val="24"/>
          <w:highlight w:val="none"/>
          <w:lang w:val="en-US" w:eastAsia="zh-CN"/>
        </w:rPr>
        <w:t>4</w:t>
      </w:r>
      <w:r>
        <w:rPr>
          <w:rFonts w:hint="eastAsia" w:eastAsia="宋体" w:cs="宋体"/>
          <w:sz w:val="24"/>
          <w:szCs w:val="24"/>
          <w:highlight w:val="none"/>
          <w:lang w:eastAsia="zh-CN"/>
        </w:rPr>
        <w:t>.</w:t>
      </w:r>
      <w:r>
        <w:rPr>
          <w:rFonts w:ascii="宋体" w:hAnsi="宋体" w:eastAsia="宋体" w:cs="宋体"/>
          <w:sz w:val="24"/>
          <w:szCs w:val="24"/>
          <w:highlight w:val="none"/>
        </w:rPr>
        <w:t>在全部参选过程中，</w:t>
      </w:r>
      <w:r>
        <w:rPr>
          <w:rFonts w:hint="eastAsia" w:eastAsia="宋体" w:cs="宋体"/>
          <w:sz w:val="24"/>
          <w:szCs w:val="24"/>
          <w:highlight w:val="none"/>
          <w:lang w:eastAsia="zh-CN"/>
        </w:rPr>
        <w:t>响应人</w:t>
      </w:r>
      <w:r>
        <w:rPr>
          <w:rFonts w:ascii="宋体" w:hAnsi="宋体" w:eastAsia="宋体" w:cs="宋体"/>
          <w:sz w:val="24"/>
          <w:szCs w:val="24"/>
          <w:highlight w:val="none"/>
        </w:rPr>
        <w:t>以不正当行为影响遴选结果的；</w:t>
      </w:r>
    </w:p>
    <w:p w14:paraId="3FDEF7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1</w:t>
      </w:r>
      <w:r>
        <w:rPr>
          <w:rFonts w:hint="eastAsia" w:eastAsia="宋体" w:cs="宋体"/>
          <w:sz w:val="24"/>
          <w:szCs w:val="24"/>
          <w:highlight w:val="none"/>
          <w:lang w:val="en-US" w:eastAsia="zh-CN"/>
        </w:rPr>
        <w:t>5</w:t>
      </w:r>
      <w:r>
        <w:rPr>
          <w:rFonts w:hint="eastAsia" w:eastAsia="宋体" w:cs="宋体"/>
          <w:sz w:val="24"/>
          <w:szCs w:val="24"/>
          <w:highlight w:val="none"/>
          <w:lang w:eastAsia="zh-CN"/>
        </w:rPr>
        <w:t>.</w:t>
      </w:r>
      <w:r>
        <w:rPr>
          <w:rFonts w:ascii="宋体" w:hAnsi="宋体" w:eastAsia="宋体" w:cs="宋体"/>
          <w:sz w:val="24"/>
          <w:szCs w:val="24"/>
          <w:highlight w:val="none"/>
        </w:rPr>
        <w:t>法律、法规规定的其他情况。</w:t>
      </w:r>
    </w:p>
    <w:p w14:paraId="6C19DA3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b/>
          <w:bCs/>
          <w:sz w:val="24"/>
          <w:szCs w:val="24"/>
          <w:highlight w:val="none"/>
        </w:rPr>
      </w:pPr>
      <w:r>
        <w:rPr>
          <w:rFonts w:ascii="宋体" w:hAnsi="宋体" w:eastAsia="宋体" w:cs="宋体"/>
          <w:sz w:val="24"/>
          <w:szCs w:val="24"/>
          <w:highlight w:val="none"/>
        </w:rPr>
        <w:t>（四）</w:t>
      </w:r>
      <w:r>
        <w:rPr>
          <w:rFonts w:ascii="宋体" w:hAnsi="宋体" w:eastAsia="宋体" w:cs="宋体"/>
          <w:b/>
          <w:bCs/>
          <w:sz w:val="24"/>
          <w:szCs w:val="24"/>
          <w:highlight w:val="none"/>
        </w:rPr>
        <w:t>实质响应遴选文件的</w:t>
      </w:r>
      <w:r>
        <w:rPr>
          <w:rFonts w:hint="eastAsia" w:eastAsia="宋体" w:cs="宋体"/>
          <w:b/>
          <w:bCs/>
          <w:sz w:val="24"/>
          <w:szCs w:val="24"/>
          <w:highlight w:val="none"/>
          <w:lang w:eastAsia="zh-CN"/>
        </w:rPr>
        <w:t>响应人</w:t>
      </w:r>
      <w:r>
        <w:rPr>
          <w:rFonts w:ascii="宋体" w:hAnsi="宋体" w:eastAsia="宋体" w:cs="宋体"/>
          <w:b/>
          <w:bCs/>
          <w:sz w:val="24"/>
          <w:szCs w:val="24"/>
          <w:highlight w:val="none"/>
        </w:rPr>
        <w:t>数量少于3家（不含），遴选人将重新组织遴选。</w:t>
      </w:r>
    </w:p>
    <w:p w14:paraId="74C8C28B">
      <w:pPr>
        <w:keepNext w:val="0"/>
        <w:keepLines w:val="0"/>
        <w:pageBreakBefore w:val="0"/>
        <w:kinsoku/>
        <w:wordWrap/>
        <w:overflowPunct w:val="0"/>
        <w:topLinePunct/>
        <w:bidi w:val="0"/>
        <w:spacing w:before="297" w:line="360" w:lineRule="auto"/>
        <w:ind w:left="287"/>
        <w:outlineLvl w:val="1"/>
        <w:rPr>
          <w:rFonts w:ascii="宋体" w:hAnsi="宋体" w:eastAsia="宋体" w:cs="宋体"/>
          <w:b/>
          <w:bCs/>
          <w:spacing w:val="-6"/>
          <w:sz w:val="28"/>
          <w:szCs w:val="28"/>
          <w:highlight w:val="none"/>
        </w:rPr>
      </w:pPr>
      <w:bookmarkStart w:id="55" w:name="bookmark31"/>
      <w:bookmarkEnd w:id="55"/>
      <w:bookmarkStart w:id="56" w:name="_Toc805"/>
      <w:r>
        <w:rPr>
          <w:rFonts w:ascii="宋体" w:hAnsi="宋体" w:eastAsia="宋体" w:cs="宋体"/>
          <w:b/>
          <w:bCs/>
          <w:spacing w:val="-5"/>
          <w:sz w:val="28"/>
          <w:szCs w:val="28"/>
          <w:highlight w:val="none"/>
        </w:rPr>
        <w:t>二、遴选会议</w:t>
      </w:r>
      <w:bookmarkEnd w:id="56"/>
    </w:p>
    <w:p w14:paraId="18AD9F7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本项目遴选会议的时间和地点见</w:t>
      </w:r>
      <w:r>
        <w:rPr>
          <w:rFonts w:hint="eastAsia" w:eastAsia="宋体" w:cs="宋体"/>
          <w:sz w:val="24"/>
          <w:szCs w:val="24"/>
          <w:highlight w:val="none"/>
          <w:lang w:eastAsia="zh-CN"/>
        </w:rPr>
        <w:t>响应人</w:t>
      </w:r>
      <w:r>
        <w:rPr>
          <w:rFonts w:ascii="宋体" w:hAnsi="宋体" w:eastAsia="宋体" w:cs="宋体"/>
          <w:sz w:val="24"/>
          <w:szCs w:val="24"/>
          <w:highlight w:val="none"/>
        </w:rPr>
        <w:t>须知前附表。</w:t>
      </w:r>
    </w:p>
    <w:p w14:paraId="11ADCC9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1.遴选会议由</w:t>
      </w:r>
      <w:r>
        <w:rPr>
          <w:rFonts w:hint="eastAsia" w:eastAsia="宋体" w:cs="宋体"/>
          <w:sz w:val="24"/>
          <w:szCs w:val="24"/>
          <w:highlight w:val="none"/>
          <w:lang w:val="en-US" w:eastAsia="zh-CN"/>
        </w:rPr>
        <w:t>采购代理机构</w:t>
      </w:r>
      <w:r>
        <w:rPr>
          <w:rFonts w:ascii="宋体" w:hAnsi="宋体" w:eastAsia="宋体" w:cs="宋体"/>
          <w:sz w:val="24"/>
          <w:szCs w:val="24"/>
          <w:highlight w:val="none"/>
        </w:rPr>
        <w:t>组织并主持，邀请所有递交</w:t>
      </w:r>
      <w:r>
        <w:rPr>
          <w:rFonts w:hint="eastAsia" w:eastAsia="宋体" w:cs="宋体"/>
          <w:sz w:val="24"/>
          <w:szCs w:val="24"/>
          <w:highlight w:val="none"/>
          <w:lang w:eastAsia="zh-CN"/>
        </w:rPr>
        <w:t>响应文件</w:t>
      </w:r>
      <w:r>
        <w:rPr>
          <w:rFonts w:ascii="宋体" w:hAnsi="宋体" w:eastAsia="宋体" w:cs="宋体"/>
          <w:sz w:val="24"/>
          <w:szCs w:val="24"/>
          <w:highlight w:val="none"/>
        </w:rPr>
        <w:t>的</w:t>
      </w:r>
      <w:r>
        <w:rPr>
          <w:rFonts w:hint="eastAsia" w:eastAsia="宋体" w:cs="宋体"/>
          <w:sz w:val="24"/>
          <w:szCs w:val="24"/>
          <w:highlight w:val="none"/>
          <w:lang w:eastAsia="zh-CN"/>
        </w:rPr>
        <w:t>响应人</w:t>
      </w:r>
      <w:r>
        <w:rPr>
          <w:rFonts w:ascii="宋体" w:hAnsi="宋体" w:eastAsia="宋体" w:cs="宋体"/>
          <w:sz w:val="24"/>
          <w:szCs w:val="24"/>
          <w:highlight w:val="none"/>
        </w:rPr>
        <w:t>参加。未参加遴选会议的，视同为默认遴选会议结果。</w:t>
      </w:r>
    </w:p>
    <w:p w14:paraId="0B637DB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2.遴选会议过程中，</w:t>
      </w:r>
      <w:r>
        <w:rPr>
          <w:rFonts w:hint="eastAsia" w:eastAsia="宋体" w:cs="宋体"/>
          <w:sz w:val="24"/>
          <w:szCs w:val="24"/>
          <w:highlight w:val="none"/>
          <w:lang w:eastAsia="zh-CN"/>
        </w:rPr>
        <w:t>响应人</w:t>
      </w:r>
      <w:r>
        <w:rPr>
          <w:rFonts w:hint="eastAsia" w:eastAsia="宋体" w:cs="宋体"/>
          <w:sz w:val="24"/>
          <w:szCs w:val="24"/>
          <w:highlight w:val="none"/>
          <w:lang w:val="en-US" w:eastAsia="zh-CN"/>
        </w:rPr>
        <w:t>授权</w:t>
      </w:r>
      <w:r>
        <w:rPr>
          <w:rFonts w:ascii="宋体" w:hAnsi="宋体" w:eastAsia="宋体" w:cs="宋体"/>
          <w:sz w:val="24"/>
          <w:szCs w:val="24"/>
          <w:highlight w:val="none"/>
        </w:rPr>
        <w:t>代表、共同对</w:t>
      </w:r>
      <w:r>
        <w:rPr>
          <w:rFonts w:hint="eastAsia" w:eastAsia="宋体" w:cs="宋体"/>
          <w:sz w:val="24"/>
          <w:szCs w:val="24"/>
          <w:highlight w:val="none"/>
          <w:lang w:eastAsia="zh-CN"/>
        </w:rPr>
        <w:t>响应文件</w:t>
      </w:r>
      <w:r>
        <w:rPr>
          <w:rFonts w:ascii="宋体" w:hAnsi="宋体" w:eastAsia="宋体" w:cs="宋体"/>
          <w:sz w:val="24"/>
          <w:szCs w:val="24"/>
          <w:highlight w:val="none"/>
        </w:rPr>
        <w:t>的密封情况进行检查并签字确认，现场宣布检查结果。</w:t>
      </w:r>
    </w:p>
    <w:p w14:paraId="1C056A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3.</w:t>
      </w:r>
      <w:r>
        <w:rPr>
          <w:rFonts w:hint="eastAsia" w:eastAsia="宋体" w:cs="宋体"/>
          <w:sz w:val="24"/>
          <w:szCs w:val="24"/>
          <w:highlight w:val="none"/>
          <w:lang w:eastAsia="zh-CN"/>
        </w:rPr>
        <w:t>响应文件</w:t>
      </w:r>
      <w:r>
        <w:rPr>
          <w:rFonts w:ascii="宋体" w:hAnsi="宋体" w:eastAsia="宋体" w:cs="宋体"/>
          <w:sz w:val="24"/>
          <w:szCs w:val="24"/>
          <w:highlight w:val="none"/>
        </w:rPr>
        <w:t>的密封情况经检查确认无误后，工作人员将拆封</w:t>
      </w:r>
      <w:r>
        <w:rPr>
          <w:rFonts w:hint="eastAsia" w:eastAsia="宋体" w:cs="宋体"/>
          <w:sz w:val="24"/>
          <w:szCs w:val="24"/>
          <w:highlight w:val="none"/>
          <w:lang w:eastAsia="zh-CN"/>
        </w:rPr>
        <w:t>响应文件</w:t>
      </w:r>
      <w:r>
        <w:rPr>
          <w:rFonts w:ascii="宋体" w:hAnsi="宋体" w:eastAsia="宋体" w:cs="宋体"/>
          <w:sz w:val="24"/>
          <w:szCs w:val="24"/>
          <w:highlight w:val="none"/>
        </w:rPr>
        <w:t>。</w:t>
      </w:r>
    </w:p>
    <w:p w14:paraId="0F73C5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4.</w:t>
      </w:r>
      <w:r>
        <w:rPr>
          <w:rFonts w:hint="eastAsia" w:eastAsia="宋体" w:cs="宋体"/>
          <w:sz w:val="24"/>
          <w:szCs w:val="24"/>
          <w:highlight w:val="none"/>
          <w:lang w:val="en-US" w:eastAsia="zh-CN"/>
        </w:rPr>
        <w:t>本项目不公开</w:t>
      </w:r>
      <w:r>
        <w:rPr>
          <w:rFonts w:hint="eastAsia" w:ascii="宋体" w:hAnsi="宋体" w:cs="宋体"/>
          <w:sz w:val="24"/>
          <w:highlight w:val="none"/>
        </w:rPr>
        <w:t>首次</w:t>
      </w:r>
      <w:r>
        <w:rPr>
          <w:rFonts w:hint="eastAsia" w:eastAsia="宋体" w:cs="宋体"/>
          <w:sz w:val="24"/>
          <w:highlight w:val="none"/>
          <w:lang w:eastAsia="zh-CN"/>
        </w:rPr>
        <w:t>响应文件</w:t>
      </w:r>
      <w:r>
        <w:rPr>
          <w:rFonts w:hint="eastAsia" w:ascii="宋体" w:hAnsi="宋体" w:cs="宋体"/>
          <w:sz w:val="24"/>
          <w:highlight w:val="none"/>
        </w:rPr>
        <w:t>报价（首轮报价）等主要内容</w:t>
      </w:r>
      <w:r>
        <w:rPr>
          <w:rFonts w:hint="eastAsia" w:ascii="宋体" w:hAnsi="宋体" w:eastAsia="宋体" w:cs="宋体"/>
          <w:sz w:val="24"/>
          <w:highlight w:val="none"/>
          <w:lang w:eastAsia="zh-CN"/>
        </w:rPr>
        <w:t>，</w:t>
      </w:r>
      <w:r>
        <w:rPr>
          <w:rFonts w:ascii="宋体" w:hAnsi="宋体" w:eastAsia="宋体" w:cs="宋体"/>
          <w:sz w:val="24"/>
          <w:szCs w:val="24"/>
          <w:highlight w:val="none"/>
        </w:rPr>
        <w:t>遴选人宣布递交</w:t>
      </w:r>
      <w:r>
        <w:rPr>
          <w:rFonts w:hint="eastAsia" w:eastAsia="宋体" w:cs="宋体"/>
          <w:sz w:val="24"/>
          <w:szCs w:val="24"/>
          <w:highlight w:val="none"/>
          <w:lang w:eastAsia="zh-CN"/>
        </w:rPr>
        <w:t>响应文件</w:t>
      </w:r>
      <w:r>
        <w:rPr>
          <w:rFonts w:ascii="宋体" w:hAnsi="宋体" w:eastAsia="宋体" w:cs="宋体"/>
          <w:sz w:val="24"/>
          <w:szCs w:val="24"/>
          <w:highlight w:val="none"/>
        </w:rPr>
        <w:t>的</w:t>
      </w:r>
      <w:r>
        <w:rPr>
          <w:rFonts w:hint="eastAsia" w:eastAsia="宋体" w:cs="宋体"/>
          <w:sz w:val="24"/>
          <w:szCs w:val="24"/>
          <w:highlight w:val="none"/>
          <w:lang w:eastAsia="zh-CN"/>
        </w:rPr>
        <w:t>响应人</w:t>
      </w:r>
      <w:r>
        <w:rPr>
          <w:rFonts w:ascii="宋体" w:hAnsi="宋体" w:eastAsia="宋体" w:cs="宋体"/>
          <w:sz w:val="24"/>
          <w:szCs w:val="24"/>
          <w:highlight w:val="none"/>
        </w:rPr>
        <w:t>后，</w:t>
      </w:r>
      <w:r>
        <w:rPr>
          <w:rFonts w:hint="eastAsia" w:eastAsia="宋体" w:cs="宋体"/>
          <w:sz w:val="24"/>
          <w:szCs w:val="24"/>
          <w:highlight w:val="none"/>
          <w:lang w:eastAsia="zh-CN"/>
        </w:rPr>
        <w:t>响应文件</w:t>
      </w:r>
      <w:r>
        <w:rPr>
          <w:rFonts w:ascii="宋体" w:hAnsi="宋体" w:eastAsia="宋体" w:cs="宋体"/>
          <w:sz w:val="24"/>
          <w:szCs w:val="24"/>
          <w:highlight w:val="none"/>
        </w:rPr>
        <w:t>将直接送至</w:t>
      </w:r>
      <w:r>
        <w:rPr>
          <w:rFonts w:hint="eastAsia" w:eastAsia="宋体" w:cs="宋体"/>
          <w:sz w:val="24"/>
          <w:szCs w:val="24"/>
          <w:highlight w:val="none"/>
          <w:lang w:eastAsia="zh-CN"/>
        </w:rPr>
        <w:t>评选小组</w:t>
      </w:r>
      <w:r>
        <w:rPr>
          <w:rFonts w:ascii="宋体" w:hAnsi="宋体" w:eastAsia="宋体" w:cs="宋体"/>
          <w:sz w:val="24"/>
          <w:szCs w:val="24"/>
          <w:highlight w:val="none"/>
        </w:rPr>
        <w:t>审阅。</w:t>
      </w:r>
    </w:p>
    <w:p w14:paraId="3D303C3D">
      <w:pPr>
        <w:keepNext w:val="0"/>
        <w:keepLines w:val="0"/>
        <w:pageBreakBefore w:val="0"/>
        <w:kinsoku/>
        <w:wordWrap/>
        <w:overflowPunct w:val="0"/>
        <w:topLinePunct/>
        <w:bidi w:val="0"/>
        <w:spacing w:before="297" w:line="360" w:lineRule="auto"/>
        <w:ind w:left="287"/>
        <w:outlineLvl w:val="1"/>
        <w:rPr>
          <w:rFonts w:ascii="宋体" w:hAnsi="宋体" w:eastAsia="宋体" w:cs="宋体"/>
          <w:b/>
          <w:bCs/>
          <w:spacing w:val="-5"/>
          <w:sz w:val="28"/>
          <w:szCs w:val="28"/>
          <w:highlight w:val="none"/>
        </w:rPr>
      </w:pPr>
      <w:bookmarkStart w:id="57" w:name="bookmark33"/>
      <w:bookmarkEnd w:id="57"/>
      <w:bookmarkStart w:id="58" w:name="_Toc5848"/>
      <w:r>
        <w:rPr>
          <w:rFonts w:ascii="宋体" w:hAnsi="宋体" w:eastAsia="宋体" w:cs="宋体"/>
          <w:b/>
          <w:bCs/>
          <w:spacing w:val="-5"/>
          <w:sz w:val="28"/>
          <w:szCs w:val="28"/>
          <w:highlight w:val="none"/>
        </w:rPr>
        <w:t>三、评选</w:t>
      </w:r>
      <w:bookmarkEnd w:id="58"/>
    </w:p>
    <w:p w14:paraId="144C152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（一）遴选人将按有关规定组建</w:t>
      </w:r>
      <w:r>
        <w:rPr>
          <w:rFonts w:hint="eastAsia" w:eastAsia="宋体" w:cs="宋体"/>
          <w:sz w:val="24"/>
          <w:szCs w:val="24"/>
          <w:highlight w:val="none"/>
          <w:lang w:eastAsia="zh-CN"/>
        </w:rPr>
        <w:t>评选小组</w:t>
      </w:r>
      <w:r>
        <w:rPr>
          <w:rFonts w:ascii="宋体" w:hAnsi="宋体" w:eastAsia="宋体" w:cs="宋体"/>
          <w:sz w:val="24"/>
          <w:szCs w:val="24"/>
          <w:highlight w:val="none"/>
        </w:rPr>
        <w:t>进行评选，</w:t>
      </w:r>
      <w:r>
        <w:rPr>
          <w:rFonts w:hint="eastAsia" w:eastAsia="宋体" w:cs="宋体"/>
          <w:sz w:val="24"/>
          <w:szCs w:val="24"/>
          <w:highlight w:val="none"/>
          <w:lang w:eastAsia="zh-CN"/>
        </w:rPr>
        <w:t>评选小组</w:t>
      </w:r>
      <w:r>
        <w:rPr>
          <w:rFonts w:ascii="宋体" w:hAnsi="宋体" w:eastAsia="宋体" w:cs="宋体"/>
          <w:sz w:val="24"/>
          <w:szCs w:val="24"/>
          <w:highlight w:val="none"/>
        </w:rPr>
        <w:t>由</w:t>
      </w:r>
      <w:r>
        <w:rPr>
          <w:rFonts w:hint="eastAsia" w:eastAsia="宋体" w:cs="宋体"/>
          <w:sz w:val="24"/>
          <w:szCs w:val="24"/>
          <w:highlight w:val="none"/>
          <w:lang w:val="en-US" w:eastAsia="zh-CN"/>
        </w:rPr>
        <w:t>3</w:t>
      </w:r>
      <w:r>
        <w:rPr>
          <w:rFonts w:ascii="宋体" w:hAnsi="宋体" w:eastAsia="宋体" w:cs="宋体"/>
          <w:sz w:val="24"/>
          <w:szCs w:val="24"/>
          <w:highlight w:val="none"/>
        </w:rPr>
        <w:t>人及以上单数组成。</w:t>
      </w:r>
    </w:p>
    <w:p w14:paraId="2623E6B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eastAsia="zh-CN"/>
        </w:rPr>
        <w:t>评选小组</w:t>
      </w:r>
      <w:r>
        <w:rPr>
          <w:rFonts w:ascii="宋体" w:hAnsi="宋体" w:eastAsia="宋体" w:cs="宋体"/>
          <w:sz w:val="24"/>
          <w:szCs w:val="24"/>
          <w:highlight w:val="none"/>
        </w:rPr>
        <w:t>成员有下列情形之一的，应当回避：</w:t>
      </w:r>
    </w:p>
    <w:p w14:paraId="23A7ECD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（1）</w:t>
      </w:r>
      <w:r>
        <w:rPr>
          <w:rFonts w:hint="eastAsia" w:eastAsia="宋体" w:cs="宋体"/>
          <w:sz w:val="24"/>
          <w:szCs w:val="24"/>
          <w:highlight w:val="none"/>
          <w:lang w:eastAsia="zh-CN"/>
        </w:rPr>
        <w:t>响应人</w:t>
      </w:r>
      <w:r>
        <w:rPr>
          <w:rFonts w:ascii="宋体" w:hAnsi="宋体" w:eastAsia="宋体" w:cs="宋体"/>
          <w:sz w:val="24"/>
          <w:szCs w:val="24"/>
          <w:highlight w:val="none"/>
        </w:rPr>
        <w:t>法定代表人或者</w:t>
      </w:r>
      <w:r>
        <w:rPr>
          <w:rFonts w:hint="eastAsia" w:eastAsia="宋体" w:cs="宋体"/>
          <w:sz w:val="24"/>
          <w:szCs w:val="24"/>
          <w:highlight w:val="none"/>
          <w:lang w:eastAsia="zh-CN"/>
        </w:rPr>
        <w:t>响应人</w:t>
      </w:r>
      <w:r>
        <w:rPr>
          <w:rFonts w:ascii="宋体" w:hAnsi="宋体" w:eastAsia="宋体" w:cs="宋体"/>
          <w:sz w:val="24"/>
          <w:szCs w:val="24"/>
          <w:highlight w:val="none"/>
        </w:rPr>
        <w:t>主要负责人的近亲属；</w:t>
      </w:r>
    </w:p>
    <w:p w14:paraId="35D8FE2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（2）与</w:t>
      </w:r>
      <w:r>
        <w:rPr>
          <w:rFonts w:hint="eastAsia" w:eastAsia="宋体" w:cs="宋体"/>
          <w:sz w:val="24"/>
          <w:szCs w:val="24"/>
          <w:highlight w:val="none"/>
          <w:lang w:eastAsia="zh-CN"/>
        </w:rPr>
        <w:t>响应人</w:t>
      </w:r>
      <w:r>
        <w:rPr>
          <w:rFonts w:ascii="宋体" w:hAnsi="宋体" w:eastAsia="宋体" w:cs="宋体"/>
          <w:sz w:val="24"/>
          <w:szCs w:val="24"/>
          <w:highlight w:val="none"/>
        </w:rPr>
        <w:t>有经济利益关系；</w:t>
      </w:r>
    </w:p>
    <w:p w14:paraId="3EF1818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（3）曾因在招标、评标以及其他与招投标及政府采购有关活动中从事违法行 为而受到行政处罚或者刑事处罚；</w:t>
      </w:r>
    </w:p>
    <w:p w14:paraId="0535CA4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outlineLvl w:val="2"/>
        <w:rPr>
          <w:rFonts w:ascii="宋体" w:hAnsi="宋体" w:eastAsia="宋体" w:cs="宋体"/>
          <w:sz w:val="24"/>
          <w:szCs w:val="24"/>
          <w:highlight w:val="none"/>
        </w:rPr>
      </w:pPr>
      <w:bookmarkStart w:id="59" w:name="_Toc11803"/>
      <w:r>
        <w:rPr>
          <w:rFonts w:ascii="宋体" w:hAnsi="宋体" w:eastAsia="宋体" w:cs="宋体"/>
          <w:sz w:val="24"/>
          <w:szCs w:val="24"/>
          <w:highlight w:val="none"/>
        </w:rPr>
        <w:t>（4）与</w:t>
      </w:r>
      <w:r>
        <w:rPr>
          <w:rFonts w:hint="eastAsia" w:eastAsia="宋体" w:cs="宋体"/>
          <w:sz w:val="24"/>
          <w:szCs w:val="24"/>
          <w:highlight w:val="none"/>
          <w:lang w:eastAsia="zh-CN"/>
        </w:rPr>
        <w:t>响应人</w:t>
      </w:r>
      <w:r>
        <w:rPr>
          <w:rFonts w:ascii="宋体" w:hAnsi="宋体" w:eastAsia="宋体" w:cs="宋体"/>
          <w:sz w:val="24"/>
          <w:szCs w:val="24"/>
          <w:highlight w:val="none"/>
        </w:rPr>
        <w:t>有其他利害关系。</w:t>
      </w:r>
      <w:bookmarkEnd w:id="59"/>
    </w:p>
    <w:p w14:paraId="3DB0ECE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（二）</w:t>
      </w:r>
      <w:r>
        <w:rPr>
          <w:rFonts w:hint="eastAsia" w:eastAsia="宋体" w:cs="宋体"/>
          <w:sz w:val="24"/>
          <w:szCs w:val="24"/>
          <w:highlight w:val="none"/>
          <w:lang w:eastAsia="zh-CN"/>
        </w:rPr>
        <w:t>评选小组</w:t>
      </w:r>
      <w:r>
        <w:rPr>
          <w:rFonts w:ascii="宋体" w:hAnsi="宋体" w:eastAsia="宋体" w:cs="宋体"/>
          <w:sz w:val="24"/>
          <w:szCs w:val="24"/>
          <w:highlight w:val="none"/>
        </w:rPr>
        <w:t xml:space="preserve">将按如下程序进行评审： </w:t>
      </w:r>
    </w:p>
    <w:p w14:paraId="5AAE50C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2" w:firstLineChars="200"/>
        <w:textAlignment w:val="baseline"/>
        <w:rPr>
          <w:rFonts w:ascii="宋体" w:hAnsi="宋体" w:eastAsia="宋体" w:cs="宋体"/>
          <w:sz w:val="24"/>
          <w:szCs w:val="24"/>
          <w:highlight w:val="none"/>
        </w:rPr>
      </w:pPr>
      <w:r>
        <w:rPr>
          <w:rFonts w:ascii="宋体" w:hAnsi="宋体" w:eastAsia="宋体" w:cs="宋体"/>
          <w:b/>
          <w:bCs/>
          <w:sz w:val="24"/>
          <w:szCs w:val="24"/>
          <w:highlight w:val="none"/>
        </w:rPr>
        <w:t>1.资格性审查</w:t>
      </w:r>
    </w:p>
    <w:p w14:paraId="49047A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eastAsia="zh-CN"/>
        </w:rPr>
        <w:t>评选小组</w:t>
      </w:r>
      <w:r>
        <w:rPr>
          <w:rFonts w:ascii="宋体" w:hAnsi="宋体" w:eastAsia="宋体" w:cs="宋体"/>
          <w:sz w:val="24"/>
          <w:szCs w:val="24"/>
          <w:highlight w:val="none"/>
        </w:rPr>
        <w:t>依据法律法规和遴选文件的规定，对所有</w:t>
      </w:r>
      <w:r>
        <w:rPr>
          <w:rFonts w:hint="eastAsia" w:eastAsia="宋体" w:cs="宋体"/>
          <w:sz w:val="24"/>
          <w:szCs w:val="24"/>
          <w:highlight w:val="none"/>
          <w:lang w:eastAsia="zh-CN"/>
        </w:rPr>
        <w:t>响应文件</w:t>
      </w:r>
      <w:r>
        <w:rPr>
          <w:rFonts w:ascii="宋体" w:hAnsi="宋体" w:eastAsia="宋体" w:cs="宋体"/>
          <w:sz w:val="24"/>
          <w:szCs w:val="24"/>
          <w:highlight w:val="none"/>
        </w:rPr>
        <w:t>中的资格证明（包括信用情况）等材料进行审查，并确定</w:t>
      </w:r>
      <w:r>
        <w:rPr>
          <w:rFonts w:hint="eastAsia" w:eastAsia="宋体" w:cs="宋体"/>
          <w:sz w:val="24"/>
          <w:szCs w:val="24"/>
          <w:highlight w:val="none"/>
          <w:lang w:eastAsia="zh-CN"/>
        </w:rPr>
        <w:t>响应人</w:t>
      </w:r>
      <w:r>
        <w:rPr>
          <w:rFonts w:ascii="宋体" w:hAnsi="宋体" w:eastAsia="宋体" w:cs="宋体"/>
          <w:sz w:val="24"/>
          <w:szCs w:val="24"/>
          <w:highlight w:val="none"/>
        </w:rPr>
        <w:t>是否具备参选资格，填写资格审查表并签字确认。</w:t>
      </w:r>
    </w:p>
    <w:p w14:paraId="5E49E2D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2" w:firstLineChars="200"/>
        <w:textAlignment w:val="baseline"/>
        <w:rPr>
          <w:rFonts w:ascii="宋体" w:hAnsi="宋体" w:eastAsia="宋体" w:cs="宋体"/>
          <w:b/>
          <w:bCs/>
          <w:sz w:val="24"/>
          <w:szCs w:val="24"/>
          <w:highlight w:val="none"/>
        </w:rPr>
      </w:pPr>
      <w:r>
        <w:rPr>
          <w:rFonts w:ascii="宋体" w:hAnsi="宋体" w:eastAsia="宋体" w:cs="宋体"/>
          <w:b/>
          <w:bCs/>
          <w:sz w:val="24"/>
          <w:szCs w:val="24"/>
          <w:highlight w:val="none"/>
        </w:rPr>
        <w:t>2.符合性审查</w:t>
      </w:r>
    </w:p>
    <w:p w14:paraId="77CFAE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eastAsia="zh-CN"/>
        </w:rPr>
        <w:t>评选小组</w:t>
      </w:r>
      <w:r>
        <w:rPr>
          <w:rFonts w:ascii="宋体" w:hAnsi="宋体" w:eastAsia="宋体" w:cs="宋体"/>
          <w:sz w:val="24"/>
          <w:szCs w:val="24"/>
          <w:highlight w:val="none"/>
        </w:rPr>
        <w:t>依据</w:t>
      </w:r>
      <w:r>
        <w:rPr>
          <w:rFonts w:hint="eastAsia" w:eastAsia="宋体" w:cs="宋体"/>
          <w:sz w:val="24"/>
          <w:szCs w:val="24"/>
          <w:highlight w:val="none"/>
          <w:lang w:eastAsia="zh-CN"/>
        </w:rPr>
        <w:t>响应文件</w:t>
      </w:r>
      <w:r>
        <w:rPr>
          <w:rFonts w:ascii="宋体" w:hAnsi="宋体" w:eastAsia="宋体" w:cs="宋体"/>
          <w:sz w:val="24"/>
          <w:szCs w:val="24"/>
          <w:highlight w:val="none"/>
        </w:rPr>
        <w:t>的规定，对</w:t>
      </w:r>
      <w:r>
        <w:rPr>
          <w:rFonts w:hint="eastAsia" w:eastAsia="宋体" w:cs="宋体"/>
          <w:sz w:val="24"/>
          <w:szCs w:val="24"/>
          <w:highlight w:val="none"/>
          <w:lang w:eastAsia="zh-CN"/>
        </w:rPr>
        <w:t>响应人</w:t>
      </w:r>
      <w:r>
        <w:rPr>
          <w:rFonts w:ascii="宋体" w:hAnsi="宋体" w:eastAsia="宋体" w:cs="宋体"/>
          <w:sz w:val="24"/>
          <w:szCs w:val="24"/>
          <w:highlight w:val="none"/>
        </w:rPr>
        <w:t>的</w:t>
      </w:r>
      <w:r>
        <w:rPr>
          <w:rFonts w:hint="eastAsia" w:eastAsia="宋体" w:cs="宋体"/>
          <w:sz w:val="24"/>
          <w:szCs w:val="24"/>
          <w:highlight w:val="none"/>
          <w:lang w:eastAsia="zh-CN"/>
        </w:rPr>
        <w:t>响应文件</w:t>
      </w:r>
      <w:r>
        <w:rPr>
          <w:rFonts w:ascii="宋体" w:hAnsi="宋体" w:eastAsia="宋体" w:cs="宋体"/>
          <w:sz w:val="24"/>
          <w:szCs w:val="24"/>
          <w:highlight w:val="none"/>
        </w:rPr>
        <w:t>的有效性、完整性以及对</w:t>
      </w:r>
      <w:r>
        <w:rPr>
          <w:rFonts w:hint="eastAsia" w:eastAsia="宋体" w:cs="宋体"/>
          <w:sz w:val="24"/>
          <w:szCs w:val="24"/>
          <w:highlight w:val="none"/>
          <w:lang w:eastAsia="zh-CN"/>
        </w:rPr>
        <w:t>响应文件</w:t>
      </w:r>
      <w:r>
        <w:rPr>
          <w:rFonts w:ascii="宋体" w:hAnsi="宋体" w:eastAsia="宋体" w:cs="宋体"/>
          <w:sz w:val="24"/>
          <w:szCs w:val="24"/>
          <w:highlight w:val="none"/>
        </w:rPr>
        <w:t>的响应程度进行审查，以确定是否对遴选文件的实质性要求作出响应。</w:t>
      </w:r>
    </w:p>
    <w:p w14:paraId="1BE7337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在资格性和符合性审查同时，对属于不合格或者参选无效的</w:t>
      </w:r>
      <w:r>
        <w:rPr>
          <w:rFonts w:hint="eastAsia" w:eastAsia="宋体" w:cs="宋体"/>
          <w:sz w:val="24"/>
          <w:szCs w:val="24"/>
          <w:highlight w:val="none"/>
          <w:lang w:eastAsia="zh-CN"/>
        </w:rPr>
        <w:t>响应人</w:t>
      </w:r>
      <w:r>
        <w:rPr>
          <w:rFonts w:ascii="宋体" w:hAnsi="宋体" w:eastAsia="宋体" w:cs="宋体"/>
          <w:sz w:val="24"/>
          <w:szCs w:val="24"/>
          <w:highlight w:val="none"/>
        </w:rPr>
        <w:t>，</w:t>
      </w:r>
      <w:r>
        <w:rPr>
          <w:rFonts w:hint="eastAsia" w:eastAsia="宋体" w:cs="宋体"/>
          <w:sz w:val="24"/>
          <w:szCs w:val="24"/>
          <w:highlight w:val="none"/>
          <w:lang w:eastAsia="zh-CN"/>
        </w:rPr>
        <w:t>评选小组</w:t>
      </w:r>
      <w:r>
        <w:rPr>
          <w:rFonts w:ascii="宋体" w:hAnsi="宋体" w:eastAsia="宋体" w:cs="宋体"/>
          <w:sz w:val="24"/>
          <w:szCs w:val="24"/>
          <w:highlight w:val="none"/>
        </w:rPr>
        <w:t>必须提出不合格或者参选无效的事实依据，并出具不合格或者参选无效说明，</w:t>
      </w:r>
      <w:r>
        <w:rPr>
          <w:rFonts w:hint="eastAsia" w:eastAsia="宋体" w:cs="宋体"/>
          <w:sz w:val="24"/>
          <w:szCs w:val="24"/>
          <w:highlight w:val="none"/>
          <w:lang w:eastAsia="zh-CN"/>
        </w:rPr>
        <w:t>响应人</w:t>
      </w:r>
      <w:r>
        <w:rPr>
          <w:rFonts w:ascii="宋体" w:hAnsi="宋体" w:eastAsia="宋体" w:cs="宋体"/>
          <w:sz w:val="24"/>
          <w:szCs w:val="24"/>
          <w:highlight w:val="none"/>
        </w:rPr>
        <w:t>签字确认。</w:t>
      </w:r>
    </w:p>
    <w:p w14:paraId="6385C6B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2" w:firstLineChars="200"/>
        <w:textAlignment w:val="baseline"/>
        <w:rPr>
          <w:rFonts w:ascii="宋体" w:hAnsi="宋体" w:eastAsia="宋体" w:cs="宋体"/>
          <w:b/>
          <w:bCs/>
          <w:sz w:val="24"/>
          <w:szCs w:val="24"/>
          <w:highlight w:val="none"/>
        </w:rPr>
      </w:pPr>
      <w:r>
        <w:rPr>
          <w:rFonts w:ascii="宋体" w:hAnsi="宋体" w:eastAsia="宋体" w:cs="宋体"/>
          <w:b/>
          <w:bCs/>
          <w:sz w:val="24"/>
          <w:szCs w:val="24"/>
          <w:highlight w:val="none"/>
        </w:rPr>
        <w:t>3.技术和商务评审</w:t>
      </w:r>
    </w:p>
    <w:p w14:paraId="09623AC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（1）技术部分：由</w:t>
      </w:r>
      <w:r>
        <w:rPr>
          <w:rFonts w:hint="eastAsia" w:eastAsia="宋体" w:cs="宋体"/>
          <w:sz w:val="24"/>
          <w:szCs w:val="24"/>
          <w:highlight w:val="none"/>
          <w:lang w:eastAsia="zh-CN"/>
        </w:rPr>
        <w:t>评选小组</w:t>
      </w:r>
      <w:r>
        <w:rPr>
          <w:rFonts w:ascii="宋体" w:hAnsi="宋体" w:eastAsia="宋体" w:cs="宋体"/>
          <w:sz w:val="24"/>
          <w:szCs w:val="24"/>
          <w:highlight w:val="none"/>
        </w:rPr>
        <w:t>按照遴选文件要求，对</w:t>
      </w:r>
      <w:r>
        <w:rPr>
          <w:rFonts w:hint="eastAsia" w:eastAsia="宋体" w:cs="宋体"/>
          <w:sz w:val="24"/>
          <w:szCs w:val="24"/>
          <w:highlight w:val="none"/>
          <w:lang w:eastAsia="zh-CN"/>
        </w:rPr>
        <w:t>响应人</w:t>
      </w:r>
      <w:r>
        <w:rPr>
          <w:rFonts w:hint="eastAsia" w:eastAsia="宋体" w:cs="宋体"/>
          <w:sz w:val="24"/>
          <w:szCs w:val="24"/>
          <w:highlight w:val="none"/>
          <w:lang w:val="en-US" w:eastAsia="zh-CN"/>
        </w:rPr>
        <w:t>技术部分进行</w:t>
      </w:r>
      <w:r>
        <w:rPr>
          <w:rFonts w:ascii="宋体" w:hAnsi="宋体" w:eastAsia="宋体" w:cs="宋体"/>
          <w:sz w:val="24"/>
          <w:szCs w:val="24"/>
          <w:highlight w:val="none"/>
        </w:rPr>
        <w:t>打分；</w:t>
      </w:r>
    </w:p>
    <w:p w14:paraId="744D3A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（2）商务部分：按照遴选文件要求，进行逐项打分。</w:t>
      </w:r>
      <w:r>
        <w:rPr>
          <w:rFonts w:hint="eastAsia" w:eastAsia="宋体" w:cs="宋体"/>
          <w:sz w:val="24"/>
          <w:szCs w:val="24"/>
          <w:highlight w:val="none"/>
          <w:lang w:eastAsia="zh-CN"/>
        </w:rPr>
        <w:t>评选小组</w:t>
      </w:r>
      <w:r>
        <w:rPr>
          <w:rFonts w:ascii="宋体" w:hAnsi="宋体" w:eastAsia="宋体" w:cs="宋体"/>
          <w:sz w:val="24"/>
          <w:szCs w:val="24"/>
          <w:highlight w:val="none"/>
        </w:rPr>
        <w:t>在技术评审结束后，对商务部分打分审核认定，交各</w:t>
      </w:r>
      <w:r>
        <w:rPr>
          <w:rFonts w:hint="eastAsia" w:eastAsia="宋体" w:cs="宋体"/>
          <w:sz w:val="24"/>
          <w:szCs w:val="24"/>
          <w:highlight w:val="none"/>
          <w:lang w:eastAsia="zh-CN"/>
        </w:rPr>
        <w:t>响应人</w:t>
      </w:r>
      <w:r>
        <w:rPr>
          <w:rFonts w:ascii="宋体" w:hAnsi="宋体" w:eastAsia="宋体" w:cs="宋体"/>
          <w:sz w:val="24"/>
          <w:szCs w:val="24"/>
          <w:highlight w:val="none"/>
        </w:rPr>
        <w:t>签字确认。对客观评分项的评分应当一致。</w:t>
      </w:r>
    </w:p>
    <w:p w14:paraId="59FA20D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2" w:firstLineChars="200"/>
        <w:textAlignment w:val="baseline"/>
        <w:rPr>
          <w:rFonts w:ascii="宋体" w:hAnsi="宋体" w:eastAsia="宋体" w:cs="宋体"/>
          <w:b/>
          <w:bCs/>
          <w:sz w:val="24"/>
          <w:szCs w:val="24"/>
          <w:highlight w:val="none"/>
        </w:rPr>
      </w:pPr>
      <w:r>
        <w:rPr>
          <w:rFonts w:ascii="宋体" w:hAnsi="宋体" w:eastAsia="宋体" w:cs="宋体"/>
          <w:b/>
          <w:bCs/>
          <w:sz w:val="24"/>
          <w:szCs w:val="24"/>
          <w:highlight w:val="none"/>
        </w:rPr>
        <w:t>4.综合得分汇总排序</w:t>
      </w:r>
    </w:p>
    <w:p w14:paraId="64922B0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评分结束后，遴选人汇总、统计，打印出结果，由</w:t>
      </w:r>
      <w:r>
        <w:rPr>
          <w:rFonts w:hint="eastAsia" w:eastAsia="宋体" w:cs="宋体"/>
          <w:sz w:val="24"/>
          <w:szCs w:val="24"/>
          <w:highlight w:val="none"/>
          <w:lang w:eastAsia="zh-CN"/>
        </w:rPr>
        <w:t>评选小组</w:t>
      </w:r>
      <w:r>
        <w:rPr>
          <w:rFonts w:ascii="宋体" w:hAnsi="宋体" w:eastAsia="宋体" w:cs="宋体"/>
          <w:sz w:val="24"/>
          <w:szCs w:val="24"/>
          <w:highlight w:val="none"/>
        </w:rPr>
        <w:t>对</w:t>
      </w:r>
      <w:r>
        <w:rPr>
          <w:rFonts w:hint="eastAsia" w:eastAsia="宋体" w:cs="宋体"/>
          <w:sz w:val="24"/>
          <w:szCs w:val="24"/>
          <w:highlight w:val="none"/>
          <w:lang w:eastAsia="zh-CN"/>
        </w:rPr>
        <w:t>响应人</w:t>
      </w:r>
      <w:r>
        <w:rPr>
          <w:rFonts w:ascii="宋体" w:hAnsi="宋体" w:eastAsia="宋体" w:cs="宋体"/>
          <w:sz w:val="24"/>
          <w:szCs w:val="24"/>
          <w:highlight w:val="none"/>
        </w:rPr>
        <w:t>的技术和商务得分进行最后的复核，并签字确认。</w:t>
      </w:r>
    </w:p>
    <w:p w14:paraId="72E20B6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技术部分、商务部分得分为所有评委打分的算术平均值（保留两位小数）。参选单位的综合得分=价格得分+技术部分得分+商务部分得分。</w:t>
      </w:r>
    </w:p>
    <w:p w14:paraId="7A2E3E5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2" w:firstLineChars="200"/>
        <w:textAlignment w:val="baseline"/>
        <w:rPr>
          <w:rFonts w:ascii="宋体" w:hAnsi="宋体" w:eastAsia="宋体" w:cs="宋体"/>
          <w:b/>
          <w:bCs/>
          <w:sz w:val="24"/>
          <w:szCs w:val="24"/>
          <w:highlight w:val="none"/>
        </w:rPr>
      </w:pPr>
      <w:r>
        <w:rPr>
          <w:rFonts w:ascii="宋体" w:hAnsi="宋体" w:eastAsia="宋体" w:cs="宋体"/>
          <w:b/>
          <w:bCs/>
          <w:sz w:val="24"/>
          <w:szCs w:val="24"/>
          <w:highlight w:val="none"/>
        </w:rPr>
        <w:t>5.评选报告</w:t>
      </w:r>
    </w:p>
    <w:p w14:paraId="37469C7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评选完成后，</w:t>
      </w:r>
      <w:r>
        <w:rPr>
          <w:rFonts w:hint="eastAsia" w:eastAsia="宋体" w:cs="宋体"/>
          <w:sz w:val="24"/>
          <w:szCs w:val="24"/>
          <w:highlight w:val="none"/>
          <w:lang w:eastAsia="zh-CN"/>
        </w:rPr>
        <w:t>评选小组</w:t>
      </w:r>
      <w:r>
        <w:rPr>
          <w:rFonts w:ascii="宋体" w:hAnsi="宋体" w:eastAsia="宋体" w:cs="宋体"/>
          <w:sz w:val="24"/>
          <w:szCs w:val="24"/>
          <w:highlight w:val="none"/>
        </w:rPr>
        <w:t>向遴选人提出评选报告，评选报告由</w:t>
      </w:r>
      <w:r>
        <w:rPr>
          <w:rFonts w:hint="eastAsia" w:eastAsia="宋体" w:cs="宋体"/>
          <w:sz w:val="24"/>
          <w:szCs w:val="24"/>
          <w:highlight w:val="none"/>
          <w:lang w:eastAsia="zh-CN"/>
        </w:rPr>
        <w:t>评选小组</w:t>
      </w:r>
      <w:r>
        <w:rPr>
          <w:rFonts w:ascii="宋体" w:hAnsi="宋体" w:eastAsia="宋体" w:cs="宋体"/>
          <w:sz w:val="24"/>
          <w:szCs w:val="24"/>
          <w:highlight w:val="none"/>
        </w:rPr>
        <w:t>全体成员签字确认。</w:t>
      </w:r>
    </w:p>
    <w:p w14:paraId="693085C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（三）本项目采用综合评分法进行评选。</w:t>
      </w:r>
      <w:r>
        <w:rPr>
          <w:rFonts w:hint="eastAsia" w:eastAsia="宋体" w:cs="宋体"/>
          <w:sz w:val="24"/>
          <w:szCs w:val="24"/>
          <w:highlight w:val="none"/>
          <w:lang w:eastAsia="zh-CN"/>
        </w:rPr>
        <w:t>评选小组</w:t>
      </w:r>
      <w:r>
        <w:rPr>
          <w:rFonts w:ascii="宋体" w:hAnsi="宋体" w:eastAsia="宋体" w:cs="宋体"/>
          <w:sz w:val="24"/>
          <w:szCs w:val="24"/>
          <w:highlight w:val="none"/>
        </w:rPr>
        <w:t>依据评分办法进行评分。按照综合得分由高到低进行排序，选取排名前</w:t>
      </w:r>
      <w:r>
        <w:rPr>
          <w:rFonts w:hint="eastAsia" w:eastAsia="宋体" w:cs="宋体"/>
          <w:sz w:val="24"/>
          <w:szCs w:val="24"/>
          <w:highlight w:val="none"/>
          <w:lang w:val="en-US" w:eastAsia="zh-CN"/>
        </w:rPr>
        <w:t>4</w:t>
      </w:r>
      <w:r>
        <w:rPr>
          <w:rFonts w:ascii="宋体" w:hAnsi="宋体" w:eastAsia="宋体" w:cs="宋体"/>
          <w:sz w:val="24"/>
          <w:szCs w:val="24"/>
          <w:highlight w:val="none"/>
        </w:rPr>
        <w:t>的</w:t>
      </w:r>
      <w:r>
        <w:rPr>
          <w:rFonts w:hint="eastAsia" w:eastAsia="宋体" w:cs="宋体"/>
          <w:sz w:val="24"/>
          <w:szCs w:val="24"/>
          <w:highlight w:val="none"/>
          <w:lang w:eastAsia="zh-CN"/>
        </w:rPr>
        <w:t>响应人</w:t>
      </w:r>
      <w:r>
        <w:rPr>
          <w:rFonts w:ascii="宋体" w:hAnsi="宋体" w:eastAsia="宋体" w:cs="宋体"/>
          <w:sz w:val="24"/>
          <w:szCs w:val="24"/>
          <w:highlight w:val="none"/>
        </w:rPr>
        <w:t>确定为</w:t>
      </w:r>
      <w:r>
        <w:rPr>
          <w:rFonts w:hint="eastAsia" w:eastAsia="宋体" w:cs="宋体"/>
          <w:sz w:val="24"/>
          <w:szCs w:val="24"/>
          <w:highlight w:val="none"/>
          <w:lang w:eastAsia="zh-CN"/>
        </w:rPr>
        <w:t>入选人</w:t>
      </w:r>
      <w:r>
        <w:rPr>
          <w:rFonts w:ascii="宋体" w:hAnsi="宋体" w:eastAsia="宋体" w:cs="宋体"/>
          <w:sz w:val="24"/>
          <w:szCs w:val="24"/>
          <w:highlight w:val="none"/>
        </w:rPr>
        <w:t>。</w:t>
      </w:r>
      <w:r>
        <w:rPr>
          <w:rFonts w:hint="eastAsia" w:eastAsia="宋体" w:cs="宋体"/>
          <w:sz w:val="24"/>
          <w:szCs w:val="24"/>
          <w:highlight w:val="none"/>
          <w:lang w:eastAsia="zh-CN"/>
        </w:rPr>
        <w:t>响应人</w:t>
      </w:r>
      <w:r>
        <w:rPr>
          <w:rFonts w:ascii="宋体" w:hAnsi="宋体" w:eastAsia="宋体" w:cs="宋体"/>
          <w:sz w:val="24"/>
          <w:szCs w:val="24"/>
          <w:highlight w:val="none"/>
        </w:rPr>
        <w:t>综合得分相同的（如有），由</w:t>
      </w:r>
      <w:r>
        <w:rPr>
          <w:rFonts w:hint="eastAsia" w:eastAsia="宋体" w:cs="宋体"/>
          <w:sz w:val="24"/>
          <w:szCs w:val="24"/>
          <w:highlight w:val="none"/>
          <w:lang w:eastAsia="zh-CN"/>
        </w:rPr>
        <w:t>评选小组</w:t>
      </w:r>
      <w:r>
        <w:rPr>
          <w:rFonts w:ascii="宋体" w:hAnsi="宋体" w:eastAsia="宋体" w:cs="宋体"/>
          <w:sz w:val="24"/>
          <w:szCs w:val="24"/>
          <w:highlight w:val="none"/>
        </w:rPr>
        <w:t>根据技术部分得分排名。</w:t>
      </w:r>
    </w:p>
    <w:p w14:paraId="407E95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（四）成交价格按</w:t>
      </w:r>
      <w:r>
        <w:rPr>
          <w:rFonts w:hint="eastAsia" w:eastAsia="宋体" w:cs="宋体"/>
          <w:sz w:val="24"/>
          <w:szCs w:val="24"/>
          <w:highlight w:val="none"/>
          <w:lang w:val="en-US" w:eastAsia="zh-CN"/>
        </w:rPr>
        <w:t>入选人</w:t>
      </w:r>
      <w:r>
        <w:rPr>
          <w:rFonts w:ascii="宋体" w:hAnsi="宋体" w:eastAsia="宋体" w:cs="宋体"/>
          <w:sz w:val="24"/>
          <w:szCs w:val="24"/>
          <w:highlight w:val="none"/>
        </w:rPr>
        <w:t>中下浮最大的报价执行。</w:t>
      </w:r>
    </w:p>
    <w:p w14:paraId="116B6E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（五）评选过程保密</w:t>
      </w:r>
    </w:p>
    <w:p w14:paraId="3C250D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凡是属于审查、澄清、评价和比较参选的有关资料以及信息等，均不得向参选单位或者其他与评选无关的人员透露。</w:t>
      </w:r>
    </w:p>
    <w:p w14:paraId="2044DD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（六）入选人放弃</w:t>
      </w:r>
    </w:p>
    <w:p w14:paraId="49B421B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入选候选人除因法定不可抗力外不得随意放弃入选资格，否则承担相应法律责任。入选候选人确因不可抗力不能履行合同，或因被查实存在影响入选结果的违法行为等情形，不符合入选条件的，遴选人可按照</w:t>
      </w:r>
      <w:r>
        <w:rPr>
          <w:rFonts w:hint="eastAsia" w:eastAsia="宋体" w:cs="宋体"/>
          <w:sz w:val="24"/>
          <w:szCs w:val="24"/>
          <w:highlight w:val="none"/>
          <w:lang w:eastAsia="zh-CN"/>
        </w:rPr>
        <w:t>评选小组</w:t>
      </w:r>
      <w:r>
        <w:rPr>
          <w:rFonts w:ascii="宋体" w:hAnsi="宋体" w:eastAsia="宋体" w:cs="宋体"/>
          <w:sz w:val="24"/>
          <w:szCs w:val="24"/>
          <w:highlight w:val="none"/>
        </w:rPr>
        <w:t>提出的入选候选人名单排序依次确定其他入选候选人为</w:t>
      </w:r>
      <w:r>
        <w:rPr>
          <w:rFonts w:hint="eastAsia" w:eastAsia="宋体" w:cs="宋体"/>
          <w:sz w:val="24"/>
          <w:szCs w:val="24"/>
          <w:highlight w:val="none"/>
          <w:lang w:eastAsia="zh-CN"/>
        </w:rPr>
        <w:t>入选人</w:t>
      </w:r>
      <w:r>
        <w:rPr>
          <w:rFonts w:ascii="宋体" w:hAnsi="宋体" w:eastAsia="宋体" w:cs="宋体"/>
          <w:sz w:val="24"/>
          <w:szCs w:val="24"/>
          <w:highlight w:val="none"/>
        </w:rPr>
        <w:t>；依次确定其他入选候选人与遴选人预期差距较大，或对遴选人明显不利的，遴选人可重新遴选。</w:t>
      </w:r>
    </w:p>
    <w:p w14:paraId="5060A3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sectPr>
          <w:footerReference r:id="rId6" w:type="default"/>
          <w:pgSz w:w="11907" w:h="16839"/>
          <w:pgMar w:top="1417" w:right="1701" w:bottom="1417" w:left="1701" w:header="567" w:footer="567" w:gutter="0"/>
          <w:pgNumType w:fmt="decimal"/>
          <w:cols w:space="0" w:num="1"/>
          <w:rtlGutter w:val="0"/>
          <w:docGrid w:linePitch="0" w:charSpace="0"/>
        </w:sectPr>
      </w:pPr>
    </w:p>
    <w:p w14:paraId="35CDF5DD">
      <w:pPr>
        <w:keepNext w:val="0"/>
        <w:keepLines w:val="0"/>
        <w:pageBreakBefore w:val="0"/>
        <w:kinsoku/>
        <w:wordWrap/>
        <w:overflowPunct w:val="0"/>
        <w:topLinePunct/>
        <w:bidi w:val="0"/>
        <w:spacing w:before="116" w:line="360" w:lineRule="auto"/>
        <w:ind w:left="751"/>
        <w:outlineLvl w:val="1"/>
        <w:rPr>
          <w:rFonts w:ascii="宋体" w:hAnsi="宋体" w:eastAsia="宋体" w:cs="宋体"/>
          <w:sz w:val="28"/>
          <w:szCs w:val="28"/>
          <w:highlight w:val="none"/>
        </w:rPr>
      </w:pPr>
      <w:bookmarkStart w:id="60" w:name="bookmark35"/>
      <w:bookmarkEnd w:id="60"/>
      <w:bookmarkStart w:id="61" w:name="_Toc18864"/>
      <w:r>
        <w:rPr>
          <w:rFonts w:ascii="宋体" w:hAnsi="宋体" w:eastAsia="宋体" w:cs="宋体"/>
          <w:b/>
          <w:bCs/>
          <w:spacing w:val="-8"/>
          <w:sz w:val="28"/>
          <w:szCs w:val="28"/>
          <w:highlight w:val="none"/>
        </w:rPr>
        <w:t>四、评分办法</w:t>
      </w:r>
      <w:bookmarkEnd w:id="61"/>
    </w:p>
    <w:p w14:paraId="5F849E9E">
      <w:pPr>
        <w:keepNext w:val="0"/>
        <w:keepLines w:val="0"/>
        <w:pageBreakBefore w:val="0"/>
        <w:kinsoku/>
        <w:wordWrap/>
        <w:overflowPunct w:val="0"/>
        <w:topLinePunct/>
        <w:bidi w:val="0"/>
        <w:spacing w:before="305" w:line="360" w:lineRule="auto"/>
        <w:jc w:val="center"/>
        <w:outlineLvl w:val="2"/>
        <w:rPr>
          <w:rFonts w:ascii="宋体" w:hAnsi="宋体" w:eastAsia="宋体" w:cs="宋体"/>
          <w:sz w:val="28"/>
          <w:szCs w:val="28"/>
          <w:highlight w:val="none"/>
        </w:rPr>
      </w:pPr>
      <w:bookmarkStart w:id="62" w:name="bookmark37"/>
      <w:bookmarkEnd w:id="62"/>
      <w:bookmarkStart w:id="63" w:name="_Toc2439"/>
      <w:r>
        <w:rPr>
          <w:rFonts w:ascii="宋体" w:hAnsi="宋体" w:eastAsia="宋体" w:cs="宋体"/>
          <w:b/>
          <w:bCs/>
          <w:spacing w:val="-3"/>
          <w:sz w:val="28"/>
          <w:szCs w:val="28"/>
          <w:highlight w:val="none"/>
        </w:rPr>
        <w:t>评分标准</w:t>
      </w:r>
      <w:bookmarkEnd w:id="63"/>
    </w:p>
    <w:tbl>
      <w:tblPr>
        <w:tblStyle w:val="11"/>
        <w:tblW w:w="9825" w:type="dxa"/>
        <w:tblInd w:w="-90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5"/>
        <w:gridCol w:w="1968"/>
        <w:gridCol w:w="959"/>
        <w:gridCol w:w="6223"/>
      </w:tblGrid>
      <w:tr w14:paraId="5635E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6" w:hRule="atLeast"/>
        </w:trPr>
        <w:tc>
          <w:tcPr>
            <w:tcW w:w="675" w:type="dxa"/>
            <w:vAlign w:val="center"/>
          </w:tcPr>
          <w:p w14:paraId="5E835676">
            <w:pPr>
              <w:keepNext w:val="0"/>
              <w:keepLines w:val="0"/>
              <w:pageBreakBefore w:val="0"/>
              <w:kinsoku/>
              <w:wordWrap/>
              <w:overflowPunct w:val="0"/>
              <w:topLinePunct/>
              <w:bidi w:val="0"/>
              <w:spacing w:line="360" w:lineRule="auto"/>
              <w:jc w:val="center"/>
              <w:rPr>
                <w:rFonts w:hint="default" w:ascii="宋体" w:hAnsi="宋体" w:eastAsia="宋体" w:cs="仿宋"/>
                <w:sz w:val="24"/>
                <w:highlight w:val="none"/>
                <w:lang w:val="en-US" w:eastAsia="zh-CN"/>
              </w:rPr>
            </w:pPr>
            <w:r>
              <w:rPr>
                <w:rFonts w:hint="eastAsia" w:ascii="宋体" w:hAnsi="宋体" w:eastAsia="宋体" w:cs="仿宋"/>
                <w:sz w:val="24"/>
                <w:highlight w:val="none"/>
                <w:lang w:val="en-US" w:eastAsia="zh-CN"/>
              </w:rPr>
              <w:t>价格部分</w:t>
            </w:r>
          </w:p>
        </w:tc>
        <w:tc>
          <w:tcPr>
            <w:tcW w:w="1968" w:type="dxa"/>
            <w:vAlign w:val="center"/>
          </w:tcPr>
          <w:p w14:paraId="79F2A960">
            <w:pPr>
              <w:keepNext w:val="0"/>
              <w:keepLines w:val="0"/>
              <w:pageBreakBefore w:val="0"/>
              <w:kinsoku/>
              <w:wordWrap/>
              <w:overflowPunct w:val="0"/>
              <w:topLinePunct/>
              <w:bidi w:val="0"/>
              <w:spacing w:line="360" w:lineRule="auto"/>
              <w:jc w:val="center"/>
              <w:rPr>
                <w:rFonts w:hint="eastAsia" w:ascii="宋体" w:hAnsi="宋体" w:cs="仿宋"/>
                <w:sz w:val="24"/>
                <w:highlight w:val="none"/>
              </w:rPr>
            </w:pPr>
            <w:r>
              <w:rPr>
                <w:rFonts w:hint="eastAsia" w:ascii="宋体" w:hAnsi="宋体" w:cs="仿宋"/>
                <w:sz w:val="24"/>
                <w:highlight w:val="none"/>
              </w:rPr>
              <w:t>价格得分</w:t>
            </w:r>
          </w:p>
        </w:tc>
        <w:tc>
          <w:tcPr>
            <w:tcW w:w="959" w:type="dxa"/>
            <w:vAlign w:val="center"/>
          </w:tcPr>
          <w:p w14:paraId="608F714F">
            <w:pPr>
              <w:keepNext w:val="0"/>
              <w:keepLines w:val="0"/>
              <w:pageBreakBefore w:val="0"/>
              <w:kinsoku/>
              <w:wordWrap/>
              <w:overflowPunct w:val="0"/>
              <w:topLinePunct/>
              <w:bidi w:val="0"/>
              <w:spacing w:line="360" w:lineRule="auto"/>
              <w:jc w:val="center"/>
              <w:rPr>
                <w:rFonts w:hint="default" w:ascii="宋体" w:hAnsi="宋体" w:cs="仿宋"/>
                <w:sz w:val="24"/>
                <w:highlight w:val="none"/>
                <w:lang w:val="en-US" w:eastAsia="zh-CN"/>
              </w:rPr>
            </w:pPr>
            <w:r>
              <w:rPr>
                <w:rFonts w:hint="eastAsia" w:ascii="宋体" w:hAnsi="宋体" w:cs="仿宋"/>
                <w:sz w:val="24"/>
                <w:highlight w:val="none"/>
                <w:lang w:val="en-US" w:eastAsia="zh-CN"/>
              </w:rPr>
              <w:t>15分</w:t>
            </w:r>
          </w:p>
        </w:tc>
        <w:tc>
          <w:tcPr>
            <w:tcW w:w="6223" w:type="dxa"/>
            <w:vAlign w:val="top"/>
          </w:tcPr>
          <w:p w14:paraId="11179143">
            <w:pPr>
              <w:keepNext w:val="0"/>
              <w:keepLines w:val="0"/>
              <w:pageBreakBefore w:val="0"/>
              <w:kinsoku/>
              <w:wordWrap/>
              <w:overflowPunct w:val="0"/>
              <w:topLinePunct/>
              <w:bidi w:val="0"/>
              <w:spacing w:line="360" w:lineRule="auto"/>
              <w:jc w:val="left"/>
              <w:rPr>
                <w:rFonts w:hint="eastAsia" w:ascii="宋体" w:hAnsi="宋体" w:cs="仿宋"/>
                <w:sz w:val="24"/>
                <w:highlight w:val="none"/>
              </w:rPr>
            </w:pPr>
            <w:r>
              <w:rPr>
                <w:rFonts w:hint="eastAsia" w:ascii="宋体" w:hAnsi="宋体" w:cs="仿宋"/>
                <w:sz w:val="24"/>
                <w:highlight w:val="none"/>
              </w:rPr>
              <w:t>招标代理服务收费报价下浮率最大的为评标基准值，其价格分为满分</w:t>
            </w:r>
            <w:r>
              <w:rPr>
                <w:rFonts w:hint="eastAsia" w:ascii="宋体" w:hAnsi="宋体" w:eastAsia="宋体" w:cs="仿宋"/>
                <w:sz w:val="24"/>
                <w:highlight w:val="none"/>
                <w:lang w:val="en-US" w:eastAsia="zh-CN"/>
              </w:rPr>
              <w:t>15</w:t>
            </w:r>
            <w:r>
              <w:rPr>
                <w:rFonts w:hint="eastAsia" w:ascii="宋体" w:hAnsi="宋体" w:cs="仿宋"/>
                <w:sz w:val="24"/>
                <w:highlight w:val="none"/>
              </w:rPr>
              <w:t>分，其他</w:t>
            </w:r>
            <w:r>
              <w:rPr>
                <w:rFonts w:hint="eastAsia" w:ascii="宋体" w:hAnsi="宋体" w:cs="仿宋"/>
                <w:sz w:val="24"/>
                <w:highlight w:val="none"/>
                <w:lang w:val="en-US" w:eastAsia="zh-CN"/>
              </w:rPr>
              <w:t>参选单位</w:t>
            </w:r>
            <w:r>
              <w:rPr>
                <w:rFonts w:hint="eastAsia" w:ascii="宋体" w:hAnsi="宋体" w:cs="仿宋"/>
                <w:sz w:val="24"/>
                <w:highlight w:val="none"/>
              </w:rPr>
              <w:t>的价格分按照下列公式计算：报价得分=（报价/</w:t>
            </w:r>
            <w:r>
              <w:rPr>
                <w:rFonts w:hint="eastAsia" w:ascii="宋体" w:hAnsi="宋体" w:cs="仿宋"/>
                <w:sz w:val="24"/>
                <w:highlight w:val="none"/>
                <w:lang w:val="en-US" w:eastAsia="zh-CN"/>
              </w:rPr>
              <w:t>评选</w:t>
            </w:r>
            <w:r>
              <w:rPr>
                <w:rFonts w:hint="eastAsia" w:ascii="宋体" w:hAnsi="宋体" w:cs="仿宋"/>
                <w:sz w:val="24"/>
                <w:highlight w:val="none"/>
              </w:rPr>
              <w:t>基准值）×</w:t>
            </w:r>
            <w:r>
              <w:rPr>
                <w:rFonts w:hint="eastAsia" w:ascii="宋体" w:hAnsi="宋体" w:cs="仿宋"/>
                <w:sz w:val="24"/>
                <w:highlight w:val="none"/>
                <w:lang w:val="en-US" w:eastAsia="zh-CN"/>
              </w:rPr>
              <w:t>15</w:t>
            </w:r>
            <w:r>
              <w:rPr>
                <w:rFonts w:hint="eastAsia" w:ascii="宋体" w:hAnsi="宋体" w:cs="仿宋"/>
                <w:sz w:val="24"/>
                <w:highlight w:val="none"/>
              </w:rPr>
              <w:t>。</w:t>
            </w:r>
          </w:p>
          <w:p w14:paraId="7988BB21">
            <w:pPr>
              <w:keepNext w:val="0"/>
              <w:keepLines w:val="0"/>
              <w:pageBreakBefore w:val="0"/>
              <w:kinsoku/>
              <w:wordWrap/>
              <w:overflowPunct w:val="0"/>
              <w:topLinePunct/>
              <w:bidi w:val="0"/>
              <w:spacing w:line="360" w:lineRule="auto"/>
              <w:jc w:val="left"/>
              <w:rPr>
                <w:rFonts w:hint="eastAsia" w:ascii="宋体" w:hAnsi="宋体" w:cs="仿宋"/>
                <w:sz w:val="24"/>
                <w:highlight w:val="none"/>
              </w:rPr>
            </w:pPr>
            <w:r>
              <w:rPr>
                <w:rFonts w:hint="eastAsia" w:ascii="宋体" w:hAnsi="宋体" w:cs="仿宋"/>
                <w:sz w:val="24"/>
                <w:highlight w:val="none"/>
              </w:rPr>
              <w:t>招标代理服务费要根据《国家发展改革委办公厅关于招标代理服务收费有关问题的通知》(发改办价格[2003]857号)和国家计委关于《招标代理服务收费管理暂行办法》（计价格[2002]1980号）规定基础上，下浮报价，</w:t>
            </w:r>
            <w:r>
              <w:rPr>
                <w:rFonts w:hint="eastAsia" w:ascii="宋体" w:hAnsi="宋体" w:cs="仿宋"/>
                <w:b/>
                <w:bCs/>
                <w:sz w:val="24"/>
                <w:highlight w:val="none"/>
              </w:rPr>
              <w:t>下浮区间0%-40%，否则作无效</w:t>
            </w:r>
            <w:r>
              <w:rPr>
                <w:rFonts w:hint="eastAsia" w:ascii="宋体" w:hAnsi="宋体" w:cs="仿宋"/>
                <w:b/>
                <w:bCs/>
                <w:sz w:val="24"/>
                <w:highlight w:val="none"/>
                <w:lang w:val="en-US" w:eastAsia="zh-CN"/>
              </w:rPr>
              <w:t>参选</w:t>
            </w:r>
            <w:r>
              <w:rPr>
                <w:rFonts w:hint="eastAsia" w:ascii="宋体" w:hAnsi="宋体" w:cs="仿宋"/>
                <w:b/>
                <w:bCs/>
                <w:sz w:val="24"/>
                <w:highlight w:val="none"/>
              </w:rPr>
              <w:t>处理。</w:t>
            </w:r>
          </w:p>
        </w:tc>
      </w:tr>
      <w:tr w14:paraId="5B6F8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4" w:hRule="atLeast"/>
        </w:trPr>
        <w:tc>
          <w:tcPr>
            <w:tcW w:w="675" w:type="dxa"/>
            <w:vMerge w:val="restart"/>
            <w:vAlign w:val="center"/>
          </w:tcPr>
          <w:p w14:paraId="6796336E">
            <w:pPr>
              <w:keepNext w:val="0"/>
              <w:keepLines w:val="0"/>
              <w:pageBreakBefore w:val="0"/>
              <w:kinsoku/>
              <w:wordWrap/>
              <w:overflowPunct w:val="0"/>
              <w:topLinePunct/>
              <w:bidi w:val="0"/>
              <w:spacing w:line="360" w:lineRule="auto"/>
              <w:jc w:val="center"/>
              <w:rPr>
                <w:rFonts w:hint="default" w:ascii="宋体" w:hAnsi="宋体" w:eastAsia="宋体" w:cs="仿宋"/>
                <w:sz w:val="24"/>
                <w:highlight w:val="none"/>
                <w:lang w:val="en-US" w:eastAsia="zh-CN"/>
              </w:rPr>
            </w:pPr>
            <w:r>
              <w:rPr>
                <w:rFonts w:hint="eastAsia" w:ascii="宋体" w:hAnsi="宋体" w:eastAsia="宋体" w:cs="仿宋"/>
                <w:sz w:val="24"/>
                <w:highlight w:val="none"/>
                <w:lang w:val="en-US" w:eastAsia="zh-CN"/>
              </w:rPr>
              <w:t>商务部分</w:t>
            </w:r>
          </w:p>
        </w:tc>
        <w:tc>
          <w:tcPr>
            <w:tcW w:w="1968" w:type="dxa"/>
            <w:shd w:val="clear" w:color="auto" w:fill="auto"/>
            <w:vAlign w:val="center"/>
          </w:tcPr>
          <w:p w14:paraId="488C8CA4">
            <w:pPr>
              <w:keepNext w:val="0"/>
              <w:keepLines w:val="0"/>
              <w:pageBreakBefore w:val="0"/>
              <w:kinsoku/>
              <w:wordWrap/>
              <w:overflowPunct w:val="0"/>
              <w:topLinePunct/>
              <w:bidi w:val="0"/>
              <w:spacing w:line="360" w:lineRule="auto"/>
              <w:jc w:val="center"/>
              <w:rPr>
                <w:rFonts w:hint="eastAsia" w:ascii="宋体" w:hAnsi="宋体" w:eastAsia="Arial" w:cs="仿宋"/>
                <w:snapToGrid w:val="0"/>
                <w:color w:val="000000"/>
                <w:kern w:val="0"/>
                <w:sz w:val="24"/>
                <w:szCs w:val="21"/>
                <w:highlight w:val="none"/>
                <w:lang w:val="en-US" w:eastAsia="en-US" w:bidi="ar-SA"/>
              </w:rPr>
            </w:pPr>
            <w:r>
              <w:rPr>
                <w:rFonts w:hint="eastAsia" w:ascii="宋体" w:hAnsi="宋体" w:eastAsia="宋体" w:cs="仿宋"/>
                <w:sz w:val="24"/>
                <w:highlight w:val="none"/>
                <w:lang w:val="en-US" w:eastAsia="zh-CN"/>
              </w:rPr>
              <w:t>项目业绩</w:t>
            </w:r>
          </w:p>
        </w:tc>
        <w:tc>
          <w:tcPr>
            <w:tcW w:w="959" w:type="dxa"/>
            <w:shd w:val="clear" w:color="auto" w:fill="auto"/>
            <w:vAlign w:val="center"/>
          </w:tcPr>
          <w:p w14:paraId="7C7FADEA">
            <w:pPr>
              <w:keepNext w:val="0"/>
              <w:keepLines w:val="0"/>
              <w:pageBreakBefore w:val="0"/>
              <w:kinsoku/>
              <w:wordWrap/>
              <w:overflowPunct w:val="0"/>
              <w:topLinePunct/>
              <w:bidi w:val="0"/>
              <w:spacing w:line="360" w:lineRule="auto"/>
              <w:jc w:val="center"/>
              <w:rPr>
                <w:rFonts w:hint="eastAsia" w:ascii="宋体" w:hAnsi="宋体" w:eastAsia="Arial" w:cs="仿宋"/>
                <w:snapToGrid w:val="0"/>
                <w:color w:val="000000"/>
                <w:kern w:val="0"/>
                <w:sz w:val="24"/>
                <w:szCs w:val="21"/>
                <w:highlight w:val="none"/>
                <w:lang w:val="en-US" w:eastAsia="zh-CN" w:bidi="ar-SA"/>
              </w:rPr>
            </w:pPr>
            <w:r>
              <w:rPr>
                <w:rFonts w:hint="eastAsia" w:ascii="宋体" w:hAnsi="宋体" w:cs="仿宋"/>
                <w:sz w:val="24"/>
                <w:highlight w:val="none"/>
                <w:lang w:val="en-US" w:eastAsia="zh-CN"/>
              </w:rPr>
              <w:t>20分</w:t>
            </w:r>
          </w:p>
        </w:tc>
        <w:tc>
          <w:tcPr>
            <w:tcW w:w="6223" w:type="dxa"/>
            <w:vAlign w:val="top"/>
          </w:tcPr>
          <w:p w14:paraId="1AA37364">
            <w:pPr>
              <w:keepNext w:val="0"/>
              <w:keepLines w:val="0"/>
              <w:pageBreakBefore w:val="0"/>
              <w:kinsoku/>
              <w:wordWrap/>
              <w:overflowPunct w:val="0"/>
              <w:topLinePunct/>
              <w:bidi w:val="0"/>
              <w:spacing w:line="360" w:lineRule="auto"/>
              <w:jc w:val="left"/>
              <w:rPr>
                <w:rFonts w:hint="eastAsia" w:ascii="宋体" w:hAnsi="宋体" w:cs="仿宋"/>
                <w:sz w:val="24"/>
                <w:highlight w:val="none"/>
              </w:rPr>
            </w:pPr>
            <w:r>
              <w:rPr>
                <w:rFonts w:hint="eastAsia" w:ascii="宋体" w:hAnsi="宋体" w:cs="仿宋"/>
                <w:sz w:val="24"/>
                <w:highlight w:val="none"/>
              </w:rPr>
              <w:t>参选单位提供</w:t>
            </w:r>
            <w:r>
              <w:rPr>
                <w:rFonts w:hint="eastAsia" w:ascii="宋体" w:hAnsi="宋体" w:eastAsia="宋体" w:cs="仿宋"/>
                <w:sz w:val="24"/>
                <w:highlight w:val="none"/>
                <w:lang w:val="en-US" w:eastAsia="zh-CN"/>
              </w:rPr>
              <w:t>自</w:t>
            </w:r>
            <w:r>
              <w:rPr>
                <w:rFonts w:hint="eastAsia" w:ascii="宋体" w:hAnsi="宋体" w:cs="仿宋"/>
                <w:sz w:val="24"/>
                <w:highlight w:val="none"/>
              </w:rPr>
              <w:t>202</w:t>
            </w:r>
            <w:r>
              <w:rPr>
                <w:rFonts w:hint="eastAsia" w:ascii="宋体" w:hAnsi="宋体" w:eastAsia="宋体" w:cs="仿宋"/>
                <w:sz w:val="24"/>
                <w:highlight w:val="none"/>
                <w:lang w:val="en-US" w:eastAsia="zh-CN"/>
              </w:rPr>
              <w:t>3</w:t>
            </w:r>
            <w:r>
              <w:rPr>
                <w:rFonts w:hint="eastAsia" w:ascii="宋体" w:hAnsi="宋体" w:cs="仿宋"/>
                <w:sz w:val="24"/>
                <w:highlight w:val="none"/>
              </w:rPr>
              <w:t>年1月1日到递交</w:t>
            </w:r>
            <w:r>
              <w:rPr>
                <w:rFonts w:hint="eastAsia" w:ascii="宋体" w:hAnsi="宋体" w:eastAsia="宋体" w:cs="仿宋"/>
                <w:sz w:val="24"/>
                <w:highlight w:val="none"/>
                <w:lang w:val="en-US" w:eastAsia="zh-CN"/>
              </w:rPr>
              <w:t>参选</w:t>
            </w:r>
            <w:r>
              <w:rPr>
                <w:rFonts w:hint="eastAsia" w:ascii="宋体" w:hAnsi="宋体" w:cs="仿宋"/>
                <w:sz w:val="24"/>
                <w:highlight w:val="none"/>
              </w:rPr>
              <w:t>文件以来已完成的</w:t>
            </w:r>
            <w:r>
              <w:rPr>
                <w:rFonts w:hint="eastAsia" w:ascii="宋体" w:hAnsi="宋体" w:eastAsia="宋体" w:cs="仿宋"/>
                <w:sz w:val="24"/>
                <w:highlight w:val="none"/>
                <w:lang w:val="en-US" w:eastAsia="zh-CN"/>
              </w:rPr>
              <w:t>青岛市</w:t>
            </w:r>
            <w:r>
              <w:rPr>
                <w:rFonts w:hint="eastAsia" w:ascii="宋体" w:hAnsi="宋体" w:cs="仿宋"/>
                <w:sz w:val="24"/>
                <w:highlight w:val="none"/>
              </w:rPr>
              <w:t>医院</w:t>
            </w:r>
            <w:r>
              <w:rPr>
                <w:rFonts w:hint="eastAsia" w:ascii="宋体" w:hAnsi="宋体" w:eastAsia="宋体" w:cs="仿宋"/>
                <w:sz w:val="24"/>
                <w:highlight w:val="none"/>
                <w:lang w:eastAsia="zh-CN"/>
              </w:rPr>
              <w:t>的</w:t>
            </w:r>
            <w:r>
              <w:rPr>
                <w:rFonts w:hint="eastAsia" w:ascii="宋体" w:hAnsi="宋体" w:eastAsia="宋体" w:cs="仿宋"/>
                <w:sz w:val="24"/>
                <w:highlight w:val="none"/>
                <w:lang w:val="en-US" w:eastAsia="zh-CN"/>
              </w:rPr>
              <w:t>政府采购项目</w:t>
            </w:r>
            <w:r>
              <w:rPr>
                <w:rFonts w:hint="eastAsia" w:ascii="宋体" w:hAnsi="宋体" w:cs="仿宋"/>
                <w:sz w:val="24"/>
                <w:highlight w:val="none"/>
              </w:rPr>
              <w:t>业绩，每个业绩得1分，满分</w:t>
            </w:r>
            <w:r>
              <w:rPr>
                <w:rFonts w:hint="eastAsia" w:ascii="宋体" w:hAnsi="宋体" w:eastAsia="宋体" w:cs="仿宋"/>
                <w:sz w:val="24"/>
                <w:highlight w:val="none"/>
                <w:lang w:val="en-US" w:eastAsia="zh-CN"/>
              </w:rPr>
              <w:t>2</w:t>
            </w:r>
            <w:r>
              <w:rPr>
                <w:rFonts w:hint="eastAsia" w:ascii="宋体" w:hAnsi="宋体" w:cs="仿宋"/>
                <w:sz w:val="24"/>
                <w:highlight w:val="none"/>
              </w:rPr>
              <w:t>0分。</w:t>
            </w:r>
          </w:p>
          <w:p w14:paraId="28EC6557">
            <w:pPr>
              <w:keepNext w:val="0"/>
              <w:keepLines w:val="0"/>
              <w:pageBreakBefore w:val="0"/>
              <w:kinsoku/>
              <w:wordWrap/>
              <w:overflowPunct w:val="0"/>
              <w:topLinePunct/>
              <w:bidi w:val="0"/>
              <w:spacing w:line="360" w:lineRule="auto"/>
              <w:jc w:val="left"/>
              <w:rPr>
                <w:rFonts w:hint="eastAsia" w:ascii="宋体" w:hAnsi="宋体" w:cs="仿宋"/>
                <w:sz w:val="24"/>
                <w:highlight w:val="none"/>
              </w:rPr>
            </w:pPr>
            <w:r>
              <w:rPr>
                <w:rFonts w:hint="eastAsia" w:ascii="宋体" w:hAnsi="宋体" w:cs="仿宋"/>
                <w:b/>
                <w:bCs/>
                <w:sz w:val="24"/>
                <w:highlight w:val="none"/>
              </w:rPr>
              <w:t>注：每项业绩提供依法指定的媒介发布的中标（成交）公告链接及截图、</w:t>
            </w:r>
            <w:r>
              <w:rPr>
                <w:rFonts w:hint="eastAsia" w:ascii="宋体" w:hAnsi="宋体" w:eastAsia="宋体" w:cs="仿宋"/>
                <w:b/>
                <w:bCs/>
                <w:sz w:val="24"/>
                <w:highlight w:val="none"/>
                <w:lang w:val="en-US" w:eastAsia="zh-CN"/>
              </w:rPr>
              <w:t>项目代理协议、</w:t>
            </w:r>
            <w:r>
              <w:rPr>
                <w:rFonts w:hint="eastAsia" w:ascii="宋体" w:hAnsi="宋体" w:cs="仿宋"/>
                <w:b/>
                <w:bCs/>
                <w:sz w:val="24"/>
                <w:highlight w:val="none"/>
              </w:rPr>
              <w:t>中标（成交）通知书复印件，时间以中标（成交）通知书为准，否则不得分。</w:t>
            </w:r>
          </w:p>
        </w:tc>
      </w:tr>
      <w:tr w14:paraId="0C30F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675" w:type="dxa"/>
            <w:vMerge w:val="continue"/>
            <w:vAlign w:val="center"/>
          </w:tcPr>
          <w:p w14:paraId="4A9B602B">
            <w:pPr>
              <w:keepNext w:val="0"/>
              <w:keepLines w:val="0"/>
              <w:pageBreakBefore w:val="0"/>
              <w:kinsoku/>
              <w:wordWrap/>
              <w:overflowPunct w:val="0"/>
              <w:topLinePunct/>
              <w:bidi w:val="0"/>
              <w:spacing w:line="360" w:lineRule="auto"/>
              <w:jc w:val="center"/>
              <w:rPr>
                <w:rFonts w:hint="eastAsia" w:ascii="宋体" w:hAnsi="宋体" w:eastAsia="宋体" w:cs="仿宋"/>
                <w:sz w:val="24"/>
                <w:highlight w:val="none"/>
                <w:lang w:val="en-US" w:eastAsia="zh-CN"/>
              </w:rPr>
            </w:pPr>
          </w:p>
        </w:tc>
        <w:tc>
          <w:tcPr>
            <w:tcW w:w="1968" w:type="dxa"/>
            <w:shd w:val="clear" w:color="auto" w:fill="auto"/>
            <w:vAlign w:val="center"/>
          </w:tcPr>
          <w:p w14:paraId="4C209F3F">
            <w:pPr>
              <w:keepNext w:val="0"/>
              <w:keepLines w:val="0"/>
              <w:pageBreakBefore w:val="0"/>
              <w:kinsoku/>
              <w:wordWrap/>
              <w:overflowPunct w:val="0"/>
              <w:topLinePunct/>
              <w:bidi w:val="0"/>
              <w:spacing w:line="360" w:lineRule="auto"/>
              <w:jc w:val="center"/>
              <w:rPr>
                <w:rFonts w:hint="eastAsia" w:ascii="宋体" w:hAnsi="宋体" w:eastAsia="宋体" w:cs="仿宋"/>
                <w:sz w:val="24"/>
                <w:highlight w:val="none"/>
                <w:lang w:eastAsia="zh-CN"/>
              </w:rPr>
            </w:pPr>
            <w:r>
              <w:rPr>
                <w:rFonts w:hint="eastAsia" w:ascii="宋体" w:hAnsi="宋体" w:cs="宋体"/>
                <w:sz w:val="24"/>
                <w:highlight w:val="none"/>
              </w:rPr>
              <w:t>项目</w:t>
            </w:r>
            <w:r>
              <w:rPr>
                <w:rFonts w:hint="eastAsia" w:ascii="宋体" w:hAnsi="宋体" w:eastAsia="宋体" w:cs="宋体"/>
                <w:sz w:val="24"/>
                <w:highlight w:val="none"/>
                <w:lang w:val="en-US" w:eastAsia="zh-CN"/>
              </w:rPr>
              <w:t>经理</w:t>
            </w:r>
          </w:p>
        </w:tc>
        <w:tc>
          <w:tcPr>
            <w:tcW w:w="959" w:type="dxa"/>
            <w:shd w:val="clear" w:color="auto" w:fill="auto"/>
            <w:vAlign w:val="center"/>
          </w:tcPr>
          <w:p w14:paraId="508DB5A4">
            <w:pPr>
              <w:keepNext w:val="0"/>
              <w:keepLines w:val="0"/>
              <w:pageBreakBefore w:val="0"/>
              <w:kinsoku/>
              <w:wordWrap/>
              <w:overflowPunct w:val="0"/>
              <w:topLinePunct/>
              <w:bidi w:val="0"/>
              <w:spacing w:line="360" w:lineRule="auto"/>
              <w:jc w:val="center"/>
              <w:rPr>
                <w:rFonts w:hint="default" w:ascii="宋体" w:hAnsi="宋体" w:cs="仿宋"/>
                <w:sz w:val="24"/>
                <w:highlight w:val="none"/>
                <w:lang w:val="en-US" w:eastAsia="zh-CN"/>
              </w:rPr>
            </w:pPr>
            <w:r>
              <w:rPr>
                <w:rFonts w:hint="eastAsia" w:ascii="宋体" w:hAnsi="宋体" w:cs="仿宋"/>
                <w:sz w:val="24"/>
                <w:highlight w:val="none"/>
                <w:lang w:val="en-US" w:eastAsia="zh-CN"/>
              </w:rPr>
              <w:t>9分</w:t>
            </w:r>
          </w:p>
        </w:tc>
        <w:tc>
          <w:tcPr>
            <w:tcW w:w="6223" w:type="dxa"/>
            <w:vAlign w:val="top"/>
          </w:tcPr>
          <w:p w14:paraId="3518C9A8">
            <w:pPr>
              <w:keepNext w:val="0"/>
              <w:keepLines w:val="0"/>
              <w:pageBreakBefore w:val="0"/>
              <w:kinsoku/>
              <w:wordWrap/>
              <w:overflowPunct w:val="0"/>
              <w:topLinePunct/>
              <w:bidi w:val="0"/>
              <w:spacing w:line="360" w:lineRule="auto"/>
              <w:jc w:val="left"/>
              <w:rPr>
                <w:rFonts w:hint="eastAsia" w:ascii="宋体" w:hAnsi="宋体" w:cs="宋体"/>
                <w:kern w:val="4"/>
                <w:sz w:val="24"/>
                <w:highlight w:val="none"/>
              </w:rPr>
            </w:pPr>
            <w:r>
              <w:rPr>
                <w:rFonts w:hint="eastAsia" w:ascii="宋体" w:hAnsi="宋体" w:cs="宋体"/>
                <w:kern w:val="4"/>
                <w:sz w:val="24"/>
                <w:highlight w:val="none"/>
                <w:lang w:val="en-US" w:eastAsia="zh-CN"/>
              </w:rPr>
              <w:t>1.项目经理</w:t>
            </w:r>
            <w:r>
              <w:rPr>
                <w:rFonts w:hint="eastAsia" w:ascii="宋体" w:hAnsi="宋体" w:cs="宋体"/>
                <w:kern w:val="4"/>
                <w:sz w:val="24"/>
                <w:highlight w:val="none"/>
              </w:rPr>
              <w:t>在参选单位从事代理工作</w:t>
            </w:r>
            <w:r>
              <w:rPr>
                <w:rFonts w:hint="eastAsia" w:ascii="宋体" w:hAnsi="宋体" w:cs="宋体"/>
                <w:kern w:val="4"/>
                <w:sz w:val="24"/>
                <w:highlight w:val="none"/>
                <w:lang w:val="en-US" w:eastAsia="zh-CN"/>
              </w:rPr>
              <w:t>五</w:t>
            </w:r>
            <w:r>
              <w:rPr>
                <w:rFonts w:hint="eastAsia" w:ascii="宋体" w:hAnsi="宋体" w:cs="宋体"/>
                <w:kern w:val="4"/>
                <w:sz w:val="24"/>
                <w:highlight w:val="none"/>
              </w:rPr>
              <w:t>年（含）及以上得</w:t>
            </w:r>
            <w:r>
              <w:rPr>
                <w:rFonts w:hint="eastAsia" w:ascii="宋体" w:hAnsi="宋体" w:cs="宋体"/>
                <w:kern w:val="4"/>
                <w:sz w:val="24"/>
                <w:highlight w:val="none"/>
                <w:lang w:val="en-US" w:eastAsia="zh-CN"/>
              </w:rPr>
              <w:t>4</w:t>
            </w:r>
            <w:r>
              <w:rPr>
                <w:rFonts w:hint="eastAsia" w:ascii="宋体" w:hAnsi="宋体" w:cs="宋体"/>
                <w:kern w:val="4"/>
                <w:sz w:val="24"/>
                <w:highlight w:val="none"/>
              </w:rPr>
              <w:t>分，需提供有效社保证明（202</w:t>
            </w:r>
            <w:r>
              <w:rPr>
                <w:rFonts w:hint="eastAsia" w:ascii="宋体" w:hAnsi="宋体" w:cs="宋体"/>
                <w:kern w:val="4"/>
                <w:sz w:val="24"/>
                <w:highlight w:val="none"/>
                <w:lang w:val="en-US" w:eastAsia="zh-CN"/>
              </w:rPr>
              <w:t>1</w:t>
            </w:r>
            <w:r>
              <w:rPr>
                <w:rFonts w:hint="eastAsia" w:ascii="宋体" w:hAnsi="宋体" w:cs="宋体"/>
                <w:kern w:val="4"/>
                <w:sz w:val="24"/>
                <w:highlight w:val="none"/>
              </w:rPr>
              <w:t>年1月1日以来），未提供的得0分。</w:t>
            </w:r>
          </w:p>
          <w:p w14:paraId="57D7A378">
            <w:pPr>
              <w:keepNext w:val="0"/>
              <w:keepLines w:val="0"/>
              <w:pageBreakBefore w:val="0"/>
              <w:kinsoku/>
              <w:wordWrap/>
              <w:overflowPunct w:val="0"/>
              <w:topLinePunct/>
              <w:bidi w:val="0"/>
              <w:spacing w:line="360" w:lineRule="auto"/>
              <w:jc w:val="left"/>
              <w:rPr>
                <w:rFonts w:hint="eastAsia" w:ascii="宋体" w:hAnsi="宋体" w:cs="宋体"/>
                <w:kern w:val="4"/>
                <w:sz w:val="24"/>
                <w:highlight w:val="none"/>
              </w:rPr>
            </w:pPr>
            <w:r>
              <w:rPr>
                <w:rFonts w:hint="eastAsia" w:ascii="宋体" w:hAnsi="宋体" w:cs="宋体"/>
                <w:kern w:val="4"/>
                <w:sz w:val="24"/>
                <w:highlight w:val="none"/>
                <w:lang w:val="en-US" w:eastAsia="zh-CN"/>
              </w:rPr>
              <w:t>2</w:t>
            </w:r>
            <w:r>
              <w:rPr>
                <w:rFonts w:hint="eastAsia" w:ascii="宋体" w:hAnsi="宋体" w:cs="宋体"/>
                <w:kern w:val="4"/>
                <w:sz w:val="24"/>
                <w:highlight w:val="none"/>
              </w:rPr>
              <w:t>.提供参选单位</w:t>
            </w:r>
            <w:r>
              <w:rPr>
                <w:rFonts w:hint="eastAsia" w:ascii="宋体" w:hAnsi="宋体" w:cs="宋体"/>
                <w:kern w:val="4"/>
                <w:sz w:val="24"/>
                <w:highlight w:val="none"/>
                <w:lang w:val="en-US" w:eastAsia="zh-CN"/>
              </w:rPr>
              <w:t>拟派的项目经理自</w:t>
            </w:r>
            <w:r>
              <w:rPr>
                <w:rFonts w:hint="eastAsia" w:ascii="宋体" w:hAnsi="宋体" w:cs="宋体"/>
                <w:kern w:val="4"/>
                <w:sz w:val="24"/>
                <w:highlight w:val="none"/>
              </w:rPr>
              <w:t>202</w:t>
            </w:r>
            <w:r>
              <w:rPr>
                <w:rFonts w:hint="eastAsia" w:ascii="宋体" w:hAnsi="宋体" w:cs="宋体"/>
                <w:kern w:val="4"/>
                <w:sz w:val="24"/>
                <w:highlight w:val="none"/>
                <w:lang w:val="en-US" w:eastAsia="zh-CN"/>
              </w:rPr>
              <w:t>3</w:t>
            </w:r>
            <w:r>
              <w:rPr>
                <w:rFonts w:hint="eastAsia" w:ascii="宋体" w:hAnsi="宋体" w:cs="宋体"/>
                <w:kern w:val="4"/>
                <w:sz w:val="24"/>
                <w:highlight w:val="none"/>
              </w:rPr>
              <w:t>年1月1日到递交</w:t>
            </w:r>
            <w:r>
              <w:rPr>
                <w:rFonts w:hint="eastAsia" w:ascii="宋体" w:hAnsi="宋体" w:cs="宋体"/>
                <w:kern w:val="4"/>
                <w:sz w:val="24"/>
                <w:highlight w:val="none"/>
                <w:lang w:val="en-US" w:eastAsia="zh-CN"/>
              </w:rPr>
              <w:t>参选</w:t>
            </w:r>
            <w:r>
              <w:rPr>
                <w:rFonts w:hint="eastAsia" w:ascii="宋体" w:hAnsi="宋体" w:cs="宋体"/>
                <w:kern w:val="4"/>
                <w:sz w:val="24"/>
                <w:highlight w:val="none"/>
              </w:rPr>
              <w:t>文件以来已完成的</w:t>
            </w:r>
            <w:r>
              <w:rPr>
                <w:rFonts w:hint="eastAsia" w:ascii="宋体" w:hAnsi="宋体" w:cs="宋体"/>
                <w:kern w:val="4"/>
                <w:sz w:val="24"/>
                <w:highlight w:val="none"/>
                <w:lang w:val="en-US" w:eastAsia="zh-CN"/>
              </w:rPr>
              <w:t>青岛市</w:t>
            </w:r>
            <w:r>
              <w:rPr>
                <w:rFonts w:hint="eastAsia" w:ascii="宋体" w:hAnsi="宋体" w:cs="宋体"/>
                <w:kern w:val="4"/>
                <w:sz w:val="24"/>
                <w:highlight w:val="none"/>
              </w:rPr>
              <w:t>医院</w:t>
            </w:r>
            <w:r>
              <w:rPr>
                <w:rFonts w:hint="eastAsia" w:ascii="宋体" w:hAnsi="宋体" w:cs="宋体"/>
                <w:kern w:val="4"/>
                <w:sz w:val="24"/>
                <w:highlight w:val="none"/>
                <w:lang w:eastAsia="zh-CN"/>
              </w:rPr>
              <w:t>的</w:t>
            </w:r>
            <w:r>
              <w:rPr>
                <w:rFonts w:hint="eastAsia" w:ascii="宋体" w:hAnsi="宋体" w:cs="宋体"/>
                <w:kern w:val="4"/>
                <w:sz w:val="24"/>
                <w:highlight w:val="none"/>
                <w:lang w:val="en-US" w:eastAsia="zh-CN"/>
              </w:rPr>
              <w:t>政府采购项目</w:t>
            </w:r>
            <w:r>
              <w:rPr>
                <w:rFonts w:hint="eastAsia" w:ascii="宋体" w:hAnsi="宋体" w:cs="宋体"/>
                <w:kern w:val="4"/>
                <w:sz w:val="24"/>
                <w:highlight w:val="none"/>
              </w:rPr>
              <w:t>业绩，每个业绩得1分，满分</w:t>
            </w:r>
            <w:r>
              <w:rPr>
                <w:rFonts w:hint="eastAsia" w:ascii="宋体" w:hAnsi="宋体" w:cs="宋体"/>
                <w:kern w:val="4"/>
                <w:sz w:val="24"/>
                <w:highlight w:val="none"/>
                <w:lang w:val="en-US" w:eastAsia="zh-CN"/>
              </w:rPr>
              <w:t>5</w:t>
            </w:r>
            <w:r>
              <w:rPr>
                <w:rFonts w:hint="eastAsia" w:ascii="宋体" w:hAnsi="宋体" w:cs="宋体"/>
                <w:kern w:val="4"/>
                <w:sz w:val="24"/>
                <w:highlight w:val="none"/>
              </w:rPr>
              <w:t>分。</w:t>
            </w:r>
          </w:p>
          <w:p w14:paraId="56A2B57B">
            <w:pPr>
              <w:keepNext w:val="0"/>
              <w:keepLines w:val="0"/>
              <w:pageBreakBefore w:val="0"/>
              <w:kinsoku/>
              <w:wordWrap/>
              <w:overflowPunct w:val="0"/>
              <w:topLinePunct/>
              <w:bidi w:val="0"/>
              <w:spacing w:line="360" w:lineRule="auto"/>
              <w:jc w:val="left"/>
              <w:rPr>
                <w:rFonts w:hint="eastAsia" w:ascii="宋体" w:hAnsi="宋体" w:cs="宋体"/>
                <w:kern w:val="4"/>
                <w:sz w:val="24"/>
                <w:highlight w:val="none"/>
                <w:lang w:eastAsia="zh-CN"/>
              </w:rPr>
            </w:pPr>
            <w:r>
              <w:rPr>
                <w:rFonts w:hint="eastAsia" w:ascii="宋体" w:hAnsi="宋体" w:cs="宋体"/>
                <w:kern w:val="4"/>
                <w:sz w:val="24"/>
                <w:highlight w:val="none"/>
              </w:rPr>
              <w:t>注：每项业绩提供依法指定的媒介发布的中标（成交）公告链接及截图、</w:t>
            </w:r>
            <w:r>
              <w:rPr>
                <w:rFonts w:hint="eastAsia" w:ascii="宋体" w:hAnsi="宋体" w:cs="宋体"/>
                <w:kern w:val="4"/>
                <w:sz w:val="24"/>
                <w:highlight w:val="none"/>
                <w:lang w:val="en-US" w:eastAsia="zh-CN"/>
              </w:rPr>
              <w:t>项目代理协议、</w:t>
            </w:r>
            <w:r>
              <w:rPr>
                <w:rFonts w:hint="eastAsia" w:ascii="宋体" w:hAnsi="宋体" w:cs="宋体"/>
                <w:kern w:val="4"/>
                <w:sz w:val="24"/>
                <w:highlight w:val="none"/>
              </w:rPr>
              <w:t>中标（成交）通知书复印件，时间以中标（成交）通知书为准，中标（成交）公告未体现项目</w:t>
            </w:r>
            <w:r>
              <w:rPr>
                <w:rFonts w:hint="eastAsia" w:ascii="宋体" w:hAnsi="宋体" w:cs="宋体"/>
                <w:kern w:val="4"/>
                <w:sz w:val="24"/>
                <w:highlight w:val="none"/>
                <w:lang w:val="en-US" w:eastAsia="zh-CN"/>
              </w:rPr>
              <w:t>经理</w:t>
            </w:r>
            <w:r>
              <w:rPr>
                <w:rFonts w:hint="eastAsia" w:ascii="宋体" w:hAnsi="宋体" w:cs="宋体"/>
                <w:kern w:val="4"/>
                <w:sz w:val="24"/>
                <w:highlight w:val="none"/>
              </w:rPr>
              <w:t>姓名的，须同时提供委托方盖章（采购相关部门公章或单位公章）的</w:t>
            </w:r>
            <w:r>
              <w:rPr>
                <w:rFonts w:hint="eastAsia" w:ascii="宋体" w:hAnsi="宋体" w:cs="宋体"/>
                <w:kern w:val="4"/>
                <w:sz w:val="24"/>
                <w:highlight w:val="none"/>
                <w:lang w:val="en-US" w:eastAsia="zh-CN"/>
              </w:rPr>
              <w:t>相关</w:t>
            </w:r>
            <w:r>
              <w:rPr>
                <w:rFonts w:hint="eastAsia" w:ascii="宋体" w:hAnsi="宋体" w:cs="宋体"/>
                <w:kern w:val="4"/>
                <w:sz w:val="24"/>
                <w:highlight w:val="none"/>
              </w:rPr>
              <w:t>证明</w:t>
            </w:r>
            <w:r>
              <w:rPr>
                <w:rFonts w:hint="eastAsia" w:ascii="宋体" w:hAnsi="宋体" w:cs="宋体"/>
                <w:kern w:val="4"/>
                <w:sz w:val="24"/>
                <w:highlight w:val="none"/>
                <w:lang w:eastAsia="zh-CN"/>
              </w:rPr>
              <w:t>，</w:t>
            </w:r>
            <w:r>
              <w:rPr>
                <w:rFonts w:hint="eastAsia" w:ascii="宋体" w:hAnsi="宋体" w:cs="宋体"/>
                <w:kern w:val="4"/>
                <w:sz w:val="24"/>
                <w:highlight w:val="none"/>
              </w:rPr>
              <w:t>否则不得分</w:t>
            </w:r>
            <w:r>
              <w:rPr>
                <w:rFonts w:hint="eastAsia" w:ascii="宋体" w:hAnsi="宋体" w:cs="宋体"/>
                <w:kern w:val="4"/>
                <w:sz w:val="24"/>
                <w:highlight w:val="none"/>
                <w:lang w:eastAsia="zh-CN"/>
              </w:rPr>
              <w:t>。</w:t>
            </w:r>
          </w:p>
        </w:tc>
      </w:tr>
      <w:tr w14:paraId="7D10D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75" w:type="dxa"/>
            <w:vMerge w:val="continue"/>
            <w:vAlign w:val="center"/>
          </w:tcPr>
          <w:p w14:paraId="2F8A03AF">
            <w:pPr>
              <w:keepNext w:val="0"/>
              <w:keepLines w:val="0"/>
              <w:pageBreakBefore w:val="0"/>
              <w:kinsoku/>
              <w:wordWrap/>
              <w:overflowPunct w:val="0"/>
              <w:topLinePunct/>
              <w:bidi w:val="0"/>
              <w:spacing w:line="360" w:lineRule="auto"/>
              <w:jc w:val="center"/>
              <w:rPr>
                <w:rFonts w:hint="default" w:ascii="宋体" w:hAnsi="宋体" w:eastAsia="宋体" w:cs="仿宋"/>
                <w:sz w:val="24"/>
                <w:highlight w:val="none"/>
                <w:lang w:val="en-US" w:eastAsia="zh-CN"/>
              </w:rPr>
            </w:pPr>
          </w:p>
        </w:tc>
        <w:tc>
          <w:tcPr>
            <w:tcW w:w="1968" w:type="dxa"/>
            <w:shd w:val="clear" w:color="auto" w:fill="auto"/>
            <w:vAlign w:val="center"/>
          </w:tcPr>
          <w:p w14:paraId="231A1C67">
            <w:pPr>
              <w:keepNext w:val="0"/>
              <w:keepLines w:val="0"/>
              <w:pageBreakBefore w:val="0"/>
              <w:kinsoku/>
              <w:wordWrap/>
              <w:overflowPunct w:val="0"/>
              <w:topLinePunct/>
              <w:bidi w:val="0"/>
              <w:spacing w:line="360" w:lineRule="auto"/>
              <w:jc w:val="center"/>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成立年限</w:t>
            </w:r>
          </w:p>
        </w:tc>
        <w:tc>
          <w:tcPr>
            <w:tcW w:w="959" w:type="dxa"/>
            <w:shd w:val="clear" w:color="auto" w:fill="auto"/>
            <w:vAlign w:val="center"/>
          </w:tcPr>
          <w:p w14:paraId="4E654C1A">
            <w:pPr>
              <w:keepNext w:val="0"/>
              <w:keepLines w:val="0"/>
              <w:pageBreakBefore w:val="0"/>
              <w:kinsoku/>
              <w:wordWrap/>
              <w:overflowPunct w:val="0"/>
              <w:topLinePunct/>
              <w:bidi w:val="0"/>
              <w:spacing w:line="360" w:lineRule="auto"/>
              <w:jc w:val="center"/>
              <w:rPr>
                <w:rFonts w:hint="default" w:ascii="宋体" w:hAnsi="宋体" w:cs="仿宋"/>
                <w:sz w:val="24"/>
                <w:highlight w:val="none"/>
                <w:lang w:val="en-US" w:eastAsia="zh-CN"/>
              </w:rPr>
            </w:pPr>
            <w:r>
              <w:rPr>
                <w:rFonts w:hint="eastAsia" w:ascii="宋体" w:hAnsi="宋体" w:cs="仿宋"/>
                <w:sz w:val="24"/>
                <w:highlight w:val="none"/>
                <w:lang w:val="en-US" w:eastAsia="zh-CN"/>
              </w:rPr>
              <w:t>5分</w:t>
            </w:r>
          </w:p>
        </w:tc>
        <w:tc>
          <w:tcPr>
            <w:tcW w:w="6223" w:type="dxa"/>
            <w:vAlign w:val="top"/>
          </w:tcPr>
          <w:p w14:paraId="6FAA2AE4">
            <w:pPr>
              <w:keepNext w:val="0"/>
              <w:keepLines w:val="0"/>
              <w:pageBreakBefore w:val="0"/>
              <w:kinsoku/>
              <w:wordWrap/>
              <w:overflowPunct w:val="0"/>
              <w:topLinePunct/>
              <w:bidi w:val="0"/>
              <w:spacing w:line="360" w:lineRule="auto"/>
              <w:jc w:val="left"/>
              <w:rPr>
                <w:rFonts w:hint="eastAsia" w:ascii="宋体" w:hAnsi="宋体" w:eastAsia="宋体" w:cs="宋体"/>
                <w:kern w:val="4"/>
                <w:sz w:val="24"/>
                <w:highlight w:val="none"/>
                <w:lang w:eastAsia="zh-CN"/>
              </w:rPr>
            </w:pPr>
            <w:r>
              <w:rPr>
                <w:rFonts w:hint="eastAsia" w:ascii="宋体" w:hAnsi="宋体" w:cs="宋体"/>
                <w:kern w:val="4"/>
                <w:sz w:val="24"/>
                <w:highlight w:val="none"/>
              </w:rPr>
              <w:t>参选单位</w:t>
            </w:r>
            <w:r>
              <w:rPr>
                <w:rFonts w:hint="eastAsia" w:ascii="宋体" w:hAnsi="宋体" w:cs="宋体"/>
                <w:kern w:val="4"/>
                <w:sz w:val="24"/>
                <w:highlight w:val="none"/>
                <w:lang w:eastAsia="zh-CN"/>
              </w:rPr>
              <w:t>的</w:t>
            </w:r>
            <w:r>
              <w:rPr>
                <w:rFonts w:hint="eastAsia" w:ascii="宋体" w:hAnsi="宋体" w:cs="宋体"/>
                <w:kern w:val="4"/>
                <w:sz w:val="24"/>
                <w:highlight w:val="none"/>
                <w:lang w:val="en-US" w:eastAsia="zh-CN"/>
              </w:rPr>
              <w:t>成立年限</w:t>
            </w:r>
            <w:r>
              <w:rPr>
                <w:rFonts w:hint="eastAsia" w:ascii="宋体" w:hAnsi="宋体" w:cs="宋体"/>
                <w:kern w:val="4"/>
                <w:sz w:val="24"/>
                <w:highlight w:val="none"/>
                <w:lang w:eastAsia="zh-Hans"/>
              </w:rPr>
              <w:t>，</w:t>
            </w:r>
            <w:r>
              <w:rPr>
                <w:rFonts w:hint="eastAsia" w:ascii="宋体" w:hAnsi="宋体" w:cs="宋体"/>
                <w:kern w:val="4"/>
                <w:sz w:val="24"/>
                <w:highlight w:val="none"/>
                <w:lang w:val="en-US" w:eastAsia="zh-CN"/>
              </w:rPr>
              <w:t>成立五年</w:t>
            </w:r>
            <w:r>
              <w:rPr>
                <w:rFonts w:hint="eastAsia" w:ascii="宋体" w:hAnsi="宋体" w:cs="宋体"/>
                <w:kern w:val="4"/>
                <w:sz w:val="24"/>
                <w:highlight w:val="none"/>
                <w:lang w:eastAsia="zh-Hans"/>
              </w:rPr>
              <w:t>以下</w:t>
            </w:r>
            <w:r>
              <w:rPr>
                <w:rFonts w:hint="eastAsia" w:ascii="宋体" w:hAnsi="宋体" w:cs="宋体"/>
                <w:kern w:val="4"/>
                <w:sz w:val="24"/>
                <w:highlight w:val="none"/>
                <w:lang w:eastAsia="zh-CN"/>
              </w:rPr>
              <w:t>的，</w:t>
            </w:r>
            <w:r>
              <w:rPr>
                <w:rFonts w:hint="eastAsia" w:ascii="宋体" w:hAnsi="宋体" w:cs="宋体"/>
                <w:kern w:val="4"/>
                <w:sz w:val="24"/>
                <w:highlight w:val="none"/>
                <w:lang w:eastAsia="zh-Hans"/>
              </w:rPr>
              <w:t>得</w:t>
            </w:r>
            <w:r>
              <w:rPr>
                <w:rFonts w:hint="eastAsia" w:ascii="宋体" w:hAnsi="宋体" w:cs="宋体"/>
                <w:kern w:val="4"/>
                <w:sz w:val="24"/>
                <w:highlight w:val="none"/>
                <w:lang w:val="en-US" w:eastAsia="zh-CN"/>
              </w:rPr>
              <w:t>1</w:t>
            </w:r>
            <w:r>
              <w:rPr>
                <w:rFonts w:hint="eastAsia" w:ascii="宋体" w:hAnsi="宋体" w:cs="宋体"/>
                <w:kern w:val="4"/>
                <w:sz w:val="24"/>
                <w:highlight w:val="none"/>
                <w:lang w:eastAsia="zh-Hans"/>
              </w:rPr>
              <w:t>分</w:t>
            </w:r>
            <w:r>
              <w:rPr>
                <w:rFonts w:hint="eastAsia" w:ascii="宋体" w:hAnsi="宋体" w:eastAsia="宋体" w:cs="宋体"/>
                <w:kern w:val="4"/>
                <w:sz w:val="24"/>
                <w:highlight w:val="none"/>
                <w:lang w:eastAsia="zh-CN"/>
              </w:rPr>
              <w:t>；</w:t>
            </w:r>
            <w:r>
              <w:rPr>
                <w:rFonts w:hint="eastAsia" w:ascii="宋体" w:hAnsi="宋体" w:cs="宋体"/>
                <w:kern w:val="4"/>
                <w:sz w:val="24"/>
                <w:highlight w:val="none"/>
                <w:lang w:val="en-US" w:eastAsia="zh-CN"/>
              </w:rPr>
              <w:t>五年</w:t>
            </w:r>
            <w:r>
              <w:rPr>
                <w:rFonts w:hint="eastAsia" w:ascii="宋体" w:hAnsi="宋体" w:cs="宋体"/>
                <w:kern w:val="4"/>
                <w:sz w:val="24"/>
                <w:highlight w:val="none"/>
                <w:lang w:eastAsia="zh-Hans"/>
              </w:rPr>
              <w:t>（含）以上</w:t>
            </w:r>
            <w:r>
              <w:rPr>
                <w:rFonts w:hint="eastAsia" w:ascii="宋体" w:hAnsi="宋体" w:eastAsia="宋体" w:cs="宋体"/>
                <w:kern w:val="4"/>
                <w:sz w:val="24"/>
                <w:highlight w:val="none"/>
                <w:lang w:eastAsia="zh-CN"/>
              </w:rPr>
              <w:t>，</w:t>
            </w:r>
            <w:r>
              <w:rPr>
                <w:rFonts w:hint="eastAsia" w:ascii="宋体" w:hAnsi="宋体" w:cs="宋体"/>
                <w:kern w:val="4"/>
                <w:sz w:val="24"/>
                <w:highlight w:val="none"/>
                <w:lang w:val="en-US" w:eastAsia="zh-CN"/>
              </w:rPr>
              <w:t>十年</w:t>
            </w:r>
            <w:r>
              <w:rPr>
                <w:rFonts w:hint="eastAsia" w:ascii="宋体" w:hAnsi="宋体" w:cs="宋体"/>
                <w:kern w:val="4"/>
                <w:sz w:val="24"/>
                <w:highlight w:val="none"/>
                <w:lang w:eastAsia="zh-Hans"/>
              </w:rPr>
              <w:t>以下</w:t>
            </w:r>
            <w:r>
              <w:rPr>
                <w:rFonts w:hint="eastAsia" w:ascii="宋体" w:hAnsi="宋体" w:cs="宋体"/>
                <w:kern w:val="4"/>
                <w:sz w:val="24"/>
                <w:highlight w:val="none"/>
                <w:lang w:eastAsia="zh-CN"/>
              </w:rPr>
              <w:t>的，</w:t>
            </w:r>
            <w:r>
              <w:rPr>
                <w:rFonts w:hint="eastAsia" w:ascii="宋体" w:hAnsi="宋体" w:cs="宋体"/>
                <w:kern w:val="4"/>
                <w:sz w:val="24"/>
                <w:highlight w:val="none"/>
                <w:lang w:eastAsia="zh-Hans"/>
              </w:rPr>
              <w:t>得</w:t>
            </w:r>
            <w:r>
              <w:rPr>
                <w:rFonts w:hint="eastAsia" w:ascii="宋体" w:hAnsi="宋体" w:cs="宋体"/>
                <w:kern w:val="4"/>
                <w:sz w:val="24"/>
                <w:highlight w:val="none"/>
                <w:lang w:val="en-US" w:eastAsia="zh-CN"/>
              </w:rPr>
              <w:t>3</w:t>
            </w:r>
            <w:r>
              <w:rPr>
                <w:rFonts w:hint="eastAsia" w:ascii="宋体" w:hAnsi="宋体" w:cs="宋体"/>
                <w:kern w:val="4"/>
                <w:sz w:val="24"/>
                <w:highlight w:val="none"/>
                <w:lang w:eastAsia="zh-Hans"/>
              </w:rPr>
              <w:t>分</w:t>
            </w:r>
            <w:r>
              <w:rPr>
                <w:rFonts w:hint="eastAsia" w:ascii="宋体" w:hAnsi="宋体" w:eastAsia="宋体" w:cs="宋体"/>
                <w:kern w:val="4"/>
                <w:sz w:val="24"/>
                <w:highlight w:val="none"/>
                <w:lang w:eastAsia="zh-CN"/>
              </w:rPr>
              <w:t>；</w:t>
            </w:r>
            <w:r>
              <w:rPr>
                <w:rFonts w:hint="eastAsia" w:ascii="宋体" w:hAnsi="宋体" w:cs="宋体"/>
                <w:kern w:val="4"/>
                <w:sz w:val="24"/>
                <w:highlight w:val="none"/>
                <w:lang w:val="en-US" w:eastAsia="zh-CN"/>
              </w:rPr>
              <w:t>十年（含</w:t>
            </w:r>
            <w:r>
              <w:rPr>
                <w:rFonts w:hint="eastAsia" w:ascii="宋体" w:hAnsi="宋体" w:cs="宋体"/>
                <w:kern w:val="4"/>
                <w:sz w:val="24"/>
                <w:highlight w:val="none"/>
                <w:lang w:eastAsia="zh-CN"/>
              </w:rPr>
              <w:t>）</w:t>
            </w:r>
            <w:r>
              <w:rPr>
                <w:rFonts w:hint="eastAsia" w:ascii="宋体" w:hAnsi="宋体" w:cs="宋体"/>
                <w:kern w:val="4"/>
                <w:sz w:val="24"/>
                <w:highlight w:val="none"/>
                <w:lang w:eastAsia="zh-Hans"/>
              </w:rPr>
              <w:t>以上</w:t>
            </w:r>
            <w:r>
              <w:rPr>
                <w:rFonts w:hint="eastAsia" w:ascii="宋体" w:hAnsi="宋体" w:eastAsia="宋体" w:cs="宋体"/>
                <w:kern w:val="4"/>
                <w:sz w:val="24"/>
                <w:highlight w:val="none"/>
                <w:lang w:eastAsia="zh-CN"/>
              </w:rPr>
              <w:t>的，</w:t>
            </w:r>
            <w:r>
              <w:rPr>
                <w:rFonts w:hint="eastAsia" w:ascii="宋体" w:hAnsi="宋体" w:cs="宋体"/>
                <w:kern w:val="4"/>
                <w:sz w:val="24"/>
                <w:highlight w:val="none"/>
                <w:lang w:eastAsia="zh-Hans"/>
              </w:rPr>
              <w:t>得</w:t>
            </w:r>
            <w:r>
              <w:rPr>
                <w:rFonts w:hint="eastAsia" w:ascii="宋体" w:hAnsi="宋体" w:cs="宋体"/>
                <w:kern w:val="4"/>
                <w:sz w:val="24"/>
                <w:highlight w:val="none"/>
                <w:lang w:val="en-US" w:eastAsia="zh-CN"/>
              </w:rPr>
              <w:t>5</w:t>
            </w:r>
            <w:r>
              <w:rPr>
                <w:rFonts w:hint="eastAsia" w:ascii="宋体" w:hAnsi="宋体" w:cs="宋体"/>
                <w:kern w:val="4"/>
                <w:sz w:val="24"/>
                <w:highlight w:val="none"/>
                <w:lang w:eastAsia="zh-Hans"/>
              </w:rPr>
              <w:t>分</w:t>
            </w:r>
            <w:r>
              <w:rPr>
                <w:rFonts w:hint="eastAsia" w:ascii="宋体" w:hAnsi="宋体" w:eastAsia="宋体" w:cs="宋体"/>
                <w:kern w:val="4"/>
                <w:sz w:val="24"/>
                <w:highlight w:val="none"/>
                <w:lang w:eastAsia="zh-CN"/>
              </w:rPr>
              <w:t>。</w:t>
            </w:r>
          </w:p>
          <w:p w14:paraId="4498A064">
            <w:pPr>
              <w:keepNext w:val="0"/>
              <w:keepLines w:val="0"/>
              <w:pageBreakBefore w:val="0"/>
              <w:kinsoku/>
              <w:wordWrap/>
              <w:overflowPunct w:val="0"/>
              <w:topLinePunct/>
              <w:bidi w:val="0"/>
              <w:spacing w:line="360" w:lineRule="auto"/>
              <w:jc w:val="left"/>
              <w:rPr>
                <w:rFonts w:hint="eastAsia" w:ascii="宋体" w:hAnsi="宋体" w:cs="宋体"/>
                <w:kern w:val="4"/>
                <w:sz w:val="24"/>
                <w:highlight w:val="none"/>
              </w:rPr>
            </w:pPr>
            <w:r>
              <w:rPr>
                <w:rFonts w:hint="eastAsia" w:ascii="宋体" w:hAnsi="宋体" w:cs="宋体"/>
                <w:b/>
                <w:bCs/>
                <w:kern w:val="4"/>
                <w:sz w:val="24"/>
                <w:highlight w:val="none"/>
              </w:rPr>
              <w:t>注：</w:t>
            </w:r>
            <w:r>
              <w:rPr>
                <w:rFonts w:hint="eastAsia" w:ascii="宋体" w:hAnsi="宋体" w:cs="宋体"/>
                <w:b/>
                <w:bCs/>
                <w:kern w:val="4"/>
                <w:sz w:val="24"/>
                <w:highlight w:val="none"/>
                <w:lang w:val="en-US" w:eastAsia="zh-CN"/>
              </w:rPr>
              <w:t>参选</w:t>
            </w:r>
            <w:r>
              <w:rPr>
                <w:rFonts w:hint="eastAsia" w:ascii="宋体" w:hAnsi="宋体" w:cs="宋体"/>
                <w:b/>
                <w:bCs/>
                <w:kern w:val="4"/>
                <w:sz w:val="24"/>
                <w:highlight w:val="none"/>
              </w:rPr>
              <w:t>文件</w:t>
            </w:r>
            <w:r>
              <w:rPr>
                <w:rFonts w:hint="eastAsia" w:ascii="宋体" w:hAnsi="宋体" w:cs="宋体"/>
                <w:b/>
                <w:bCs/>
                <w:kern w:val="4"/>
                <w:sz w:val="24"/>
                <w:highlight w:val="none"/>
                <w:lang w:eastAsia="zh-Hans"/>
              </w:rPr>
              <w:t>中须附</w:t>
            </w:r>
            <w:r>
              <w:rPr>
                <w:rFonts w:hint="eastAsia" w:ascii="宋体" w:hAnsi="宋体" w:cs="宋体"/>
                <w:b/>
                <w:bCs/>
                <w:kern w:val="4"/>
                <w:sz w:val="24"/>
                <w:highlight w:val="none"/>
                <w:lang w:val="en-US" w:eastAsia="zh-CN"/>
              </w:rPr>
              <w:t>营业执照</w:t>
            </w:r>
            <w:r>
              <w:rPr>
                <w:rFonts w:hint="eastAsia" w:ascii="宋体" w:hAnsi="宋体" w:cs="宋体"/>
                <w:b/>
                <w:bCs/>
                <w:kern w:val="4"/>
                <w:sz w:val="24"/>
                <w:highlight w:val="none"/>
                <w:lang w:eastAsia="zh-Hans"/>
              </w:rPr>
              <w:t>复印件，未按要求提供或提供不全或无法认定的不得分。</w:t>
            </w:r>
          </w:p>
        </w:tc>
      </w:tr>
      <w:tr w14:paraId="62AC1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6" w:hRule="atLeast"/>
        </w:trPr>
        <w:tc>
          <w:tcPr>
            <w:tcW w:w="675" w:type="dxa"/>
            <w:vMerge w:val="restart"/>
            <w:vAlign w:val="center"/>
          </w:tcPr>
          <w:p w14:paraId="6B2C653F">
            <w:pPr>
              <w:keepNext w:val="0"/>
              <w:keepLines w:val="0"/>
              <w:pageBreakBefore w:val="0"/>
              <w:kinsoku/>
              <w:wordWrap/>
              <w:overflowPunct w:val="0"/>
              <w:topLinePunct/>
              <w:bidi w:val="0"/>
              <w:spacing w:line="360" w:lineRule="auto"/>
              <w:jc w:val="center"/>
              <w:rPr>
                <w:rFonts w:hint="default" w:ascii="宋体" w:hAnsi="宋体" w:eastAsia="宋体" w:cs="仿宋"/>
                <w:sz w:val="24"/>
                <w:highlight w:val="none"/>
                <w:lang w:val="en-US" w:eastAsia="zh-CN"/>
              </w:rPr>
            </w:pPr>
            <w:r>
              <w:rPr>
                <w:rFonts w:hint="eastAsia" w:ascii="宋体" w:hAnsi="宋体" w:eastAsia="宋体" w:cs="仿宋"/>
                <w:sz w:val="24"/>
                <w:highlight w:val="none"/>
                <w:lang w:val="en-US" w:eastAsia="zh-CN"/>
              </w:rPr>
              <w:t>技术部分</w:t>
            </w:r>
          </w:p>
        </w:tc>
        <w:tc>
          <w:tcPr>
            <w:tcW w:w="1968" w:type="dxa"/>
            <w:shd w:val="clear" w:color="auto" w:fill="auto"/>
            <w:vAlign w:val="center"/>
          </w:tcPr>
          <w:p w14:paraId="4B6D865A">
            <w:pPr>
              <w:keepNext w:val="0"/>
              <w:keepLines w:val="0"/>
              <w:pageBreakBefore w:val="0"/>
              <w:kinsoku/>
              <w:wordWrap/>
              <w:overflowPunct w:val="0"/>
              <w:topLinePunct/>
              <w:bidi w:val="0"/>
              <w:spacing w:line="360" w:lineRule="auto"/>
              <w:jc w:val="center"/>
              <w:rPr>
                <w:rFonts w:hint="eastAsia" w:ascii="宋体" w:hAnsi="宋体" w:cs="宋体"/>
                <w:sz w:val="24"/>
                <w:highlight w:val="none"/>
              </w:rPr>
            </w:pPr>
            <w:r>
              <w:rPr>
                <w:rFonts w:hint="eastAsia" w:ascii="宋体" w:hAnsi="宋体" w:cs="宋体"/>
                <w:sz w:val="24"/>
                <w:highlight w:val="none"/>
              </w:rPr>
              <w:t>硬件设施保障</w:t>
            </w:r>
          </w:p>
        </w:tc>
        <w:tc>
          <w:tcPr>
            <w:tcW w:w="959" w:type="dxa"/>
            <w:shd w:val="clear" w:color="auto" w:fill="auto"/>
            <w:vAlign w:val="center"/>
          </w:tcPr>
          <w:p w14:paraId="049414AB">
            <w:pPr>
              <w:keepNext w:val="0"/>
              <w:keepLines w:val="0"/>
              <w:pageBreakBefore w:val="0"/>
              <w:kinsoku/>
              <w:wordWrap/>
              <w:overflowPunct w:val="0"/>
              <w:topLinePunct/>
              <w:bidi w:val="0"/>
              <w:spacing w:line="360" w:lineRule="auto"/>
              <w:jc w:val="center"/>
              <w:rPr>
                <w:rFonts w:hint="default" w:ascii="宋体" w:hAnsi="宋体" w:cs="仿宋"/>
                <w:sz w:val="24"/>
                <w:highlight w:val="none"/>
                <w:lang w:val="en-US" w:eastAsia="zh-CN"/>
              </w:rPr>
            </w:pPr>
            <w:r>
              <w:rPr>
                <w:rFonts w:hint="eastAsia" w:ascii="宋体" w:hAnsi="宋体" w:cs="仿宋"/>
                <w:sz w:val="24"/>
                <w:highlight w:val="none"/>
                <w:lang w:val="en-US" w:eastAsia="zh-CN"/>
              </w:rPr>
              <w:t>11分</w:t>
            </w:r>
          </w:p>
        </w:tc>
        <w:tc>
          <w:tcPr>
            <w:tcW w:w="6223" w:type="dxa"/>
            <w:vAlign w:val="top"/>
          </w:tcPr>
          <w:p w14:paraId="67FA193B">
            <w:pPr>
              <w:keepNext w:val="0"/>
              <w:keepLines w:val="0"/>
              <w:pageBreakBefore w:val="0"/>
              <w:kinsoku/>
              <w:wordWrap/>
              <w:overflowPunct w:val="0"/>
              <w:topLinePunct/>
              <w:bidi w:val="0"/>
              <w:spacing w:line="360" w:lineRule="auto"/>
              <w:jc w:val="left"/>
              <w:rPr>
                <w:rFonts w:ascii="宋体" w:hAnsi="宋体" w:cs="宋体"/>
                <w:sz w:val="24"/>
                <w:highlight w:val="none"/>
                <w:lang w:eastAsia="zh-Hans"/>
              </w:rPr>
            </w:pPr>
            <w:r>
              <w:rPr>
                <w:rFonts w:hint="eastAsia" w:ascii="宋体" w:hAnsi="宋体" w:cs="宋体"/>
                <w:sz w:val="24"/>
                <w:highlight w:val="none"/>
                <w:lang w:eastAsia="zh-Hans"/>
              </w:rPr>
              <w:t>1</w:t>
            </w:r>
            <w:r>
              <w:rPr>
                <w:rFonts w:hint="eastAsia" w:ascii="宋体" w:hAnsi="宋体" w:eastAsia="宋体" w:cs="宋体"/>
                <w:sz w:val="24"/>
                <w:highlight w:val="none"/>
                <w:lang w:val="en-US" w:eastAsia="zh-CN"/>
              </w:rPr>
              <w:t>.</w:t>
            </w:r>
            <w:r>
              <w:rPr>
                <w:rFonts w:hint="eastAsia" w:ascii="宋体" w:hAnsi="宋体" w:cs="宋体"/>
                <w:sz w:val="24"/>
                <w:highlight w:val="none"/>
              </w:rPr>
              <w:t>参选单位</w:t>
            </w:r>
            <w:r>
              <w:rPr>
                <w:rFonts w:hint="eastAsia" w:ascii="宋体" w:hAnsi="宋体" w:cs="宋体"/>
                <w:sz w:val="24"/>
                <w:highlight w:val="none"/>
                <w:lang w:eastAsia="zh-Hans"/>
              </w:rPr>
              <w:t>具备独立的办公场所，具备独立的开标室、评标室等条件，办公面积</w:t>
            </w:r>
            <w:r>
              <w:rPr>
                <w:rFonts w:hint="eastAsia" w:ascii="宋体" w:hAnsi="宋体" w:cs="宋体"/>
                <w:sz w:val="24"/>
                <w:highlight w:val="none"/>
                <w:lang w:val="en-US" w:eastAsia="zh-CN"/>
              </w:rPr>
              <w:t>500</w:t>
            </w:r>
            <w:r>
              <w:rPr>
                <w:rFonts w:hint="eastAsia" w:ascii="宋体" w:hAnsi="宋体" w:cs="宋体"/>
                <w:sz w:val="24"/>
                <w:highlight w:val="none"/>
                <w:lang w:eastAsia="zh-Hans"/>
              </w:rPr>
              <w:t>㎡（含）以上</w:t>
            </w:r>
            <w:r>
              <w:rPr>
                <w:rFonts w:ascii="宋体" w:hAnsi="宋体" w:cs="宋体"/>
                <w:sz w:val="24"/>
                <w:highlight w:val="none"/>
                <w:lang w:eastAsia="zh-Hans"/>
              </w:rPr>
              <w:t>1</w:t>
            </w:r>
            <w:r>
              <w:rPr>
                <w:rFonts w:hint="eastAsia" w:ascii="宋体" w:hAnsi="宋体" w:cs="宋体"/>
                <w:sz w:val="24"/>
                <w:highlight w:val="none"/>
                <w:lang w:val="en-US" w:eastAsia="zh-CN"/>
              </w:rPr>
              <w:t>5</w:t>
            </w:r>
            <w:r>
              <w:rPr>
                <w:rFonts w:hint="eastAsia" w:ascii="宋体" w:hAnsi="宋体" w:cs="宋体"/>
                <w:sz w:val="24"/>
                <w:highlight w:val="none"/>
                <w:lang w:eastAsia="zh-Hans"/>
              </w:rPr>
              <w:t>00㎡以下得</w:t>
            </w:r>
            <w:r>
              <w:rPr>
                <w:rFonts w:hint="eastAsia" w:ascii="宋体" w:hAnsi="宋体" w:eastAsia="宋体" w:cs="宋体"/>
                <w:sz w:val="24"/>
                <w:highlight w:val="none"/>
                <w:lang w:val="en-US" w:eastAsia="zh-CN"/>
              </w:rPr>
              <w:t>2</w:t>
            </w:r>
            <w:r>
              <w:rPr>
                <w:rFonts w:hint="eastAsia" w:ascii="宋体" w:hAnsi="宋体" w:cs="宋体"/>
                <w:sz w:val="24"/>
                <w:highlight w:val="none"/>
                <w:lang w:eastAsia="zh-Hans"/>
              </w:rPr>
              <w:t>分，</w:t>
            </w:r>
            <w:r>
              <w:rPr>
                <w:rFonts w:ascii="宋体" w:hAnsi="宋体" w:cs="宋体"/>
                <w:sz w:val="24"/>
                <w:highlight w:val="none"/>
                <w:lang w:eastAsia="zh-Hans"/>
              </w:rPr>
              <w:t>1</w:t>
            </w:r>
            <w:r>
              <w:rPr>
                <w:rFonts w:hint="eastAsia" w:ascii="宋体" w:hAnsi="宋体" w:cs="宋体"/>
                <w:sz w:val="24"/>
                <w:highlight w:val="none"/>
                <w:lang w:val="en-US" w:eastAsia="zh-CN"/>
              </w:rPr>
              <w:t>5</w:t>
            </w:r>
            <w:r>
              <w:rPr>
                <w:rFonts w:hint="eastAsia" w:ascii="宋体" w:hAnsi="宋体" w:cs="宋体"/>
                <w:sz w:val="24"/>
                <w:highlight w:val="none"/>
                <w:lang w:eastAsia="zh-Hans"/>
              </w:rPr>
              <w:t>00㎡（含）以上</w:t>
            </w:r>
            <w:r>
              <w:rPr>
                <w:rFonts w:hint="eastAsia" w:ascii="宋体" w:hAnsi="宋体" w:cs="宋体"/>
                <w:sz w:val="24"/>
                <w:highlight w:val="none"/>
                <w:lang w:val="en-US" w:eastAsia="zh-CN"/>
              </w:rPr>
              <w:t>25</w:t>
            </w:r>
            <w:r>
              <w:rPr>
                <w:rFonts w:hint="eastAsia" w:ascii="宋体" w:hAnsi="宋体" w:cs="宋体"/>
                <w:sz w:val="24"/>
                <w:highlight w:val="none"/>
                <w:lang w:eastAsia="zh-Hans"/>
              </w:rPr>
              <w:t>00㎡以下得</w:t>
            </w:r>
            <w:r>
              <w:rPr>
                <w:rFonts w:hint="eastAsia" w:ascii="宋体" w:hAnsi="宋体" w:eastAsia="宋体" w:cs="宋体"/>
                <w:sz w:val="24"/>
                <w:highlight w:val="none"/>
                <w:lang w:val="en-US" w:eastAsia="zh-CN"/>
              </w:rPr>
              <w:t>4</w:t>
            </w:r>
            <w:r>
              <w:rPr>
                <w:rFonts w:hint="eastAsia" w:ascii="宋体" w:hAnsi="宋体" w:cs="宋体"/>
                <w:sz w:val="24"/>
                <w:highlight w:val="none"/>
                <w:lang w:eastAsia="zh-Hans"/>
              </w:rPr>
              <w:t>分，</w:t>
            </w:r>
            <w:r>
              <w:rPr>
                <w:rFonts w:hint="eastAsia" w:ascii="宋体" w:hAnsi="宋体" w:cs="宋体"/>
                <w:sz w:val="24"/>
                <w:highlight w:val="none"/>
                <w:lang w:val="en-US" w:eastAsia="zh-CN"/>
              </w:rPr>
              <w:t>25</w:t>
            </w:r>
            <w:r>
              <w:rPr>
                <w:rFonts w:hint="eastAsia" w:ascii="宋体" w:hAnsi="宋体" w:cs="宋体"/>
                <w:sz w:val="24"/>
                <w:highlight w:val="none"/>
                <w:lang w:eastAsia="zh-Hans"/>
              </w:rPr>
              <w:t>00㎡</w:t>
            </w:r>
            <w:r>
              <w:rPr>
                <w:rFonts w:hint="eastAsia" w:ascii="宋体" w:hAnsi="宋体" w:cs="宋体"/>
                <w:sz w:val="24"/>
                <w:highlight w:val="none"/>
                <w:lang w:eastAsia="zh-CN"/>
              </w:rPr>
              <w:t>（</w:t>
            </w:r>
            <w:r>
              <w:rPr>
                <w:rFonts w:hint="eastAsia" w:ascii="宋体" w:hAnsi="宋体" w:cs="宋体"/>
                <w:sz w:val="24"/>
                <w:highlight w:val="none"/>
                <w:lang w:val="en-US" w:eastAsia="zh-CN"/>
              </w:rPr>
              <w:t>含</w:t>
            </w:r>
            <w:r>
              <w:rPr>
                <w:rFonts w:hint="eastAsia" w:ascii="宋体" w:hAnsi="宋体" w:cs="宋体"/>
                <w:sz w:val="24"/>
                <w:highlight w:val="none"/>
                <w:lang w:eastAsia="zh-CN"/>
              </w:rPr>
              <w:t>）</w:t>
            </w:r>
            <w:r>
              <w:rPr>
                <w:rFonts w:hint="eastAsia" w:ascii="宋体" w:hAnsi="宋体" w:cs="宋体"/>
                <w:sz w:val="24"/>
                <w:highlight w:val="none"/>
                <w:lang w:eastAsia="zh-Hans"/>
              </w:rPr>
              <w:t>以上得</w:t>
            </w:r>
            <w:r>
              <w:rPr>
                <w:rFonts w:hint="eastAsia" w:ascii="宋体" w:hAnsi="宋体" w:eastAsia="宋体" w:cs="宋体"/>
                <w:sz w:val="24"/>
                <w:highlight w:val="none"/>
                <w:lang w:val="en-US" w:eastAsia="zh-CN"/>
              </w:rPr>
              <w:t>6</w:t>
            </w:r>
            <w:r>
              <w:rPr>
                <w:rFonts w:hint="eastAsia" w:ascii="宋体" w:hAnsi="宋体" w:cs="宋体"/>
                <w:sz w:val="24"/>
                <w:highlight w:val="none"/>
                <w:lang w:eastAsia="zh-Hans"/>
              </w:rPr>
              <w:t>分；</w:t>
            </w:r>
          </w:p>
          <w:p w14:paraId="411C66FA">
            <w:pPr>
              <w:keepNext w:val="0"/>
              <w:keepLines w:val="0"/>
              <w:pageBreakBefore w:val="0"/>
              <w:kinsoku/>
              <w:wordWrap/>
              <w:overflowPunct w:val="0"/>
              <w:topLinePunct/>
              <w:bidi w:val="0"/>
              <w:spacing w:line="360" w:lineRule="auto"/>
              <w:jc w:val="left"/>
              <w:rPr>
                <w:rFonts w:ascii="宋体" w:hAnsi="宋体" w:cs="宋体"/>
                <w:sz w:val="24"/>
                <w:highlight w:val="none"/>
                <w:lang w:eastAsia="zh-Hans"/>
              </w:rPr>
            </w:pPr>
            <w:r>
              <w:rPr>
                <w:rFonts w:hint="eastAsia" w:ascii="宋体" w:hAnsi="宋体" w:cs="宋体"/>
                <w:sz w:val="24"/>
                <w:highlight w:val="none"/>
                <w:lang w:eastAsia="zh-Hans"/>
              </w:rPr>
              <w:t>2.对</w:t>
            </w:r>
            <w:r>
              <w:rPr>
                <w:rFonts w:hint="eastAsia" w:ascii="宋体" w:hAnsi="宋体" w:cs="宋体"/>
                <w:sz w:val="24"/>
                <w:highlight w:val="none"/>
              </w:rPr>
              <w:t>参选单位</w:t>
            </w:r>
            <w:r>
              <w:rPr>
                <w:rFonts w:hint="eastAsia" w:ascii="宋体" w:hAnsi="宋体" w:cs="宋体"/>
                <w:sz w:val="24"/>
                <w:highlight w:val="none"/>
                <w:lang w:eastAsia="zh-Hans"/>
              </w:rPr>
              <w:t>提供的监控、摄像、车辆等专业设备配置，进行综合评价：</w:t>
            </w:r>
          </w:p>
          <w:p w14:paraId="7F9508F0">
            <w:pPr>
              <w:keepNext w:val="0"/>
              <w:keepLines w:val="0"/>
              <w:pageBreakBefore w:val="0"/>
              <w:kinsoku/>
              <w:wordWrap/>
              <w:overflowPunct w:val="0"/>
              <w:topLinePunct/>
              <w:bidi w:val="0"/>
              <w:spacing w:line="360" w:lineRule="auto"/>
              <w:jc w:val="left"/>
              <w:rPr>
                <w:rFonts w:ascii="宋体" w:hAnsi="宋体" w:cs="宋体"/>
                <w:sz w:val="24"/>
                <w:highlight w:val="none"/>
                <w:lang w:val="zh-CN" w:eastAsia="zh-Hans"/>
              </w:rPr>
            </w:pPr>
            <w:r>
              <w:rPr>
                <w:rFonts w:hint="eastAsia" w:ascii="宋体" w:hAnsi="宋体" w:cs="宋体"/>
                <w:sz w:val="24"/>
                <w:highlight w:val="none"/>
                <w:lang w:val="zh-CN" w:eastAsia="zh-Hans"/>
              </w:rPr>
              <w:t>A.监控、摄像、车辆等专业设备配置齐全，</w:t>
            </w:r>
            <w:r>
              <w:rPr>
                <w:rFonts w:hint="eastAsia" w:ascii="宋体" w:hAnsi="宋体" w:cs="宋体"/>
                <w:sz w:val="24"/>
                <w:highlight w:val="none"/>
              </w:rPr>
              <w:t>完全满足遴选要求</w:t>
            </w:r>
            <w:r>
              <w:rPr>
                <w:rFonts w:hint="eastAsia" w:ascii="宋体" w:hAnsi="宋体" w:cs="宋体"/>
                <w:sz w:val="24"/>
                <w:highlight w:val="none"/>
                <w:lang w:val="zh-CN" w:eastAsia="zh-Hans"/>
              </w:rPr>
              <w:t>的，得</w:t>
            </w:r>
            <w:r>
              <w:rPr>
                <w:rFonts w:hint="eastAsia" w:ascii="宋体" w:hAnsi="宋体" w:eastAsia="宋体" w:cs="宋体"/>
                <w:sz w:val="24"/>
                <w:highlight w:val="none"/>
                <w:lang w:val="en-US" w:eastAsia="zh-CN"/>
              </w:rPr>
              <w:t>3</w:t>
            </w:r>
            <w:r>
              <w:rPr>
                <w:rFonts w:hint="eastAsia" w:ascii="宋体" w:hAnsi="宋体" w:cs="宋体"/>
                <w:sz w:val="24"/>
                <w:highlight w:val="none"/>
              </w:rPr>
              <w:t>-</w:t>
            </w:r>
            <w:r>
              <w:rPr>
                <w:rFonts w:hint="eastAsia" w:ascii="宋体" w:hAnsi="宋体" w:eastAsia="宋体" w:cs="宋体"/>
                <w:sz w:val="24"/>
                <w:highlight w:val="none"/>
                <w:lang w:val="en-US" w:eastAsia="zh-CN"/>
              </w:rPr>
              <w:t>5</w:t>
            </w:r>
            <w:r>
              <w:rPr>
                <w:rFonts w:hint="eastAsia" w:ascii="宋体" w:hAnsi="宋体" w:cs="宋体"/>
                <w:sz w:val="24"/>
                <w:highlight w:val="none"/>
                <w:lang w:val="zh-CN" w:eastAsia="zh-Hans"/>
              </w:rPr>
              <w:t>分；</w:t>
            </w:r>
          </w:p>
          <w:p w14:paraId="62C47B7C">
            <w:pPr>
              <w:keepNext w:val="0"/>
              <w:keepLines w:val="0"/>
              <w:pageBreakBefore w:val="0"/>
              <w:kinsoku/>
              <w:wordWrap/>
              <w:overflowPunct w:val="0"/>
              <w:topLinePunct/>
              <w:bidi w:val="0"/>
              <w:spacing w:line="360" w:lineRule="auto"/>
              <w:jc w:val="left"/>
              <w:rPr>
                <w:rFonts w:ascii="宋体" w:hAnsi="宋体" w:cs="宋体"/>
                <w:sz w:val="24"/>
                <w:highlight w:val="none"/>
                <w:lang w:val="zh-CN" w:eastAsia="zh-Hans"/>
              </w:rPr>
            </w:pPr>
            <w:r>
              <w:rPr>
                <w:rFonts w:hint="eastAsia" w:ascii="宋体" w:hAnsi="宋体" w:cs="宋体"/>
                <w:sz w:val="24"/>
                <w:highlight w:val="none"/>
                <w:lang w:val="zh-CN" w:eastAsia="zh-Hans"/>
              </w:rPr>
              <w:t>B.监控、摄像、车辆等专业设备配置</w:t>
            </w:r>
            <w:r>
              <w:rPr>
                <w:rFonts w:hint="eastAsia" w:ascii="宋体" w:hAnsi="宋体" w:cs="宋体"/>
                <w:sz w:val="24"/>
                <w:highlight w:val="none"/>
              </w:rPr>
              <w:t>合理</w:t>
            </w:r>
            <w:r>
              <w:rPr>
                <w:rFonts w:hint="eastAsia" w:ascii="宋体" w:hAnsi="宋体" w:cs="宋体"/>
                <w:sz w:val="24"/>
                <w:highlight w:val="none"/>
                <w:lang w:val="zh-CN" w:eastAsia="zh-Hans"/>
              </w:rPr>
              <w:t>，</w:t>
            </w:r>
            <w:r>
              <w:rPr>
                <w:rFonts w:hint="eastAsia" w:ascii="宋体" w:hAnsi="宋体" w:cs="宋体"/>
                <w:sz w:val="24"/>
                <w:highlight w:val="none"/>
              </w:rPr>
              <w:t>基本满足遴选要求但存在问题的</w:t>
            </w:r>
            <w:r>
              <w:rPr>
                <w:rFonts w:hint="eastAsia" w:ascii="宋体" w:hAnsi="宋体" w:cs="宋体"/>
                <w:sz w:val="24"/>
                <w:highlight w:val="none"/>
                <w:lang w:val="zh-CN"/>
              </w:rPr>
              <w:t>，</w:t>
            </w:r>
            <w:r>
              <w:rPr>
                <w:rFonts w:hint="eastAsia" w:ascii="宋体" w:hAnsi="宋体" w:cs="宋体"/>
                <w:sz w:val="24"/>
                <w:highlight w:val="none"/>
                <w:lang w:val="zh-CN" w:eastAsia="zh-Hans"/>
              </w:rPr>
              <w:t>得</w:t>
            </w:r>
            <w:r>
              <w:rPr>
                <w:rFonts w:hint="eastAsia" w:ascii="宋体" w:hAnsi="宋体" w:eastAsia="宋体" w:cs="宋体"/>
                <w:sz w:val="24"/>
                <w:highlight w:val="none"/>
                <w:lang w:val="en-US" w:eastAsia="zh-CN"/>
              </w:rPr>
              <w:t>1</w:t>
            </w:r>
            <w:r>
              <w:rPr>
                <w:rFonts w:hint="eastAsia" w:ascii="宋体" w:hAnsi="宋体" w:cs="宋体"/>
                <w:sz w:val="24"/>
                <w:highlight w:val="none"/>
              </w:rPr>
              <w:t>-</w:t>
            </w:r>
            <w:r>
              <w:rPr>
                <w:rFonts w:hint="eastAsia" w:ascii="宋体" w:hAnsi="宋体" w:eastAsia="宋体" w:cs="宋体"/>
                <w:sz w:val="24"/>
                <w:highlight w:val="none"/>
                <w:lang w:val="en-US" w:eastAsia="zh-CN"/>
              </w:rPr>
              <w:t>3</w:t>
            </w:r>
            <w:r>
              <w:rPr>
                <w:rFonts w:hint="eastAsia" w:ascii="宋体" w:hAnsi="宋体" w:cs="宋体"/>
                <w:sz w:val="24"/>
                <w:highlight w:val="none"/>
                <w:lang w:val="zh-CN" w:eastAsia="zh-Hans"/>
              </w:rPr>
              <w:t>分；</w:t>
            </w:r>
          </w:p>
          <w:p w14:paraId="5CB3B538">
            <w:pPr>
              <w:keepNext w:val="0"/>
              <w:keepLines w:val="0"/>
              <w:pageBreakBefore w:val="0"/>
              <w:kinsoku/>
              <w:wordWrap/>
              <w:overflowPunct w:val="0"/>
              <w:topLinePunct/>
              <w:bidi w:val="0"/>
              <w:spacing w:line="360" w:lineRule="auto"/>
              <w:jc w:val="left"/>
              <w:rPr>
                <w:rFonts w:ascii="宋体" w:hAnsi="宋体" w:cs="宋体"/>
                <w:sz w:val="24"/>
                <w:highlight w:val="none"/>
              </w:rPr>
            </w:pPr>
            <w:r>
              <w:rPr>
                <w:rFonts w:hint="eastAsia" w:ascii="宋体" w:hAnsi="宋体" w:cs="宋体"/>
                <w:sz w:val="24"/>
                <w:highlight w:val="none"/>
                <w:lang w:val="zh-CN" w:eastAsia="zh-Hans"/>
              </w:rPr>
              <w:t>C.监控、摄像、车辆等专业设备配置</w:t>
            </w:r>
            <w:r>
              <w:rPr>
                <w:rFonts w:hint="eastAsia" w:ascii="宋体" w:hAnsi="宋体" w:cs="宋体"/>
                <w:sz w:val="24"/>
                <w:highlight w:val="none"/>
              </w:rPr>
              <w:t>缺失</w:t>
            </w:r>
            <w:r>
              <w:rPr>
                <w:rFonts w:hint="eastAsia" w:ascii="宋体" w:hAnsi="宋体" w:cs="宋体"/>
                <w:sz w:val="24"/>
                <w:highlight w:val="none"/>
                <w:lang w:val="zh-CN" w:eastAsia="zh-Hans"/>
              </w:rPr>
              <w:t>，</w:t>
            </w:r>
            <w:r>
              <w:rPr>
                <w:rFonts w:hint="eastAsia" w:ascii="宋体" w:hAnsi="宋体" w:cs="宋体"/>
                <w:sz w:val="24"/>
                <w:highlight w:val="none"/>
              </w:rPr>
              <w:t>无法满足遴选要求或</w:t>
            </w:r>
            <w:r>
              <w:rPr>
                <w:rFonts w:hint="eastAsia" w:ascii="宋体" w:hAnsi="宋体" w:cs="宋体"/>
                <w:sz w:val="24"/>
                <w:highlight w:val="none"/>
                <w:lang w:eastAsia="zh-Hans"/>
              </w:rPr>
              <w:t>未提供</w:t>
            </w:r>
            <w:r>
              <w:rPr>
                <w:rFonts w:hint="eastAsia" w:ascii="宋体" w:hAnsi="宋体" w:cs="宋体"/>
                <w:sz w:val="24"/>
                <w:highlight w:val="none"/>
              </w:rPr>
              <w:t>的</w:t>
            </w:r>
            <w:r>
              <w:rPr>
                <w:rFonts w:hint="eastAsia" w:ascii="宋体" w:hAnsi="宋体" w:cs="宋体"/>
                <w:sz w:val="24"/>
                <w:highlight w:val="none"/>
                <w:lang w:val="zh-CN"/>
              </w:rPr>
              <w:t>，</w:t>
            </w:r>
            <w:r>
              <w:rPr>
                <w:rFonts w:hint="eastAsia" w:ascii="宋体" w:hAnsi="宋体" w:cs="宋体"/>
                <w:sz w:val="24"/>
                <w:highlight w:val="none"/>
                <w:lang w:val="zh-CN" w:eastAsia="zh-Hans"/>
              </w:rPr>
              <w:t>得</w:t>
            </w:r>
            <w:r>
              <w:rPr>
                <w:rFonts w:hint="eastAsia" w:ascii="宋体" w:hAnsi="宋体" w:cs="宋体"/>
                <w:sz w:val="24"/>
                <w:highlight w:val="none"/>
              </w:rPr>
              <w:t>0-</w:t>
            </w:r>
            <w:r>
              <w:rPr>
                <w:rFonts w:hint="eastAsia" w:ascii="宋体" w:hAnsi="宋体" w:eastAsia="宋体" w:cs="宋体"/>
                <w:sz w:val="24"/>
                <w:highlight w:val="none"/>
                <w:lang w:val="en-US" w:eastAsia="zh-CN"/>
              </w:rPr>
              <w:t>1</w:t>
            </w:r>
            <w:r>
              <w:rPr>
                <w:rFonts w:hint="eastAsia" w:ascii="宋体" w:hAnsi="宋体" w:cs="宋体"/>
                <w:sz w:val="24"/>
                <w:highlight w:val="none"/>
                <w:lang w:val="zh-CN" w:eastAsia="zh-Hans"/>
              </w:rPr>
              <w:t>分；</w:t>
            </w:r>
          </w:p>
          <w:p w14:paraId="10AD80F2">
            <w:pPr>
              <w:keepNext w:val="0"/>
              <w:keepLines w:val="0"/>
              <w:pageBreakBefore w:val="0"/>
              <w:kinsoku/>
              <w:wordWrap/>
              <w:overflowPunct w:val="0"/>
              <w:topLinePunct/>
              <w:bidi w:val="0"/>
              <w:spacing w:line="360" w:lineRule="auto"/>
              <w:jc w:val="left"/>
              <w:rPr>
                <w:rFonts w:hint="eastAsia" w:ascii="宋体" w:hAnsi="宋体" w:cs="宋体"/>
                <w:b/>
                <w:bCs/>
                <w:sz w:val="24"/>
                <w:highlight w:val="none"/>
              </w:rPr>
            </w:pPr>
            <w:r>
              <w:rPr>
                <w:rFonts w:hint="eastAsia" w:ascii="宋体" w:hAnsi="宋体" w:cs="宋体"/>
                <w:b/>
                <w:bCs/>
                <w:sz w:val="24"/>
                <w:highlight w:val="none"/>
              </w:rPr>
              <w:t>注：</w:t>
            </w:r>
            <w:r>
              <w:rPr>
                <w:rFonts w:hint="eastAsia" w:ascii="宋体" w:hAnsi="宋体" w:eastAsia="宋体" w:cs="宋体"/>
                <w:b/>
                <w:bCs/>
                <w:sz w:val="24"/>
                <w:highlight w:val="none"/>
                <w:lang w:val="en-US" w:eastAsia="zh-CN"/>
              </w:rPr>
              <w:t>参选</w:t>
            </w:r>
            <w:r>
              <w:rPr>
                <w:rFonts w:hint="eastAsia" w:ascii="宋体" w:hAnsi="宋体" w:cs="宋体"/>
                <w:b/>
                <w:bCs/>
                <w:sz w:val="24"/>
                <w:highlight w:val="none"/>
              </w:rPr>
              <w:t>文件</w:t>
            </w:r>
            <w:r>
              <w:rPr>
                <w:rFonts w:hint="eastAsia" w:ascii="宋体" w:hAnsi="宋体" w:cs="宋体"/>
                <w:b/>
                <w:bCs/>
                <w:sz w:val="24"/>
                <w:highlight w:val="none"/>
                <w:lang w:eastAsia="zh-Hans"/>
              </w:rPr>
              <w:t>中须附办公场所房产证或租赁合同或房屋买卖合同的复印件及车辆所有权证明材料复印件，未按要求提供或提供不全或无法认定的不得分。</w:t>
            </w:r>
          </w:p>
        </w:tc>
      </w:tr>
      <w:tr w14:paraId="00EFD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6" w:hRule="atLeast"/>
        </w:trPr>
        <w:tc>
          <w:tcPr>
            <w:tcW w:w="675" w:type="dxa"/>
            <w:vMerge w:val="continue"/>
            <w:vAlign w:val="center"/>
          </w:tcPr>
          <w:p w14:paraId="44EB7028">
            <w:pPr>
              <w:keepNext w:val="0"/>
              <w:keepLines w:val="0"/>
              <w:pageBreakBefore w:val="0"/>
              <w:kinsoku/>
              <w:wordWrap/>
              <w:overflowPunct w:val="0"/>
              <w:topLinePunct/>
              <w:bidi w:val="0"/>
              <w:spacing w:line="360" w:lineRule="auto"/>
              <w:jc w:val="center"/>
              <w:rPr>
                <w:rFonts w:hint="default" w:ascii="宋体" w:hAnsi="宋体" w:eastAsia="宋体" w:cs="仿宋"/>
                <w:sz w:val="24"/>
                <w:highlight w:val="none"/>
                <w:lang w:val="en-US" w:eastAsia="zh-CN"/>
              </w:rPr>
            </w:pPr>
          </w:p>
        </w:tc>
        <w:tc>
          <w:tcPr>
            <w:tcW w:w="1968" w:type="dxa"/>
            <w:shd w:val="clear" w:color="auto" w:fill="auto"/>
            <w:vAlign w:val="center"/>
          </w:tcPr>
          <w:p w14:paraId="23AAD1E4">
            <w:pPr>
              <w:keepNext w:val="0"/>
              <w:keepLines w:val="0"/>
              <w:pageBreakBefore w:val="0"/>
              <w:kinsoku/>
              <w:wordWrap/>
              <w:overflowPunct w:val="0"/>
              <w:topLinePunct/>
              <w:bidi w:val="0"/>
              <w:spacing w:line="360" w:lineRule="auto"/>
              <w:jc w:val="center"/>
              <w:rPr>
                <w:rFonts w:hint="eastAsia" w:ascii="宋体" w:hAnsi="宋体" w:cs="宋体"/>
                <w:sz w:val="24"/>
                <w:highlight w:val="none"/>
              </w:rPr>
            </w:pPr>
            <w:r>
              <w:rPr>
                <w:rFonts w:hint="eastAsia" w:ascii="宋体" w:hAnsi="宋体" w:cs="宋体"/>
                <w:sz w:val="24"/>
                <w:highlight w:val="none"/>
              </w:rPr>
              <w:t>内部组织制度</w:t>
            </w:r>
          </w:p>
        </w:tc>
        <w:tc>
          <w:tcPr>
            <w:tcW w:w="959" w:type="dxa"/>
            <w:shd w:val="clear" w:color="auto" w:fill="auto"/>
            <w:vAlign w:val="center"/>
          </w:tcPr>
          <w:p w14:paraId="16286F52">
            <w:pPr>
              <w:keepNext w:val="0"/>
              <w:keepLines w:val="0"/>
              <w:pageBreakBefore w:val="0"/>
              <w:kinsoku/>
              <w:wordWrap/>
              <w:overflowPunct w:val="0"/>
              <w:topLinePunct/>
              <w:bidi w:val="0"/>
              <w:spacing w:line="360" w:lineRule="auto"/>
              <w:jc w:val="center"/>
              <w:rPr>
                <w:rFonts w:hint="default" w:ascii="宋体" w:hAnsi="宋体" w:cs="仿宋"/>
                <w:sz w:val="24"/>
                <w:highlight w:val="none"/>
                <w:lang w:val="en-US" w:eastAsia="zh-CN"/>
              </w:rPr>
            </w:pPr>
            <w:r>
              <w:rPr>
                <w:rFonts w:hint="eastAsia" w:ascii="宋体" w:hAnsi="宋体" w:cs="仿宋"/>
                <w:sz w:val="24"/>
                <w:highlight w:val="none"/>
                <w:lang w:val="en-US" w:eastAsia="zh-CN"/>
              </w:rPr>
              <w:t>5分</w:t>
            </w:r>
          </w:p>
        </w:tc>
        <w:tc>
          <w:tcPr>
            <w:tcW w:w="6223" w:type="dxa"/>
            <w:vAlign w:val="top"/>
          </w:tcPr>
          <w:p w14:paraId="57B4E69A">
            <w:pPr>
              <w:keepNext w:val="0"/>
              <w:keepLines w:val="0"/>
              <w:pageBreakBefore w:val="0"/>
              <w:kinsoku/>
              <w:wordWrap/>
              <w:overflowPunct w:val="0"/>
              <w:topLinePunct/>
              <w:bidi w:val="0"/>
              <w:spacing w:line="360" w:lineRule="auto"/>
              <w:jc w:val="left"/>
              <w:rPr>
                <w:rFonts w:ascii="宋体" w:hAnsi="宋体" w:cs="宋体"/>
                <w:sz w:val="24"/>
                <w:highlight w:val="none"/>
                <w:lang w:val="zh-CN" w:eastAsia="zh-Hans"/>
              </w:rPr>
            </w:pPr>
            <w:r>
              <w:rPr>
                <w:rFonts w:hint="eastAsia" w:ascii="宋体" w:hAnsi="宋体" w:cs="宋体"/>
                <w:sz w:val="24"/>
                <w:highlight w:val="none"/>
                <w:lang w:val="zh-CN" w:eastAsia="zh-Hans"/>
              </w:rPr>
              <w:t>对参选单位提供的内部组织制度（</w:t>
            </w:r>
            <w:r>
              <w:rPr>
                <w:rFonts w:hint="eastAsia" w:ascii="宋体" w:hAnsi="宋体" w:cs="宋体"/>
                <w:sz w:val="24"/>
                <w:highlight w:val="none"/>
              </w:rPr>
              <w:t>包括但不限于</w:t>
            </w:r>
            <w:r>
              <w:rPr>
                <w:rFonts w:hint="eastAsia" w:ascii="宋体" w:hAnsi="宋体" w:cs="宋体"/>
                <w:kern w:val="0"/>
                <w:sz w:val="24"/>
                <w:szCs w:val="24"/>
                <w:highlight w:val="none"/>
              </w:rPr>
              <w:t>人事管理、岗位职责、操作规程、质量管理、廉洁自律、考核奖惩、质疑处理、档案管理、财务管理、业务培训、保密制度等各项管理制度</w:t>
            </w:r>
            <w:r>
              <w:rPr>
                <w:rFonts w:hint="eastAsia" w:ascii="宋体" w:hAnsi="宋体" w:cs="宋体"/>
                <w:sz w:val="24"/>
                <w:highlight w:val="none"/>
                <w:lang w:val="zh-CN" w:eastAsia="zh-Hans"/>
              </w:rPr>
              <w:t>）进行综合评价：</w:t>
            </w:r>
          </w:p>
          <w:p w14:paraId="4A7E04BD">
            <w:pPr>
              <w:keepNext w:val="0"/>
              <w:keepLines w:val="0"/>
              <w:pageBreakBefore w:val="0"/>
              <w:kinsoku/>
              <w:wordWrap/>
              <w:overflowPunct w:val="0"/>
              <w:topLinePunct/>
              <w:bidi w:val="0"/>
              <w:spacing w:line="360" w:lineRule="auto"/>
              <w:jc w:val="left"/>
              <w:rPr>
                <w:rFonts w:ascii="宋体" w:hAnsi="宋体" w:cs="宋体"/>
                <w:sz w:val="24"/>
                <w:highlight w:val="none"/>
                <w:lang w:val="zh-CN" w:eastAsia="zh-Hans"/>
              </w:rPr>
            </w:pPr>
            <w:r>
              <w:rPr>
                <w:rFonts w:hint="eastAsia" w:ascii="宋体" w:hAnsi="宋体" w:cs="宋体"/>
                <w:sz w:val="24"/>
                <w:highlight w:val="none"/>
                <w:lang w:val="zh-CN" w:eastAsia="zh-Hans"/>
              </w:rPr>
              <w:t>A</w:t>
            </w:r>
            <w:r>
              <w:rPr>
                <w:rFonts w:ascii="宋体" w:hAnsi="宋体" w:cs="宋体"/>
                <w:sz w:val="24"/>
                <w:highlight w:val="none"/>
                <w:lang w:val="zh-CN" w:eastAsia="zh-Hans"/>
              </w:rPr>
              <w:t>.</w:t>
            </w:r>
            <w:r>
              <w:rPr>
                <w:rFonts w:hint="eastAsia" w:ascii="宋体" w:hAnsi="宋体" w:cs="宋体"/>
                <w:sz w:val="24"/>
                <w:highlight w:val="none"/>
                <w:lang w:val="zh-CN" w:eastAsia="zh-Hans"/>
              </w:rPr>
              <w:t>内部组织制度完善，组织机构设置合理的，得</w:t>
            </w:r>
            <w:r>
              <w:rPr>
                <w:rFonts w:hint="eastAsia" w:ascii="宋体" w:hAnsi="宋体" w:cs="宋体"/>
                <w:sz w:val="24"/>
                <w:highlight w:val="none"/>
              </w:rPr>
              <w:t>3-5</w:t>
            </w:r>
            <w:r>
              <w:rPr>
                <w:rFonts w:hint="eastAsia" w:ascii="宋体" w:hAnsi="宋体" w:cs="宋体"/>
                <w:sz w:val="24"/>
                <w:highlight w:val="none"/>
                <w:lang w:val="zh-CN" w:eastAsia="zh-Hans"/>
              </w:rPr>
              <w:t>分；</w:t>
            </w:r>
          </w:p>
          <w:p w14:paraId="02F226EF">
            <w:pPr>
              <w:keepNext w:val="0"/>
              <w:keepLines w:val="0"/>
              <w:pageBreakBefore w:val="0"/>
              <w:kinsoku/>
              <w:wordWrap/>
              <w:overflowPunct w:val="0"/>
              <w:topLinePunct/>
              <w:bidi w:val="0"/>
              <w:spacing w:line="360" w:lineRule="auto"/>
              <w:jc w:val="left"/>
              <w:rPr>
                <w:rFonts w:ascii="宋体" w:hAnsi="宋体" w:cs="宋体"/>
                <w:sz w:val="24"/>
                <w:highlight w:val="none"/>
                <w:lang w:val="zh-CN" w:eastAsia="zh-Hans"/>
              </w:rPr>
            </w:pPr>
            <w:r>
              <w:rPr>
                <w:rFonts w:hint="eastAsia" w:ascii="宋体" w:hAnsi="宋体" w:cs="宋体"/>
                <w:sz w:val="24"/>
                <w:highlight w:val="none"/>
                <w:lang w:val="zh-CN" w:eastAsia="zh-Hans"/>
              </w:rPr>
              <w:t>B.内部组织制度基本完善，组织机构设置基本合理，但存在个别瑕疵的，得</w:t>
            </w:r>
            <w:r>
              <w:rPr>
                <w:rFonts w:hint="eastAsia" w:ascii="宋体" w:hAnsi="宋体" w:cs="宋体"/>
                <w:sz w:val="24"/>
                <w:highlight w:val="none"/>
              </w:rPr>
              <w:t>1-3</w:t>
            </w:r>
            <w:r>
              <w:rPr>
                <w:rFonts w:hint="eastAsia" w:ascii="宋体" w:hAnsi="宋体" w:cs="宋体"/>
                <w:sz w:val="24"/>
                <w:highlight w:val="none"/>
                <w:lang w:val="zh-CN" w:eastAsia="zh-Hans"/>
              </w:rPr>
              <w:t>分；</w:t>
            </w:r>
          </w:p>
          <w:p w14:paraId="25E2565D">
            <w:pPr>
              <w:keepNext w:val="0"/>
              <w:keepLines w:val="0"/>
              <w:pageBreakBefore w:val="0"/>
              <w:kinsoku/>
              <w:wordWrap/>
              <w:overflowPunct w:val="0"/>
              <w:topLinePunct/>
              <w:bidi w:val="0"/>
              <w:spacing w:line="360" w:lineRule="auto"/>
              <w:jc w:val="left"/>
              <w:rPr>
                <w:rFonts w:hint="eastAsia" w:ascii="宋体" w:hAnsi="宋体" w:cs="宋体"/>
                <w:b/>
                <w:bCs/>
                <w:sz w:val="24"/>
                <w:highlight w:val="none"/>
              </w:rPr>
            </w:pPr>
            <w:r>
              <w:rPr>
                <w:rFonts w:hint="eastAsia" w:ascii="宋体" w:hAnsi="宋体" w:cs="宋体"/>
                <w:sz w:val="24"/>
                <w:highlight w:val="none"/>
                <w:lang w:val="zh-CN" w:eastAsia="zh-Hans"/>
              </w:rPr>
              <w:t>C.内部组织制度不够完善，组织机构设置不够合理，存在较多问题或未提供的，得0-</w:t>
            </w:r>
            <w:r>
              <w:rPr>
                <w:rFonts w:hint="eastAsia" w:ascii="宋体" w:hAnsi="宋体" w:cs="宋体"/>
                <w:sz w:val="24"/>
                <w:highlight w:val="none"/>
              </w:rPr>
              <w:t>1</w:t>
            </w:r>
            <w:r>
              <w:rPr>
                <w:rFonts w:hint="eastAsia" w:ascii="宋体" w:hAnsi="宋体" w:cs="宋体"/>
                <w:sz w:val="24"/>
                <w:highlight w:val="none"/>
                <w:lang w:val="zh-CN" w:eastAsia="zh-Hans"/>
              </w:rPr>
              <w:t>分。</w:t>
            </w:r>
          </w:p>
        </w:tc>
      </w:tr>
      <w:tr w14:paraId="4D6A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1" w:hRule="atLeast"/>
        </w:trPr>
        <w:tc>
          <w:tcPr>
            <w:tcW w:w="675" w:type="dxa"/>
            <w:vMerge w:val="continue"/>
            <w:vAlign w:val="center"/>
          </w:tcPr>
          <w:p w14:paraId="661AD914">
            <w:pPr>
              <w:keepNext w:val="0"/>
              <w:keepLines w:val="0"/>
              <w:pageBreakBefore w:val="0"/>
              <w:kinsoku/>
              <w:wordWrap/>
              <w:overflowPunct w:val="0"/>
              <w:topLinePunct/>
              <w:bidi w:val="0"/>
              <w:spacing w:line="360" w:lineRule="auto"/>
              <w:jc w:val="center"/>
              <w:rPr>
                <w:rFonts w:hint="default" w:ascii="宋体" w:hAnsi="宋体" w:eastAsia="宋体" w:cs="仿宋"/>
                <w:sz w:val="24"/>
                <w:highlight w:val="none"/>
                <w:lang w:val="en-US" w:eastAsia="zh-CN"/>
              </w:rPr>
            </w:pPr>
          </w:p>
        </w:tc>
        <w:tc>
          <w:tcPr>
            <w:tcW w:w="1968" w:type="dxa"/>
            <w:vMerge w:val="restart"/>
            <w:shd w:val="clear" w:color="auto" w:fill="auto"/>
            <w:vAlign w:val="center"/>
          </w:tcPr>
          <w:p w14:paraId="241EBA1D">
            <w:pPr>
              <w:keepNext w:val="0"/>
              <w:keepLines w:val="0"/>
              <w:pageBreakBefore w:val="0"/>
              <w:kinsoku/>
              <w:wordWrap/>
              <w:overflowPunct w:val="0"/>
              <w:topLinePunct/>
              <w:bidi w:val="0"/>
              <w:spacing w:line="360" w:lineRule="auto"/>
              <w:jc w:val="center"/>
              <w:rPr>
                <w:rFonts w:hint="eastAsia" w:ascii="宋体" w:hAnsi="宋体" w:cs="宋体"/>
                <w:sz w:val="24"/>
                <w:highlight w:val="none"/>
              </w:rPr>
            </w:pPr>
            <w:r>
              <w:rPr>
                <w:rFonts w:hint="eastAsia" w:ascii="宋体" w:hAnsi="宋体" w:cs="宋体"/>
                <w:sz w:val="24"/>
                <w:highlight w:val="none"/>
              </w:rPr>
              <w:t>服务方案</w:t>
            </w:r>
          </w:p>
        </w:tc>
        <w:tc>
          <w:tcPr>
            <w:tcW w:w="959" w:type="dxa"/>
            <w:vMerge w:val="restart"/>
            <w:shd w:val="clear" w:color="auto" w:fill="auto"/>
            <w:vAlign w:val="center"/>
          </w:tcPr>
          <w:p w14:paraId="7798381A">
            <w:pPr>
              <w:keepNext w:val="0"/>
              <w:keepLines w:val="0"/>
              <w:pageBreakBefore w:val="0"/>
              <w:kinsoku/>
              <w:wordWrap/>
              <w:overflowPunct w:val="0"/>
              <w:topLinePunct/>
              <w:bidi w:val="0"/>
              <w:spacing w:line="360" w:lineRule="auto"/>
              <w:jc w:val="center"/>
              <w:rPr>
                <w:rFonts w:hint="eastAsia" w:ascii="宋体" w:hAnsi="宋体" w:cs="仿宋"/>
                <w:sz w:val="24"/>
                <w:highlight w:val="none"/>
                <w:lang w:val="en-US" w:eastAsia="zh-CN"/>
              </w:rPr>
            </w:pPr>
            <w:r>
              <w:rPr>
                <w:rFonts w:hint="eastAsia" w:ascii="宋体" w:hAnsi="宋体" w:eastAsia="宋体" w:cs="宋体"/>
                <w:sz w:val="24"/>
                <w:highlight w:val="none"/>
                <w:lang w:val="en-US" w:eastAsia="zh-CN"/>
              </w:rPr>
              <w:t>10</w:t>
            </w:r>
            <w:r>
              <w:rPr>
                <w:rFonts w:hint="eastAsia" w:ascii="宋体" w:hAnsi="宋体" w:cs="宋体"/>
                <w:sz w:val="24"/>
                <w:highlight w:val="none"/>
              </w:rPr>
              <w:t>分</w:t>
            </w:r>
          </w:p>
        </w:tc>
        <w:tc>
          <w:tcPr>
            <w:tcW w:w="6223" w:type="dxa"/>
            <w:shd w:val="clear" w:color="auto" w:fill="auto"/>
            <w:vAlign w:val="center"/>
          </w:tcPr>
          <w:p w14:paraId="2E51E3EB">
            <w:pPr>
              <w:keepNext w:val="0"/>
              <w:keepLines w:val="0"/>
              <w:pageBreakBefore w:val="0"/>
              <w:kinsoku/>
              <w:wordWrap/>
              <w:overflowPunct w:val="0"/>
              <w:topLinePunct/>
              <w:bidi w:val="0"/>
              <w:spacing w:line="360" w:lineRule="auto"/>
              <w:jc w:val="left"/>
              <w:rPr>
                <w:rFonts w:ascii="宋体" w:hAnsi="宋体" w:cs="宋体"/>
                <w:sz w:val="24"/>
                <w:highlight w:val="none"/>
                <w:lang w:val="zh-CN" w:eastAsia="zh-Hans"/>
              </w:rPr>
            </w:pPr>
            <w:r>
              <w:rPr>
                <w:rFonts w:hint="eastAsia" w:ascii="宋体" w:hAnsi="宋体" w:cs="宋体"/>
                <w:sz w:val="24"/>
                <w:highlight w:val="none"/>
                <w:lang w:val="zh-CN" w:eastAsia="zh-Hans"/>
              </w:rPr>
              <w:t>对参选单位提供的招标组织实施方案进行综合评价：</w:t>
            </w:r>
          </w:p>
          <w:p w14:paraId="63BD724A">
            <w:pPr>
              <w:keepNext w:val="0"/>
              <w:keepLines w:val="0"/>
              <w:pageBreakBefore w:val="0"/>
              <w:kinsoku/>
              <w:wordWrap/>
              <w:overflowPunct w:val="0"/>
              <w:topLinePunct/>
              <w:bidi w:val="0"/>
              <w:spacing w:line="360" w:lineRule="auto"/>
              <w:jc w:val="left"/>
              <w:rPr>
                <w:rFonts w:ascii="宋体" w:hAnsi="宋体" w:cs="宋体"/>
                <w:sz w:val="24"/>
                <w:highlight w:val="none"/>
                <w:lang w:val="zh-CN" w:eastAsia="zh-Hans"/>
              </w:rPr>
            </w:pPr>
            <w:r>
              <w:rPr>
                <w:rFonts w:hint="eastAsia" w:ascii="宋体" w:hAnsi="宋体" w:cs="宋体"/>
                <w:sz w:val="24"/>
                <w:highlight w:val="none"/>
                <w:lang w:val="zh-CN" w:eastAsia="zh-Hans"/>
              </w:rPr>
              <w:t>A.招标组织实施方案详实，招标文件质量保证措施针对性、专业性强，招标流程图、服务措施</w:t>
            </w:r>
            <w:r>
              <w:rPr>
                <w:rFonts w:hint="eastAsia" w:ascii="宋体" w:hAnsi="宋体" w:cs="宋体"/>
                <w:sz w:val="24"/>
                <w:highlight w:val="none"/>
              </w:rPr>
              <w:t>科学高效</w:t>
            </w:r>
            <w:r>
              <w:rPr>
                <w:rFonts w:hint="eastAsia" w:ascii="宋体" w:hAnsi="宋体" w:cs="宋体"/>
                <w:sz w:val="24"/>
                <w:highlight w:val="none"/>
                <w:lang w:val="zh-CN" w:eastAsia="zh-Hans"/>
              </w:rPr>
              <w:t>，</w:t>
            </w:r>
            <w:r>
              <w:rPr>
                <w:rFonts w:hint="eastAsia" w:ascii="宋体" w:hAnsi="宋体" w:cs="宋体"/>
                <w:sz w:val="24"/>
                <w:highlight w:val="none"/>
              </w:rPr>
              <w:t>完全满足遴选要求</w:t>
            </w:r>
            <w:r>
              <w:rPr>
                <w:rFonts w:hint="eastAsia" w:ascii="宋体" w:hAnsi="宋体" w:cs="宋体"/>
                <w:sz w:val="24"/>
                <w:highlight w:val="none"/>
                <w:lang w:val="zh-CN" w:eastAsia="zh-Hans"/>
              </w:rPr>
              <w:t>的，得</w:t>
            </w:r>
            <w:r>
              <w:rPr>
                <w:rFonts w:hint="eastAsia" w:ascii="宋体" w:hAnsi="宋体" w:eastAsia="宋体" w:cs="宋体"/>
                <w:sz w:val="24"/>
                <w:highlight w:val="none"/>
                <w:lang w:val="en-US" w:eastAsia="zh-CN"/>
              </w:rPr>
              <w:t>3</w:t>
            </w:r>
            <w:r>
              <w:rPr>
                <w:rFonts w:hint="eastAsia" w:ascii="宋体" w:hAnsi="宋体" w:cs="宋体"/>
                <w:sz w:val="24"/>
                <w:highlight w:val="none"/>
              </w:rPr>
              <w:t>-</w:t>
            </w:r>
            <w:r>
              <w:rPr>
                <w:rFonts w:hint="eastAsia" w:ascii="宋体" w:hAnsi="宋体" w:eastAsia="宋体" w:cs="宋体"/>
                <w:sz w:val="24"/>
                <w:highlight w:val="none"/>
                <w:lang w:val="en-US" w:eastAsia="zh-CN"/>
              </w:rPr>
              <w:t>5</w:t>
            </w:r>
            <w:r>
              <w:rPr>
                <w:rFonts w:hint="eastAsia" w:ascii="宋体" w:hAnsi="宋体" w:cs="宋体"/>
                <w:sz w:val="24"/>
                <w:highlight w:val="none"/>
                <w:lang w:val="zh-CN" w:eastAsia="zh-Hans"/>
              </w:rPr>
              <w:t>分；</w:t>
            </w:r>
          </w:p>
          <w:p w14:paraId="61E5AA2C">
            <w:pPr>
              <w:keepNext w:val="0"/>
              <w:keepLines w:val="0"/>
              <w:pageBreakBefore w:val="0"/>
              <w:kinsoku/>
              <w:wordWrap/>
              <w:overflowPunct w:val="0"/>
              <w:topLinePunct/>
              <w:bidi w:val="0"/>
              <w:spacing w:line="360" w:lineRule="auto"/>
              <w:jc w:val="left"/>
              <w:rPr>
                <w:rFonts w:ascii="宋体" w:hAnsi="宋体" w:cs="宋体"/>
                <w:sz w:val="24"/>
                <w:highlight w:val="none"/>
                <w:lang w:val="zh-CN" w:eastAsia="zh-Hans"/>
              </w:rPr>
            </w:pPr>
            <w:r>
              <w:rPr>
                <w:rFonts w:hint="eastAsia" w:ascii="宋体" w:hAnsi="宋体" w:cs="宋体"/>
                <w:sz w:val="24"/>
                <w:highlight w:val="none"/>
                <w:lang w:val="zh-CN" w:eastAsia="zh-Hans"/>
              </w:rPr>
              <w:t>B.招标组织实施方案比较全面，招标文件质量保证措施有一定针对性、专业性，招标流程图、服务措施</w:t>
            </w:r>
            <w:r>
              <w:rPr>
                <w:rFonts w:hint="eastAsia" w:ascii="宋体" w:hAnsi="宋体" w:cs="宋体"/>
                <w:sz w:val="24"/>
                <w:highlight w:val="none"/>
              </w:rPr>
              <w:t>合理</w:t>
            </w:r>
            <w:r>
              <w:rPr>
                <w:rFonts w:hint="eastAsia" w:ascii="宋体" w:hAnsi="宋体" w:cs="宋体"/>
                <w:sz w:val="24"/>
                <w:highlight w:val="none"/>
                <w:lang w:val="zh-CN" w:eastAsia="zh-Hans"/>
              </w:rPr>
              <w:t>可行，基本满足遴选要求但存在问题的，得</w:t>
            </w:r>
            <w:r>
              <w:rPr>
                <w:rFonts w:hint="eastAsia" w:ascii="宋体" w:hAnsi="宋体" w:eastAsia="宋体" w:cs="宋体"/>
                <w:sz w:val="24"/>
                <w:highlight w:val="none"/>
                <w:lang w:val="en-US" w:eastAsia="zh-CN"/>
              </w:rPr>
              <w:t>1</w:t>
            </w:r>
            <w:r>
              <w:rPr>
                <w:rFonts w:hint="eastAsia" w:ascii="宋体" w:hAnsi="宋体" w:cs="宋体"/>
                <w:sz w:val="24"/>
                <w:highlight w:val="none"/>
                <w:lang w:val="zh-CN" w:eastAsia="zh-Hans"/>
              </w:rPr>
              <w:t>-</w:t>
            </w:r>
            <w:r>
              <w:rPr>
                <w:rFonts w:hint="eastAsia" w:ascii="宋体" w:hAnsi="宋体" w:eastAsia="宋体" w:cs="宋体"/>
                <w:sz w:val="24"/>
                <w:highlight w:val="none"/>
                <w:lang w:val="en-US" w:eastAsia="zh-CN"/>
              </w:rPr>
              <w:t>3</w:t>
            </w:r>
            <w:r>
              <w:rPr>
                <w:rFonts w:hint="eastAsia" w:ascii="宋体" w:hAnsi="宋体" w:cs="宋体"/>
                <w:sz w:val="24"/>
                <w:highlight w:val="none"/>
                <w:lang w:val="zh-CN" w:eastAsia="zh-Hans"/>
              </w:rPr>
              <w:t>分；</w:t>
            </w:r>
          </w:p>
          <w:p w14:paraId="60538076">
            <w:pPr>
              <w:keepNext w:val="0"/>
              <w:keepLines w:val="0"/>
              <w:pageBreakBefore w:val="0"/>
              <w:kinsoku/>
              <w:wordWrap/>
              <w:overflowPunct w:val="0"/>
              <w:topLinePunct/>
              <w:bidi w:val="0"/>
              <w:spacing w:line="360" w:lineRule="auto"/>
              <w:jc w:val="left"/>
              <w:rPr>
                <w:rFonts w:hint="eastAsia" w:ascii="宋体" w:hAnsi="宋体" w:eastAsia="Arial" w:cs="宋体"/>
                <w:snapToGrid w:val="0"/>
                <w:color w:val="000000"/>
                <w:kern w:val="0"/>
                <w:sz w:val="24"/>
                <w:szCs w:val="21"/>
                <w:highlight w:val="none"/>
                <w:lang w:val="zh-CN" w:eastAsia="zh-Hans" w:bidi="ar-SA"/>
              </w:rPr>
            </w:pPr>
            <w:r>
              <w:rPr>
                <w:rFonts w:hint="eastAsia" w:ascii="宋体" w:hAnsi="宋体" w:cs="宋体"/>
                <w:sz w:val="24"/>
                <w:highlight w:val="none"/>
                <w:lang w:val="zh-CN" w:eastAsia="zh-Hans"/>
              </w:rPr>
              <w:t>C.有招标组织实施方案，招标文件质量保证措施缺乏针对性、可行性，无法满足遴选要求或未提供的，得0-</w:t>
            </w:r>
            <w:r>
              <w:rPr>
                <w:rFonts w:hint="eastAsia" w:ascii="宋体" w:hAnsi="宋体" w:eastAsia="宋体" w:cs="宋体"/>
                <w:sz w:val="24"/>
                <w:highlight w:val="none"/>
                <w:lang w:val="en-US" w:eastAsia="zh-CN"/>
              </w:rPr>
              <w:t>1</w:t>
            </w:r>
            <w:r>
              <w:rPr>
                <w:rFonts w:hint="eastAsia" w:ascii="宋体" w:hAnsi="宋体" w:cs="宋体"/>
                <w:sz w:val="24"/>
                <w:highlight w:val="none"/>
                <w:lang w:val="zh-CN" w:eastAsia="zh-Hans"/>
              </w:rPr>
              <w:t>分。</w:t>
            </w:r>
          </w:p>
        </w:tc>
      </w:tr>
      <w:tr w14:paraId="27799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1" w:hRule="atLeast"/>
        </w:trPr>
        <w:tc>
          <w:tcPr>
            <w:tcW w:w="675" w:type="dxa"/>
            <w:vMerge w:val="continue"/>
            <w:vAlign w:val="center"/>
          </w:tcPr>
          <w:p w14:paraId="2C6D36FD">
            <w:pPr>
              <w:keepNext w:val="0"/>
              <w:keepLines w:val="0"/>
              <w:pageBreakBefore w:val="0"/>
              <w:kinsoku/>
              <w:wordWrap/>
              <w:overflowPunct w:val="0"/>
              <w:topLinePunct/>
              <w:bidi w:val="0"/>
              <w:spacing w:line="360" w:lineRule="auto"/>
              <w:jc w:val="center"/>
              <w:rPr>
                <w:rFonts w:hint="eastAsia" w:ascii="宋体" w:hAnsi="宋体" w:eastAsia="宋体" w:cs="仿宋"/>
                <w:sz w:val="24"/>
                <w:highlight w:val="none"/>
                <w:lang w:val="en-US" w:eastAsia="zh-CN"/>
              </w:rPr>
            </w:pPr>
          </w:p>
        </w:tc>
        <w:tc>
          <w:tcPr>
            <w:tcW w:w="1968" w:type="dxa"/>
            <w:vMerge w:val="continue"/>
            <w:shd w:val="clear" w:color="auto" w:fill="auto"/>
            <w:vAlign w:val="center"/>
          </w:tcPr>
          <w:p w14:paraId="5560F07E">
            <w:pPr>
              <w:keepNext w:val="0"/>
              <w:keepLines w:val="0"/>
              <w:pageBreakBefore w:val="0"/>
              <w:kinsoku/>
              <w:wordWrap/>
              <w:overflowPunct w:val="0"/>
              <w:topLinePunct/>
              <w:bidi w:val="0"/>
              <w:spacing w:line="360" w:lineRule="auto"/>
              <w:jc w:val="center"/>
              <w:rPr>
                <w:rFonts w:hint="eastAsia" w:ascii="宋体" w:hAnsi="宋体" w:cs="宋体"/>
                <w:sz w:val="24"/>
                <w:highlight w:val="none"/>
              </w:rPr>
            </w:pPr>
          </w:p>
        </w:tc>
        <w:tc>
          <w:tcPr>
            <w:tcW w:w="959" w:type="dxa"/>
            <w:vMerge w:val="continue"/>
            <w:shd w:val="clear" w:color="auto" w:fill="auto"/>
            <w:vAlign w:val="center"/>
          </w:tcPr>
          <w:p w14:paraId="2858120F">
            <w:pPr>
              <w:keepNext w:val="0"/>
              <w:keepLines w:val="0"/>
              <w:pageBreakBefore w:val="0"/>
              <w:kinsoku/>
              <w:wordWrap/>
              <w:overflowPunct w:val="0"/>
              <w:topLinePunct/>
              <w:bidi w:val="0"/>
              <w:spacing w:line="360" w:lineRule="auto"/>
              <w:jc w:val="center"/>
              <w:rPr>
                <w:rFonts w:hint="eastAsia" w:ascii="宋体" w:hAnsi="宋体" w:cs="宋体"/>
                <w:sz w:val="24"/>
                <w:highlight w:val="none"/>
              </w:rPr>
            </w:pPr>
          </w:p>
        </w:tc>
        <w:tc>
          <w:tcPr>
            <w:tcW w:w="6223" w:type="dxa"/>
            <w:shd w:val="clear" w:color="auto" w:fill="auto"/>
            <w:vAlign w:val="center"/>
          </w:tcPr>
          <w:p w14:paraId="667951A6">
            <w:pPr>
              <w:keepNext w:val="0"/>
              <w:keepLines w:val="0"/>
              <w:pageBreakBefore w:val="0"/>
              <w:kinsoku/>
              <w:wordWrap/>
              <w:overflowPunct w:val="0"/>
              <w:topLinePunct/>
              <w:bidi w:val="0"/>
              <w:spacing w:line="360" w:lineRule="auto"/>
              <w:jc w:val="left"/>
              <w:rPr>
                <w:rFonts w:ascii="宋体" w:hAnsi="宋体" w:cs="宋体"/>
                <w:sz w:val="24"/>
                <w:highlight w:val="none"/>
                <w:lang w:val="zh-CN" w:eastAsia="zh-Hans"/>
              </w:rPr>
            </w:pPr>
            <w:r>
              <w:rPr>
                <w:rFonts w:hint="eastAsia" w:ascii="宋体" w:hAnsi="宋体" w:cs="宋体"/>
                <w:sz w:val="24"/>
                <w:highlight w:val="none"/>
                <w:lang w:val="zh-CN" w:eastAsia="zh-Hans"/>
              </w:rPr>
              <w:t>对参选单位提供的接受委托后执行招标程序进行综合评价：</w:t>
            </w:r>
          </w:p>
          <w:p w14:paraId="342468AA">
            <w:pPr>
              <w:keepNext w:val="0"/>
              <w:keepLines w:val="0"/>
              <w:pageBreakBefore w:val="0"/>
              <w:kinsoku/>
              <w:wordWrap/>
              <w:overflowPunct w:val="0"/>
              <w:topLinePunct/>
              <w:bidi w:val="0"/>
              <w:spacing w:line="360" w:lineRule="auto"/>
              <w:jc w:val="left"/>
              <w:rPr>
                <w:rFonts w:ascii="宋体" w:hAnsi="宋体" w:cs="宋体"/>
                <w:sz w:val="24"/>
                <w:highlight w:val="none"/>
                <w:lang w:val="zh-CN" w:eastAsia="zh-Hans"/>
              </w:rPr>
            </w:pPr>
            <w:r>
              <w:rPr>
                <w:rFonts w:hint="eastAsia" w:ascii="宋体" w:hAnsi="宋体" w:cs="宋体"/>
                <w:sz w:val="24"/>
                <w:highlight w:val="none"/>
                <w:lang w:val="zh-CN" w:eastAsia="zh-Hans"/>
              </w:rPr>
              <w:t>A.接受委托后执行招标程序详实，招标业务针对性、专业性强，组织招标业务的能力及工作</w:t>
            </w:r>
            <w:r>
              <w:rPr>
                <w:rFonts w:hint="eastAsia" w:ascii="宋体" w:hAnsi="宋体" w:cs="宋体"/>
                <w:sz w:val="24"/>
                <w:highlight w:val="none"/>
              </w:rPr>
              <w:t>科学高效</w:t>
            </w:r>
            <w:r>
              <w:rPr>
                <w:rFonts w:hint="eastAsia" w:ascii="宋体" w:hAnsi="宋体" w:cs="宋体"/>
                <w:sz w:val="24"/>
                <w:highlight w:val="none"/>
                <w:lang w:val="zh-CN" w:eastAsia="zh-Hans"/>
              </w:rPr>
              <w:t>，</w:t>
            </w:r>
            <w:r>
              <w:rPr>
                <w:rFonts w:hint="eastAsia" w:ascii="宋体" w:hAnsi="宋体" w:cs="宋体"/>
                <w:sz w:val="24"/>
                <w:highlight w:val="none"/>
              </w:rPr>
              <w:t>完全满足遴选要求</w:t>
            </w:r>
            <w:r>
              <w:rPr>
                <w:rFonts w:hint="eastAsia" w:ascii="宋体" w:hAnsi="宋体" w:cs="宋体"/>
                <w:sz w:val="24"/>
                <w:highlight w:val="none"/>
                <w:lang w:val="zh-CN" w:eastAsia="zh-Hans"/>
              </w:rPr>
              <w:t>的，得</w:t>
            </w:r>
            <w:r>
              <w:rPr>
                <w:rFonts w:hint="eastAsia" w:ascii="宋体" w:hAnsi="宋体" w:cs="宋体"/>
                <w:sz w:val="24"/>
                <w:highlight w:val="none"/>
              </w:rPr>
              <w:t>3-5</w:t>
            </w:r>
            <w:r>
              <w:rPr>
                <w:rFonts w:hint="eastAsia" w:ascii="宋体" w:hAnsi="宋体" w:cs="宋体"/>
                <w:sz w:val="24"/>
                <w:highlight w:val="none"/>
                <w:lang w:val="zh-CN" w:eastAsia="zh-Hans"/>
              </w:rPr>
              <w:t>分；</w:t>
            </w:r>
          </w:p>
          <w:p w14:paraId="4F59725C">
            <w:pPr>
              <w:keepNext w:val="0"/>
              <w:keepLines w:val="0"/>
              <w:pageBreakBefore w:val="0"/>
              <w:kinsoku/>
              <w:wordWrap/>
              <w:overflowPunct w:val="0"/>
              <w:topLinePunct/>
              <w:bidi w:val="0"/>
              <w:spacing w:line="360" w:lineRule="auto"/>
              <w:jc w:val="left"/>
              <w:rPr>
                <w:rFonts w:ascii="宋体" w:hAnsi="宋体" w:cs="宋体"/>
                <w:sz w:val="24"/>
                <w:highlight w:val="none"/>
                <w:lang w:val="zh-CN" w:eastAsia="zh-Hans"/>
              </w:rPr>
            </w:pPr>
            <w:r>
              <w:rPr>
                <w:rFonts w:hint="eastAsia" w:ascii="宋体" w:hAnsi="宋体" w:cs="宋体"/>
                <w:sz w:val="24"/>
                <w:highlight w:val="none"/>
                <w:lang w:val="zh-CN" w:eastAsia="zh-Hans"/>
              </w:rPr>
              <w:t>B.接受委托后执行招标程序比较全面，招标业务有一定针对性、专业性，组织招标业务的能力及工作</w:t>
            </w:r>
            <w:r>
              <w:rPr>
                <w:rFonts w:hint="eastAsia" w:ascii="宋体" w:hAnsi="宋体" w:cs="宋体"/>
                <w:sz w:val="24"/>
                <w:highlight w:val="none"/>
              </w:rPr>
              <w:t>合理</w:t>
            </w:r>
            <w:r>
              <w:rPr>
                <w:rFonts w:hint="eastAsia" w:ascii="宋体" w:hAnsi="宋体" w:cs="宋体"/>
                <w:sz w:val="24"/>
                <w:highlight w:val="none"/>
                <w:lang w:val="zh-CN" w:eastAsia="zh-Hans"/>
              </w:rPr>
              <w:t>可行，基本满足遴选要求但存在问题的，得</w:t>
            </w:r>
            <w:r>
              <w:rPr>
                <w:rFonts w:hint="eastAsia" w:ascii="宋体" w:hAnsi="宋体" w:cs="宋体"/>
                <w:sz w:val="24"/>
                <w:highlight w:val="none"/>
              </w:rPr>
              <w:t>1</w:t>
            </w:r>
            <w:r>
              <w:rPr>
                <w:rFonts w:hint="eastAsia" w:ascii="宋体" w:hAnsi="宋体" w:cs="宋体"/>
                <w:sz w:val="24"/>
                <w:highlight w:val="none"/>
                <w:lang w:val="zh-CN" w:eastAsia="zh-Hans"/>
              </w:rPr>
              <w:t>-</w:t>
            </w:r>
            <w:r>
              <w:rPr>
                <w:rFonts w:hint="eastAsia" w:ascii="宋体" w:hAnsi="宋体" w:cs="宋体"/>
                <w:sz w:val="24"/>
                <w:highlight w:val="none"/>
              </w:rPr>
              <w:t>3</w:t>
            </w:r>
            <w:r>
              <w:rPr>
                <w:rFonts w:hint="eastAsia" w:ascii="宋体" w:hAnsi="宋体" w:cs="宋体"/>
                <w:sz w:val="24"/>
                <w:highlight w:val="none"/>
                <w:lang w:val="zh-CN" w:eastAsia="zh-Hans"/>
              </w:rPr>
              <w:t>分；</w:t>
            </w:r>
          </w:p>
          <w:p w14:paraId="69255062">
            <w:pPr>
              <w:keepNext w:val="0"/>
              <w:keepLines w:val="0"/>
              <w:pageBreakBefore w:val="0"/>
              <w:kinsoku/>
              <w:wordWrap/>
              <w:overflowPunct w:val="0"/>
              <w:topLinePunct/>
              <w:bidi w:val="0"/>
              <w:spacing w:line="360" w:lineRule="auto"/>
              <w:jc w:val="left"/>
              <w:rPr>
                <w:rFonts w:hint="eastAsia" w:ascii="宋体" w:hAnsi="宋体" w:cs="宋体"/>
                <w:sz w:val="24"/>
                <w:highlight w:val="none"/>
                <w:lang w:val="zh-CN" w:eastAsia="zh-Hans"/>
              </w:rPr>
            </w:pPr>
            <w:r>
              <w:rPr>
                <w:rFonts w:hint="eastAsia" w:ascii="宋体" w:hAnsi="宋体" w:cs="宋体"/>
                <w:sz w:val="24"/>
                <w:highlight w:val="none"/>
                <w:lang w:val="zh-CN" w:eastAsia="zh-Hans"/>
              </w:rPr>
              <w:t>C.有接受委托后执行招标程序，招标业务缺乏针对性、可行性，无法满足遴选要求或未提供的，得0-</w:t>
            </w:r>
            <w:r>
              <w:rPr>
                <w:rFonts w:hint="eastAsia" w:ascii="宋体" w:hAnsi="宋体" w:cs="宋体"/>
                <w:sz w:val="24"/>
                <w:highlight w:val="none"/>
              </w:rPr>
              <w:t>1</w:t>
            </w:r>
            <w:r>
              <w:rPr>
                <w:rFonts w:hint="eastAsia" w:ascii="宋体" w:hAnsi="宋体" w:cs="宋体"/>
                <w:sz w:val="24"/>
                <w:highlight w:val="none"/>
                <w:lang w:val="zh-CN" w:eastAsia="zh-Hans"/>
              </w:rPr>
              <w:t>分。</w:t>
            </w:r>
          </w:p>
        </w:tc>
      </w:tr>
      <w:tr w14:paraId="5FA4C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2" w:hRule="atLeast"/>
        </w:trPr>
        <w:tc>
          <w:tcPr>
            <w:tcW w:w="675" w:type="dxa"/>
            <w:vMerge w:val="continue"/>
            <w:vAlign w:val="center"/>
          </w:tcPr>
          <w:p w14:paraId="4F4E7F14">
            <w:pPr>
              <w:keepNext w:val="0"/>
              <w:keepLines w:val="0"/>
              <w:pageBreakBefore w:val="0"/>
              <w:kinsoku/>
              <w:wordWrap/>
              <w:overflowPunct w:val="0"/>
              <w:topLinePunct/>
              <w:bidi w:val="0"/>
              <w:spacing w:line="360" w:lineRule="auto"/>
              <w:jc w:val="center"/>
              <w:rPr>
                <w:rFonts w:hint="eastAsia" w:ascii="宋体" w:hAnsi="宋体" w:eastAsia="宋体" w:cs="仿宋"/>
                <w:sz w:val="24"/>
                <w:highlight w:val="none"/>
                <w:lang w:val="en-US" w:eastAsia="zh-CN"/>
              </w:rPr>
            </w:pPr>
          </w:p>
        </w:tc>
        <w:tc>
          <w:tcPr>
            <w:tcW w:w="1968" w:type="dxa"/>
            <w:shd w:val="clear" w:color="auto" w:fill="auto"/>
            <w:vAlign w:val="center"/>
          </w:tcPr>
          <w:p w14:paraId="694C35DE">
            <w:pPr>
              <w:keepNext w:val="0"/>
              <w:keepLines w:val="0"/>
              <w:pageBreakBefore w:val="0"/>
              <w:kinsoku/>
              <w:wordWrap/>
              <w:overflowPunct w:val="0"/>
              <w:topLinePunct/>
              <w:bidi w:val="0"/>
              <w:spacing w:line="360" w:lineRule="auto"/>
              <w:jc w:val="center"/>
              <w:rPr>
                <w:rFonts w:hint="eastAsia" w:ascii="宋体" w:hAnsi="宋体" w:cs="宋体"/>
                <w:sz w:val="24"/>
                <w:highlight w:val="none"/>
              </w:rPr>
            </w:pPr>
            <w:r>
              <w:rPr>
                <w:rFonts w:hint="eastAsia" w:ascii="宋体" w:hAnsi="宋体" w:cs="宋体"/>
                <w:sz w:val="24"/>
                <w:highlight w:val="none"/>
              </w:rPr>
              <w:t>风险管控方案</w:t>
            </w:r>
          </w:p>
        </w:tc>
        <w:tc>
          <w:tcPr>
            <w:tcW w:w="959" w:type="dxa"/>
            <w:shd w:val="clear" w:color="auto" w:fill="auto"/>
            <w:vAlign w:val="center"/>
          </w:tcPr>
          <w:p w14:paraId="767D346C">
            <w:pPr>
              <w:keepNext w:val="0"/>
              <w:keepLines w:val="0"/>
              <w:pageBreakBefore w:val="0"/>
              <w:kinsoku/>
              <w:wordWrap/>
              <w:overflowPunct w:val="0"/>
              <w:topLinePunct/>
              <w:bidi w:val="0"/>
              <w:spacing w:line="360" w:lineRule="auto"/>
              <w:jc w:val="center"/>
              <w:rPr>
                <w:rFonts w:hint="eastAsia" w:ascii="宋体" w:hAnsi="宋体" w:cs="宋体"/>
                <w:sz w:val="24"/>
                <w:highlight w:val="none"/>
              </w:rPr>
            </w:pPr>
            <w:r>
              <w:rPr>
                <w:rFonts w:hint="eastAsia" w:ascii="宋体" w:hAnsi="宋体" w:eastAsia="宋体" w:cs="宋体"/>
                <w:sz w:val="24"/>
                <w:highlight w:val="none"/>
                <w:lang w:val="en-US" w:eastAsia="zh-CN"/>
              </w:rPr>
              <w:t>5</w:t>
            </w:r>
            <w:r>
              <w:rPr>
                <w:rFonts w:hint="eastAsia" w:ascii="宋体" w:hAnsi="宋体" w:cs="宋体"/>
                <w:sz w:val="24"/>
                <w:highlight w:val="none"/>
              </w:rPr>
              <w:t>分</w:t>
            </w:r>
          </w:p>
        </w:tc>
        <w:tc>
          <w:tcPr>
            <w:tcW w:w="6223" w:type="dxa"/>
            <w:shd w:val="clear" w:color="auto" w:fill="auto"/>
            <w:vAlign w:val="center"/>
          </w:tcPr>
          <w:p w14:paraId="27166FBB">
            <w:pPr>
              <w:keepNext w:val="0"/>
              <w:keepLines w:val="0"/>
              <w:pageBreakBefore w:val="0"/>
              <w:kinsoku/>
              <w:wordWrap/>
              <w:overflowPunct w:val="0"/>
              <w:topLinePunct/>
              <w:bidi w:val="0"/>
              <w:spacing w:line="360" w:lineRule="auto"/>
              <w:jc w:val="left"/>
              <w:rPr>
                <w:rFonts w:hint="eastAsia" w:ascii="宋体" w:hAnsi="宋体" w:cs="宋体"/>
                <w:sz w:val="24"/>
                <w:highlight w:val="none"/>
                <w:lang w:val="zh-CN" w:eastAsia="zh-Hans"/>
              </w:rPr>
            </w:pPr>
            <w:r>
              <w:rPr>
                <w:rFonts w:hint="eastAsia" w:ascii="宋体" w:hAnsi="宋体" w:cs="宋体"/>
                <w:sz w:val="24"/>
                <w:highlight w:val="none"/>
                <w:lang w:val="zh-CN" w:eastAsia="zh-Hans"/>
              </w:rPr>
              <w:t>对参选单位提供的预防废标、流标，预防及处理质疑、投诉、询问等提供详细风险管控方案进行综合评价：</w:t>
            </w:r>
          </w:p>
          <w:p w14:paraId="196B9080">
            <w:pPr>
              <w:keepNext w:val="0"/>
              <w:keepLines w:val="0"/>
              <w:pageBreakBefore w:val="0"/>
              <w:kinsoku/>
              <w:wordWrap/>
              <w:overflowPunct w:val="0"/>
              <w:topLinePunct/>
              <w:bidi w:val="0"/>
              <w:spacing w:line="360" w:lineRule="auto"/>
              <w:jc w:val="left"/>
              <w:rPr>
                <w:rFonts w:hint="eastAsia" w:ascii="宋体" w:hAnsi="宋体" w:cs="宋体"/>
                <w:sz w:val="24"/>
                <w:highlight w:val="none"/>
                <w:lang w:val="zh-CN" w:eastAsia="zh-Hans"/>
              </w:rPr>
            </w:pPr>
            <w:r>
              <w:rPr>
                <w:rFonts w:hint="eastAsia" w:ascii="宋体" w:hAnsi="宋体" w:cs="宋体"/>
                <w:sz w:val="24"/>
                <w:highlight w:val="none"/>
                <w:lang w:val="zh-CN" w:eastAsia="zh-Hans"/>
              </w:rPr>
              <w:t>A.风险管控方案详实，保证措施针对性、专业性强，预防方案科学高效，完全满足遴选要求的，得</w:t>
            </w:r>
            <w:r>
              <w:rPr>
                <w:rFonts w:hint="eastAsia" w:ascii="宋体" w:hAnsi="宋体" w:cs="宋体"/>
                <w:sz w:val="24"/>
                <w:highlight w:val="none"/>
                <w:lang w:val="en-US" w:eastAsia="zh-CN"/>
              </w:rPr>
              <w:t>3</w:t>
            </w:r>
            <w:r>
              <w:rPr>
                <w:rFonts w:hint="eastAsia" w:ascii="宋体" w:hAnsi="宋体" w:cs="宋体"/>
                <w:sz w:val="24"/>
                <w:highlight w:val="none"/>
                <w:lang w:val="zh-CN" w:eastAsia="zh-Hans"/>
              </w:rPr>
              <w:t>-</w:t>
            </w:r>
            <w:r>
              <w:rPr>
                <w:rFonts w:hint="eastAsia" w:ascii="宋体" w:hAnsi="宋体" w:cs="宋体"/>
                <w:sz w:val="24"/>
                <w:highlight w:val="none"/>
                <w:lang w:val="en-US" w:eastAsia="zh-CN"/>
              </w:rPr>
              <w:t>5</w:t>
            </w:r>
            <w:r>
              <w:rPr>
                <w:rFonts w:hint="eastAsia" w:ascii="宋体" w:hAnsi="宋体" w:cs="宋体"/>
                <w:sz w:val="24"/>
                <w:highlight w:val="none"/>
                <w:lang w:val="zh-CN" w:eastAsia="zh-Hans"/>
              </w:rPr>
              <w:t>分；</w:t>
            </w:r>
          </w:p>
          <w:p w14:paraId="18E84645">
            <w:pPr>
              <w:keepNext w:val="0"/>
              <w:keepLines w:val="0"/>
              <w:pageBreakBefore w:val="0"/>
              <w:kinsoku/>
              <w:wordWrap/>
              <w:overflowPunct w:val="0"/>
              <w:topLinePunct/>
              <w:bidi w:val="0"/>
              <w:spacing w:line="360" w:lineRule="auto"/>
              <w:jc w:val="left"/>
              <w:rPr>
                <w:rFonts w:hint="eastAsia" w:ascii="宋体" w:hAnsi="宋体" w:cs="宋体"/>
                <w:sz w:val="24"/>
                <w:highlight w:val="none"/>
                <w:lang w:val="zh-CN" w:eastAsia="zh-Hans"/>
              </w:rPr>
            </w:pPr>
            <w:r>
              <w:rPr>
                <w:rFonts w:hint="eastAsia" w:ascii="宋体" w:hAnsi="宋体" w:cs="宋体"/>
                <w:sz w:val="24"/>
                <w:highlight w:val="none"/>
                <w:lang w:val="zh-CN" w:eastAsia="zh-Hans"/>
              </w:rPr>
              <w:t>B.风险管控方案比较全面，保证措施有一定针对性、专业性，预防方案合理可行，基本满足遴选要求但存在问题的，得1-</w:t>
            </w:r>
            <w:r>
              <w:rPr>
                <w:rFonts w:hint="eastAsia" w:ascii="宋体" w:hAnsi="宋体" w:cs="宋体"/>
                <w:sz w:val="24"/>
                <w:highlight w:val="none"/>
                <w:lang w:val="en-US" w:eastAsia="zh-CN"/>
              </w:rPr>
              <w:t>3</w:t>
            </w:r>
            <w:r>
              <w:rPr>
                <w:rFonts w:hint="eastAsia" w:ascii="宋体" w:hAnsi="宋体" w:cs="宋体"/>
                <w:sz w:val="24"/>
                <w:highlight w:val="none"/>
                <w:lang w:val="zh-CN" w:eastAsia="zh-Hans"/>
              </w:rPr>
              <w:t>分；</w:t>
            </w:r>
          </w:p>
          <w:p w14:paraId="036F4523">
            <w:pPr>
              <w:keepNext w:val="0"/>
              <w:keepLines w:val="0"/>
              <w:pageBreakBefore w:val="0"/>
              <w:kinsoku/>
              <w:wordWrap/>
              <w:overflowPunct w:val="0"/>
              <w:topLinePunct/>
              <w:bidi w:val="0"/>
              <w:spacing w:line="360" w:lineRule="auto"/>
              <w:jc w:val="left"/>
              <w:rPr>
                <w:rFonts w:hint="eastAsia" w:ascii="宋体" w:hAnsi="宋体" w:cs="宋体"/>
                <w:sz w:val="24"/>
                <w:highlight w:val="none"/>
                <w:lang w:val="zh-CN" w:eastAsia="zh-Hans"/>
              </w:rPr>
            </w:pPr>
            <w:r>
              <w:rPr>
                <w:rFonts w:hint="eastAsia" w:ascii="宋体" w:hAnsi="宋体" w:cs="宋体"/>
                <w:sz w:val="24"/>
                <w:highlight w:val="none"/>
                <w:lang w:val="zh-CN" w:eastAsia="zh-Hans"/>
              </w:rPr>
              <w:t>C.有风险管控方案，保证措施缺乏针对性、可行性，预防方案无法满足遴选要求或未提供的，得0-1分。</w:t>
            </w:r>
          </w:p>
        </w:tc>
      </w:tr>
      <w:tr w14:paraId="4CDBD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2" w:hRule="atLeast"/>
        </w:trPr>
        <w:tc>
          <w:tcPr>
            <w:tcW w:w="675" w:type="dxa"/>
            <w:vMerge w:val="continue"/>
            <w:vAlign w:val="center"/>
          </w:tcPr>
          <w:p w14:paraId="7E369E49">
            <w:pPr>
              <w:keepNext w:val="0"/>
              <w:keepLines w:val="0"/>
              <w:pageBreakBefore w:val="0"/>
              <w:kinsoku/>
              <w:wordWrap/>
              <w:overflowPunct w:val="0"/>
              <w:topLinePunct/>
              <w:bidi w:val="0"/>
              <w:spacing w:line="360" w:lineRule="auto"/>
              <w:jc w:val="center"/>
              <w:rPr>
                <w:rFonts w:hint="eastAsia" w:ascii="宋体" w:hAnsi="宋体" w:eastAsia="宋体" w:cs="仿宋"/>
                <w:sz w:val="24"/>
                <w:highlight w:val="none"/>
                <w:lang w:val="en-US" w:eastAsia="zh-CN"/>
              </w:rPr>
            </w:pPr>
          </w:p>
        </w:tc>
        <w:tc>
          <w:tcPr>
            <w:tcW w:w="1968" w:type="dxa"/>
            <w:shd w:val="clear" w:color="auto" w:fill="auto"/>
            <w:vAlign w:val="center"/>
          </w:tcPr>
          <w:p w14:paraId="72DD64DD">
            <w:pPr>
              <w:keepNext w:val="0"/>
              <w:keepLines w:val="0"/>
              <w:pageBreakBefore w:val="0"/>
              <w:kinsoku/>
              <w:wordWrap/>
              <w:overflowPunct w:val="0"/>
              <w:topLinePunct/>
              <w:bidi w:val="0"/>
              <w:spacing w:line="360" w:lineRule="auto"/>
              <w:jc w:val="center"/>
              <w:rPr>
                <w:rFonts w:hint="eastAsia" w:ascii="宋体" w:hAnsi="宋体" w:cs="宋体"/>
                <w:sz w:val="24"/>
                <w:highlight w:val="none"/>
              </w:rPr>
            </w:pPr>
            <w:r>
              <w:rPr>
                <w:rFonts w:hint="eastAsia" w:ascii="宋体" w:hAnsi="宋体" w:cs="宋体"/>
                <w:sz w:val="24"/>
                <w:highlight w:val="none"/>
              </w:rPr>
              <w:t>自有采购管理信息化系统</w:t>
            </w:r>
          </w:p>
        </w:tc>
        <w:tc>
          <w:tcPr>
            <w:tcW w:w="959" w:type="dxa"/>
            <w:shd w:val="clear" w:color="auto" w:fill="auto"/>
            <w:vAlign w:val="center"/>
          </w:tcPr>
          <w:p w14:paraId="41891D31">
            <w:pPr>
              <w:keepNext w:val="0"/>
              <w:keepLines w:val="0"/>
              <w:pageBreakBefore w:val="0"/>
              <w:kinsoku/>
              <w:wordWrap/>
              <w:overflowPunct w:val="0"/>
              <w:topLinePunct/>
              <w:bidi w:val="0"/>
              <w:spacing w:line="360" w:lineRule="auto"/>
              <w:jc w:val="center"/>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5分</w:t>
            </w:r>
          </w:p>
        </w:tc>
        <w:tc>
          <w:tcPr>
            <w:tcW w:w="6223" w:type="dxa"/>
            <w:shd w:val="clear" w:color="auto" w:fill="auto"/>
            <w:vAlign w:val="center"/>
          </w:tcPr>
          <w:p w14:paraId="7C2C4839">
            <w:pPr>
              <w:keepNext w:val="0"/>
              <w:keepLines w:val="0"/>
              <w:pageBreakBefore w:val="0"/>
              <w:kinsoku/>
              <w:wordWrap/>
              <w:overflowPunct w:val="0"/>
              <w:topLinePunct/>
              <w:bidi w:val="0"/>
              <w:spacing w:line="360" w:lineRule="auto"/>
              <w:jc w:val="left"/>
              <w:rPr>
                <w:rFonts w:hint="eastAsia" w:ascii="宋体" w:hAnsi="宋体" w:cs="宋体"/>
                <w:sz w:val="24"/>
                <w:highlight w:val="none"/>
                <w:lang w:val="zh-CN" w:eastAsia="zh-CN"/>
              </w:rPr>
            </w:pPr>
            <w:r>
              <w:rPr>
                <w:rFonts w:hint="eastAsia" w:ascii="宋体" w:hAnsi="宋体" w:cs="宋体"/>
                <w:sz w:val="24"/>
                <w:highlight w:val="none"/>
                <w:lang w:val="zh-CN" w:eastAsia="zh-Hans"/>
              </w:rPr>
              <w:t>对参选单位提供自有采购管理信息化系统，提供证明材料，包括但不限于图片、系统说明书等</w:t>
            </w:r>
            <w:r>
              <w:rPr>
                <w:rFonts w:hint="eastAsia" w:ascii="宋体" w:hAnsi="宋体" w:cs="宋体"/>
                <w:sz w:val="24"/>
                <w:highlight w:val="none"/>
                <w:lang w:val="zh-CN" w:eastAsia="zh-CN"/>
              </w:rPr>
              <w:t>，</w:t>
            </w:r>
            <w:r>
              <w:rPr>
                <w:rFonts w:hint="eastAsia" w:ascii="宋体" w:hAnsi="宋体" w:cs="宋体"/>
                <w:sz w:val="24"/>
                <w:highlight w:val="none"/>
                <w:lang w:val="zh-CN" w:eastAsia="zh-Hans"/>
              </w:rPr>
              <w:t>进行综合评价：</w:t>
            </w:r>
          </w:p>
          <w:p w14:paraId="433FEE8A">
            <w:pPr>
              <w:keepNext w:val="0"/>
              <w:keepLines w:val="0"/>
              <w:pageBreakBefore w:val="0"/>
              <w:kinsoku/>
              <w:wordWrap/>
              <w:overflowPunct w:val="0"/>
              <w:topLinePunct/>
              <w:bidi w:val="0"/>
              <w:spacing w:line="360" w:lineRule="auto"/>
              <w:jc w:val="left"/>
              <w:rPr>
                <w:rFonts w:hint="eastAsia" w:ascii="宋体" w:hAnsi="宋体" w:cs="宋体"/>
                <w:sz w:val="24"/>
                <w:highlight w:val="none"/>
                <w:lang w:val="zh-CN" w:eastAsia="zh-Hans"/>
              </w:rPr>
            </w:pPr>
            <w:r>
              <w:rPr>
                <w:rFonts w:hint="eastAsia" w:ascii="宋体" w:hAnsi="宋体" w:cs="宋体"/>
                <w:sz w:val="24"/>
                <w:highlight w:val="none"/>
                <w:lang w:val="en-US" w:eastAsia="zh-CN"/>
              </w:rPr>
              <w:t>A.</w:t>
            </w:r>
            <w:r>
              <w:rPr>
                <w:rFonts w:hint="eastAsia" w:ascii="宋体" w:hAnsi="宋体" w:cs="宋体"/>
                <w:sz w:val="24"/>
                <w:highlight w:val="none"/>
                <w:lang w:val="zh-CN" w:eastAsia="zh-Hans"/>
              </w:rPr>
              <w:t>内容详实、完整，有利于提高管理服务水平的，得</w:t>
            </w:r>
            <w:r>
              <w:rPr>
                <w:rFonts w:hint="eastAsia" w:ascii="宋体" w:hAnsi="宋体" w:cs="宋体"/>
                <w:sz w:val="24"/>
                <w:highlight w:val="none"/>
                <w:lang w:val="en-US" w:eastAsia="zh-CN"/>
              </w:rPr>
              <w:t>3</w:t>
            </w:r>
            <w:r>
              <w:rPr>
                <w:rFonts w:hint="eastAsia" w:ascii="宋体" w:hAnsi="宋体" w:cs="宋体"/>
                <w:sz w:val="24"/>
                <w:highlight w:val="none"/>
                <w:lang w:val="zh-CN" w:eastAsia="zh-Hans"/>
              </w:rPr>
              <w:t>-</w:t>
            </w:r>
            <w:r>
              <w:rPr>
                <w:rFonts w:hint="eastAsia" w:ascii="宋体" w:hAnsi="宋体" w:cs="宋体"/>
                <w:sz w:val="24"/>
                <w:highlight w:val="none"/>
                <w:lang w:val="en-US" w:eastAsia="zh-CN"/>
              </w:rPr>
              <w:t>5</w:t>
            </w:r>
            <w:r>
              <w:rPr>
                <w:rFonts w:hint="eastAsia" w:ascii="宋体" w:hAnsi="宋体" w:cs="宋体"/>
                <w:sz w:val="24"/>
                <w:highlight w:val="none"/>
                <w:lang w:val="zh-CN" w:eastAsia="zh-Hans"/>
              </w:rPr>
              <w:t>分；</w:t>
            </w:r>
          </w:p>
          <w:p w14:paraId="252FB4D3">
            <w:pPr>
              <w:keepNext w:val="0"/>
              <w:keepLines w:val="0"/>
              <w:pageBreakBefore w:val="0"/>
              <w:kinsoku/>
              <w:wordWrap/>
              <w:overflowPunct w:val="0"/>
              <w:topLinePunct/>
              <w:bidi w:val="0"/>
              <w:spacing w:line="360" w:lineRule="auto"/>
              <w:jc w:val="left"/>
              <w:rPr>
                <w:rFonts w:hint="eastAsia" w:ascii="宋体" w:hAnsi="宋体" w:cs="宋体"/>
                <w:sz w:val="24"/>
                <w:highlight w:val="none"/>
                <w:lang w:val="zh-CN" w:eastAsia="zh-Hans"/>
              </w:rPr>
            </w:pPr>
            <w:r>
              <w:rPr>
                <w:rFonts w:hint="eastAsia" w:ascii="宋体" w:hAnsi="宋体" w:cs="宋体"/>
                <w:sz w:val="24"/>
                <w:highlight w:val="none"/>
                <w:lang w:val="en-US" w:eastAsia="zh-CN"/>
              </w:rPr>
              <w:t>B.</w:t>
            </w:r>
            <w:r>
              <w:rPr>
                <w:rFonts w:hint="eastAsia" w:ascii="宋体" w:hAnsi="宋体" w:cs="宋体"/>
                <w:sz w:val="24"/>
                <w:highlight w:val="none"/>
                <w:lang w:val="zh-CN" w:eastAsia="zh-Hans"/>
              </w:rPr>
              <w:t>内容比较详实，有利于在一定程度上提高管理服务水平的，得</w:t>
            </w:r>
            <w:r>
              <w:rPr>
                <w:rFonts w:hint="eastAsia" w:ascii="宋体" w:hAnsi="宋体" w:cs="宋体"/>
                <w:sz w:val="24"/>
                <w:highlight w:val="none"/>
                <w:lang w:val="en-US" w:eastAsia="zh-CN"/>
              </w:rPr>
              <w:t>1-3</w:t>
            </w:r>
            <w:r>
              <w:rPr>
                <w:rFonts w:hint="eastAsia" w:ascii="宋体" w:hAnsi="宋体" w:cs="宋体"/>
                <w:sz w:val="24"/>
                <w:highlight w:val="none"/>
                <w:lang w:val="zh-CN" w:eastAsia="zh-Hans"/>
              </w:rPr>
              <w:t>分；</w:t>
            </w:r>
          </w:p>
          <w:p w14:paraId="22C9CC6D">
            <w:pPr>
              <w:keepNext w:val="0"/>
              <w:keepLines w:val="0"/>
              <w:pageBreakBefore w:val="0"/>
              <w:kinsoku/>
              <w:wordWrap/>
              <w:overflowPunct w:val="0"/>
              <w:topLinePunct/>
              <w:bidi w:val="0"/>
              <w:spacing w:line="360" w:lineRule="auto"/>
              <w:jc w:val="left"/>
              <w:rPr>
                <w:rFonts w:hint="eastAsia" w:ascii="宋体" w:hAnsi="宋体" w:cs="宋体"/>
                <w:sz w:val="24"/>
                <w:highlight w:val="none"/>
                <w:lang w:val="zh-CN" w:eastAsia="zh-Hans"/>
              </w:rPr>
            </w:pPr>
            <w:r>
              <w:rPr>
                <w:rFonts w:hint="eastAsia" w:ascii="宋体" w:hAnsi="宋体" w:cs="宋体"/>
                <w:sz w:val="24"/>
                <w:highlight w:val="none"/>
                <w:lang w:val="en-US" w:eastAsia="zh-CN"/>
              </w:rPr>
              <w:t>C.</w:t>
            </w:r>
            <w:r>
              <w:rPr>
                <w:rFonts w:hint="eastAsia" w:ascii="宋体" w:hAnsi="宋体" w:cs="宋体"/>
                <w:sz w:val="24"/>
                <w:highlight w:val="none"/>
                <w:lang w:val="zh-CN" w:eastAsia="zh-Hans"/>
              </w:rPr>
              <w:t>自有采购管理信息化系统</w:t>
            </w:r>
            <w:r>
              <w:rPr>
                <w:rFonts w:hint="eastAsia" w:ascii="宋体" w:hAnsi="宋体" w:cs="宋体"/>
                <w:sz w:val="24"/>
                <w:highlight w:val="none"/>
                <w:lang w:val="zh-CN" w:eastAsia="zh-CN"/>
              </w:rPr>
              <w:t>，</w:t>
            </w:r>
            <w:r>
              <w:rPr>
                <w:rFonts w:hint="eastAsia" w:ascii="宋体" w:hAnsi="宋体" w:cs="宋体"/>
                <w:sz w:val="24"/>
                <w:highlight w:val="none"/>
                <w:lang w:val="en-US" w:eastAsia="zh-CN"/>
              </w:rPr>
              <w:t>但</w:t>
            </w:r>
            <w:r>
              <w:rPr>
                <w:rFonts w:hint="eastAsia" w:ascii="宋体" w:hAnsi="宋体" w:cs="宋体"/>
                <w:sz w:val="24"/>
                <w:highlight w:val="none"/>
                <w:lang w:val="zh-CN" w:eastAsia="zh-Hans"/>
              </w:rPr>
              <w:t>无法满足遴选要求或未提供的，得0-1分。</w:t>
            </w:r>
          </w:p>
        </w:tc>
      </w:tr>
      <w:tr w14:paraId="6FC4A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2" w:hRule="atLeast"/>
        </w:trPr>
        <w:tc>
          <w:tcPr>
            <w:tcW w:w="675" w:type="dxa"/>
            <w:vMerge w:val="continue"/>
            <w:vAlign w:val="center"/>
          </w:tcPr>
          <w:p w14:paraId="05CCE2B3">
            <w:pPr>
              <w:keepNext w:val="0"/>
              <w:keepLines w:val="0"/>
              <w:pageBreakBefore w:val="0"/>
              <w:kinsoku/>
              <w:wordWrap/>
              <w:overflowPunct w:val="0"/>
              <w:topLinePunct/>
              <w:bidi w:val="0"/>
              <w:spacing w:line="360" w:lineRule="auto"/>
              <w:jc w:val="center"/>
              <w:rPr>
                <w:rFonts w:hint="default" w:ascii="宋体" w:hAnsi="宋体" w:eastAsia="宋体" w:cs="仿宋"/>
                <w:sz w:val="24"/>
                <w:highlight w:val="none"/>
                <w:lang w:val="en-US" w:eastAsia="zh-CN"/>
              </w:rPr>
            </w:pPr>
          </w:p>
        </w:tc>
        <w:tc>
          <w:tcPr>
            <w:tcW w:w="1968" w:type="dxa"/>
            <w:shd w:val="clear" w:color="auto" w:fill="auto"/>
            <w:vAlign w:val="center"/>
          </w:tcPr>
          <w:p w14:paraId="6D1B490E">
            <w:pPr>
              <w:keepNext w:val="0"/>
              <w:keepLines w:val="0"/>
              <w:pageBreakBefore w:val="0"/>
              <w:kinsoku/>
              <w:wordWrap/>
              <w:overflowPunct w:val="0"/>
              <w:topLinePunct/>
              <w:bidi w:val="0"/>
              <w:spacing w:line="360" w:lineRule="auto"/>
              <w:jc w:val="cente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日常办公地及开标地交通情况</w:t>
            </w:r>
          </w:p>
        </w:tc>
        <w:tc>
          <w:tcPr>
            <w:tcW w:w="959" w:type="dxa"/>
            <w:shd w:val="clear" w:color="auto" w:fill="auto"/>
            <w:vAlign w:val="center"/>
          </w:tcPr>
          <w:p w14:paraId="3C4778F3">
            <w:pPr>
              <w:keepNext w:val="0"/>
              <w:keepLines w:val="0"/>
              <w:pageBreakBefore w:val="0"/>
              <w:kinsoku/>
              <w:wordWrap/>
              <w:overflowPunct w:val="0"/>
              <w:topLinePunct/>
              <w:bidi w:val="0"/>
              <w:spacing w:line="360" w:lineRule="auto"/>
              <w:jc w:val="center"/>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5分</w:t>
            </w:r>
          </w:p>
        </w:tc>
        <w:tc>
          <w:tcPr>
            <w:tcW w:w="6223" w:type="dxa"/>
            <w:shd w:val="clear" w:color="auto" w:fill="auto"/>
            <w:vAlign w:val="center"/>
          </w:tcPr>
          <w:p w14:paraId="6D464726">
            <w:pPr>
              <w:keepNext w:val="0"/>
              <w:keepLines w:val="0"/>
              <w:pageBreakBefore w:val="0"/>
              <w:kinsoku/>
              <w:wordWrap/>
              <w:overflowPunct w:val="0"/>
              <w:topLinePunct/>
              <w:bidi w:val="0"/>
              <w:spacing w:line="360" w:lineRule="auto"/>
              <w:jc w:val="left"/>
              <w:rPr>
                <w:rFonts w:hint="eastAsia" w:ascii="宋体" w:hAnsi="宋体" w:cs="宋体"/>
                <w:sz w:val="24"/>
                <w:highlight w:val="none"/>
                <w:lang w:val="zh-CN" w:eastAsia="zh-CN"/>
              </w:rPr>
            </w:pPr>
            <w:r>
              <w:rPr>
                <w:rFonts w:hint="eastAsia" w:ascii="宋体" w:hAnsi="宋体" w:cs="宋体"/>
                <w:sz w:val="24"/>
                <w:highlight w:val="none"/>
                <w:lang w:val="zh-CN" w:eastAsia="zh-Hans"/>
              </w:rPr>
              <w:t>对参选单位提供的</w:t>
            </w:r>
            <w:r>
              <w:rPr>
                <w:rFonts w:hint="eastAsia" w:ascii="宋体" w:hAnsi="宋体" w:cs="宋体"/>
                <w:sz w:val="24"/>
                <w:highlight w:val="none"/>
                <w:lang w:val="en-US" w:eastAsia="zh-CN"/>
              </w:rPr>
              <w:t>日常办公地及开标地交通情况</w:t>
            </w:r>
            <w:r>
              <w:rPr>
                <w:rFonts w:hint="eastAsia" w:ascii="宋体" w:hAnsi="宋体" w:cs="宋体"/>
                <w:sz w:val="24"/>
                <w:highlight w:val="none"/>
                <w:lang w:val="zh-CN" w:eastAsia="zh-CN"/>
              </w:rPr>
              <w:t>，</w:t>
            </w:r>
            <w:r>
              <w:rPr>
                <w:rFonts w:hint="eastAsia" w:ascii="宋体" w:hAnsi="宋体" w:cs="宋体"/>
                <w:sz w:val="24"/>
                <w:highlight w:val="none"/>
                <w:lang w:val="zh-CN" w:eastAsia="zh-Hans"/>
              </w:rPr>
              <w:t>进行综合评价：</w:t>
            </w:r>
          </w:p>
          <w:p w14:paraId="3A1DBD3F">
            <w:pPr>
              <w:keepNext w:val="0"/>
              <w:keepLines w:val="0"/>
              <w:pageBreakBefore w:val="0"/>
              <w:kinsoku/>
              <w:wordWrap/>
              <w:overflowPunct w:val="0"/>
              <w:topLinePunct/>
              <w:bidi w:val="0"/>
              <w:spacing w:line="360" w:lineRule="auto"/>
              <w:jc w:val="left"/>
              <w:rPr>
                <w:rFonts w:hint="eastAsia" w:ascii="宋体" w:hAnsi="宋体" w:cs="宋体"/>
                <w:sz w:val="24"/>
                <w:highlight w:val="none"/>
                <w:lang w:val="zh-CN" w:eastAsia="zh-Hans"/>
              </w:rPr>
            </w:pPr>
            <w:r>
              <w:rPr>
                <w:rFonts w:hint="eastAsia" w:ascii="宋体" w:hAnsi="宋体" w:cs="宋体"/>
                <w:sz w:val="24"/>
                <w:highlight w:val="none"/>
                <w:lang w:val="en-US" w:eastAsia="zh-CN"/>
              </w:rPr>
              <w:t>A.日常办公地及开标地</w:t>
            </w:r>
            <w:r>
              <w:rPr>
                <w:rFonts w:hint="eastAsia" w:ascii="宋体" w:hAnsi="宋体" w:cs="宋体"/>
                <w:sz w:val="24"/>
                <w:highlight w:val="none"/>
                <w:lang w:val="zh-CN" w:eastAsia="zh-Hans"/>
              </w:rPr>
              <w:t>交通便利，位于地铁沿线，距离</w:t>
            </w:r>
            <w:r>
              <w:rPr>
                <w:rFonts w:hint="eastAsia" w:ascii="宋体" w:hAnsi="宋体" w:cs="宋体"/>
                <w:sz w:val="24"/>
                <w:highlight w:val="none"/>
                <w:lang w:val="zh-CN" w:eastAsia="zh-CN"/>
              </w:rPr>
              <w:t>院区</w:t>
            </w:r>
            <w:r>
              <w:rPr>
                <w:rFonts w:hint="eastAsia" w:ascii="宋体" w:hAnsi="宋体" w:cs="宋体"/>
                <w:sz w:val="24"/>
                <w:highlight w:val="none"/>
                <w:lang w:val="zh-CN" w:eastAsia="zh-Hans"/>
              </w:rPr>
              <w:t>近的，得</w:t>
            </w:r>
            <w:r>
              <w:rPr>
                <w:rFonts w:hint="eastAsia" w:ascii="宋体" w:hAnsi="宋体" w:cs="宋体"/>
                <w:sz w:val="24"/>
                <w:highlight w:val="none"/>
                <w:lang w:val="en-US" w:eastAsia="zh-CN"/>
              </w:rPr>
              <w:t>3</w:t>
            </w:r>
            <w:r>
              <w:rPr>
                <w:rFonts w:hint="eastAsia" w:ascii="宋体" w:hAnsi="宋体" w:cs="宋体"/>
                <w:sz w:val="24"/>
                <w:highlight w:val="none"/>
                <w:lang w:val="zh-CN" w:eastAsia="zh-Hans"/>
              </w:rPr>
              <w:t>-</w:t>
            </w:r>
            <w:r>
              <w:rPr>
                <w:rFonts w:hint="eastAsia" w:ascii="宋体" w:hAnsi="宋体" w:cs="宋体"/>
                <w:sz w:val="24"/>
                <w:highlight w:val="none"/>
                <w:lang w:val="en-US" w:eastAsia="zh-CN"/>
              </w:rPr>
              <w:t>5</w:t>
            </w:r>
            <w:r>
              <w:rPr>
                <w:rFonts w:hint="eastAsia" w:ascii="宋体" w:hAnsi="宋体" w:cs="宋体"/>
                <w:sz w:val="24"/>
                <w:highlight w:val="none"/>
                <w:lang w:val="zh-CN" w:eastAsia="zh-Hans"/>
              </w:rPr>
              <w:t>分；</w:t>
            </w:r>
          </w:p>
          <w:p w14:paraId="5EA5BFF6">
            <w:pPr>
              <w:keepNext w:val="0"/>
              <w:keepLines w:val="0"/>
              <w:pageBreakBefore w:val="0"/>
              <w:kinsoku/>
              <w:wordWrap/>
              <w:overflowPunct w:val="0"/>
              <w:topLinePunct/>
              <w:bidi w:val="0"/>
              <w:spacing w:line="360" w:lineRule="auto"/>
              <w:jc w:val="left"/>
              <w:rPr>
                <w:rFonts w:hint="eastAsia" w:ascii="宋体" w:hAnsi="宋体" w:cs="宋体"/>
                <w:sz w:val="24"/>
                <w:highlight w:val="none"/>
                <w:lang w:val="zh-CN" w:eastAsia="zh-Hans"/>
              </w:rPr>
            </w:pPr>
            <w:r>
              <w:rPr>
                <w:rFonts w:hint="eastAsia" w:ascii="宋体" w:hAnsi="宋体" w:cs="宋体"/>
                <w:sz w:val="24"/>
                <w:highlight w:val="none"/>
                <w:lang w:val="en-US" w:eastAsia="zh-CN"/>
              </w:rPr>
              <w:t>B.</w:t>
            </w:r>
            <w:r>
              <w:rPr>
                <w:rFonts w:hint="eastAsia" w:ascii="宋体" w:hAnsi="宋体" w:cs="宋体"/>
                <w:sz w:val="24"/>
                <w:highlight w:val="none"/>
                <w:lang w:val="zh-CN" w:eastAsia="zh-Hans"/>
              </w:rPr>
              <w:t>交通便利，距离</w:t>
            </w:r>
            <w:r>
              <w:rPr>
                <w:rFonts w:hint="eastAsia" w:ascii="宋体" w:hAnsi="宋体" w:cs="宋体"/>
                <w:sz w:val="24"/>
                <w:highlight w:val="none"/>
                <w:lang w:val="zh-CN" w:eastAsia="zh-CN"/>
              </w:rPr>
              <w:t>院区</w:t>
            </w:r>
            <w:r>
              <w:rPr>
                <w:rFonts w:hint="eastAsia" w:ascii="宋体" w:hAnsi="宋体" w:cs="宋体"/>
                <w:sz w:val="24"/>
                <w:highlight w:val="none"/>
                <w:lang w:val="zh-CN" w:eastAsia="zh-Hans"/>
              </w:rPr>
              <w:t>较近的，得</w:t>
            </w:r>
            <w:r>
              <w:rPr>
                <w:rFonts w:hint="eastAsia" w:ascii="宋体" w:hAnsi="宋体" w:cs="宋体"/>
                <w:sz w:val="24"/>
                <w:highlight w:val="none"/>
                <w:lang w:val="en-US" w:eastAsia="zh-CN"/>
              </w:rPr>
              <w:t>1</w:t>
            </w:r>
            <w:r>
              <w:rPr>
                <w:rFonts w:hint="eastAsia" w:ascii="宋体" w:hAnsi="宋体" w:cs="宋体"/>
                <w:sz w:val="24"/>
                <w:highlight w:val="none"/>
                <w:lang w:val="zh-CN" w:eastAsia="zh-Hans"/>
              </w:rPr>
              <w:t>-</w:t>
            </w:r>
            <w:r>
              <w:rPr>
                <w:rFonts w:hint="eastAsia" w:ascii="宋体" w:hAnsi="宋体" w:cs="宋体"/>
                <w:sz w:val="24"/>
                <w:highlight w:val="none"/>
                <w:lang w:val="en-US" w:eastAsia="zh-CN"/>
              </w:rPr>
              <w:t>3</w:t>
            </w:r>
            <w:r>
              <w:rPr>
                <w:rFonts w:hint="eastAsia" w:ascii="宋体" w:hAnsi="宋体" w:cs="宋体"/>
                <w:sz w:val="24"/>
                <w:highlight w:val="none"/>
                <w:lang w:val="zh-CN" w:eastAsia="zh-Hans"/>
              </w:rPr>
              <w:t>分；</w:t>
            </w:r>
          </w:p>
          <w:p w14:paraId="414E40A0">
            <w:pPr>
              <w:keepNext w:val="0"/>
              <w:keepLines w:val="0"/>
              <w:pageBreakBefore w:val="0"/>
              <w:kinsoku/>
              <w:wordWrap/>
              <w:overflowPunct w:val="0"/>
              <w:topLinePunct/>
              <w:bidi w:val="0"/>
              <w:spacing w:line="360" w:lineRule="auto"/>
              <w:jc w:val="left"/>
              <w:rPr>
                <w:rFonts w:hint="eastAsia" w:ascii="宋体" w:hAnsi="宋体" w:cs="宋体"/>
                <w:sz w:val="24"/>
                <w:highlight w:val="none"/>
                <w:lang w:val="en-US" w:eastAsia="zh-Hans"/>
              </w:rPr>
            </w:pPr>
            <w:r>
              <w:rPr>
                <w:rFonts w:hint="eastAsia" w:ascii="宋体" w:hAnsi="宋体" w:cs="宋体"/>
                <w:sz w:val="24"/>
                <w:highlight w:val="none"/>
                <w:lang w:val="en-US" w:eastAsia="zh-CN"/>
              </w:rPr>
              <w:t>C.</w:t>
            </w:r>
            <w:r>
              <w:rPr>
                <w:rFonts w:hint="eastAsia" w:ascii="宋体" w:hAnsi="宋体" w:cs="宋体"/>
                <w:sz w:val="24"/>
                <w:highlight w:val="none"/>
                <w:lang w:val="en-US" w:eastAsia="zh-Hans"/>
              </w:rPr>
              <w:t>交通条件一般</w:t>
            </w:r>
            <w:r>
              <w:rPr>
                <w:rFonts w:hint="eastAsia" w:ascii="宋体" w:hAnsi="宋体" w:cs="宋体"/>
                <w:sz w:val="24"/>
                <w:highlight w:val="none"/>
                <w:lang w:val="zh-CN" w:eastAsia="zh-Hans"/>
              </w:rPr>
              <w:t>或未提供的，得0-1分。</w:t>
            </w:r>
          </w:p>
          <w:p w14:paraId="7AD23413">
            <w:pPr>
              <w:keepNext w:val="0"/>
              <w:keepLines w:val="0"/>
              <w:pageBreakBefore w:val="0"/>
              <w:kinsoku/>
              <w:wordWrap/>
              <w:overflowPunct w:val="0"/>
              <w:topLinePunct/>
              <w:bidi w:val="0"/>
              <w:spacing w:line="360" w:lineRule="auto"/>
              <w:jc w:val="left"/>
              <w:rPr>
                <w:rFonts w:hint="eastAsia" w:ascii="宋体" w:hAnsi="宋体" w:cs="宋体"/>
                <w:sz w:val="24"/>
                <w:highlight w:val="none"/>
                <w:lang w:val="en-US" w:eastAsia="zh-CN"/>
              </w:rPr>
            </w:pPr>
            <w:r>
              <w:rPr>
                <w:rFonts w:hint="eastAsia" w:ascii="宋体" w:hAnsi="宋体" w:cs="宋体"/>
                <w:b/>
                <w:bCs/>
                <w:sz w:val="24"/>
                <w:highlight w:val="none"/>
                <w:lang w:val="en-US" w:eastAsia="zh-Hans"/>
              </w:rPr>
              <w:t>注：提供</w:t>
            </w:r>
            <w:r>
              <w:rPr>
                <w:rFonts w:hint="eastAsia" w:ascii="宋体" w:hAnsi="宋体" w:cs="宋体"/>
                <w:b/>
                <w:bCs/>
                <w:sz w:val="24"/>
                <w:highlight w:val="none"/>
                <w:lang w:val="zh-CN" w:eastAsia="zh-Hans"/>
              </w:rPr>
              <w:t>参选单位</w:t>
            </w:r>
            <w:r>
              <w:rPr>
                <w:rFonts w:hint="eastAsia" w:ascii="宋体" w:hAnsi="宋体" w:cs="宋体"/>
                <w:b/>
                <w:bCs/>
                <w:sz w:val="24"/>
                <w:highlight w:val="none"/>
                <w:lang w:val="en-US" w:eastAsia="zh-CN"/>
              </w:rPr>
              <w:t>日常办公地及开标地交通情况</w:t>
            </w:r>
            <w:r>
              <w:rPr>
                <w:rFonts w:hint="eastAsia" w:ascii="宋体" w:hAnsi="宋体" w:cs="宋体"/>
                <w:b/>
                <w:bCs/>
                <w:sz w:val="24"/>
                <w:highlight w:val="none"/>
                <w:lang w:val="en-US" w:eastAsia="zh-Hans"/>
              </w:rPr>
              <w:t>位置及到</w:t>
            </w:r>
            <w:r>
              <w:rPr>
                <w:rFonts w:hint="eastAsia" w:ascii="宋体" w:hAnsi="宋体" w:cs="宋体"/>
                <w:b/>
                <w:bCs/>
                <w:sz w:val="24"/>
                <w:highlight w:val="none"/>
                <w:lang w:val="zh-CN" w:eastAsia="zh-CN"/>
              </w:rPr>
              <w:t>院区</w:t>
            </w:r>
            <w:r>
              <w:rPr>
                <w:rFonts w:hint="eastAsia" w:ascii="宋体" w:hAnsi="宋体" w:cs="宋体"/>
                <w:b/>
                <w:bCs/>
                <w:sz w:val="24"/>
                <w:highlight w:val="none"/>
                <w:lang w:val="en-US" w:eastAsia="zh-Hans"/>
              </w:rPr>
              <w:t>的距离证明材料以及交通路线图。</w:t>
            </w:r>
          </w:p>
        </w:tc>
      </w:tr>
      <w:tr w14:paraId="3938B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2" w:hRule="atLeast"/>
        </w:trPr>
        <w:tc>
          <w:tcPr>
            <w:tcW w:w="675" w:type="dxa"/>
            <w:vMerge w:val="continue"/>
            <w:vAlign w:val="center"/>
          </w:tcPr>
          <w:p w14:paraId="473C1D24">
            <w:pPr>
              <w:keepNext w:val="0"/>
              <w:keepLines w:val="0"/>
              <w:pageBreakBefore w:val="0"/>
              <w:kinsoku/>
              <w:wordWrap/>
              <w:overflowPunct w:val="0"/>
              <w:topLinePunct/>
              <w:bidi w:val="0"/>
              <w:spacing w:line="360" w:lineRule="auto"/>
              <w:jc w:val="center"/>
              <w:rPr>
                <w:rFonts w:hint="default" w:ascii="宋体" w:hAnsi="宋体" w:eastAsia="宋体" w:cs="仿宋"/>
                <w:sz w:val="24"/>
                <w:highlight w:val="none"/>
                <w:lang w:val="en-US" w:eastAsia="zh-CN"/>
              </w:rPr>
            </w:pPr>
          </w:p>
        </w:tc>
        <w:tc>
          <w:tcPr>
            <w:tcW w:w="1968" w:type="dxa"/>
            <w:shd w:val="clear" w:color="auto" w:fill="auto"/>
            <w:vAlign w:val="center"/>
          </w:tcPr>
          <w:p w14:paraId="660B1951">
            <w:pPr>
              <w:keepNext w:val="0"/>
              <w:keepLines w:val="0"/>
              <w:pageBreakBefore w:val="0"/>
              <w:kinsoku/>
              <w:wordWrap/>
              <w:overflowPunct w:val="0"/>
              <w:topLinePunct/>
              <w:bidi w:val="0"/>
              <w:spacing w:line="360" w:lineRule="auto"/>
              <w:jc w:val="center"/>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项目经理答辩</w:t>
            </w:r>
          </w:p>
        </w:tc>
        <w:tc>
          <w:tcPr>
            <w:tcW w:w="959" w:type="dxa"/>
            <w:shd w:val="clear" w:color="auto" w:fill="auto"/>
            <w:vAlign w:val="center"/>
          </w:tcPr>
          <w:p w14:paraId="769ECD9B">
            <w:pPr>
              <w:keepNext w:val="0"/>
              <w:keepLines w:val="0"/>
              <w:pageBreakBefore w:val="0"/>
              <w:kinsoku/>
              <w:wordWrap/>
              <w:overflowPunct w:val="0"/>
              <w:topLinePunct/>
              <w:bidi w:val="0"/>
              <w:spacing w:line="360" w:lineRule="auto"/>
              <w:jc w:val="center"/>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10分</w:t>
            </w:r>
          </w:p>
        </w:tc>
        <w:tc>
          <w:tcPr>
            <w:tcW w:w="6223" w:type="dxa"/>
            <w:shd w:val="clear" w:color="auto" w:fill="auto"/>
            <w:vAlign w:val="center"/>
          </w:tcPr>
          <w:p w14:paraId="15AD206A">
            <w:pPr>
              <w:keepNext w:val="0"/>
              <w:keepLines w:val="0"/>
              <w:pageBreakBefore w:val="0"/>
              <w:kinsoku/>
              <w:wordWrap/>
              <w:overflowPunct w:val="0"/>
              <w:topLinePunct/>
              <w:bidi w:val="0"/>
              <w:spacing w:line="360" w:lineRule="auto"/>
              <w:jc w:val="left"/>
              <w:rPr>
                <w:rFonts w:hint="eastAsia" w:ascii="宋体" w:hAnsi="宋体" w:cs="宋体"/>
                <w:sz w:val="24"/>
                <w:highlight w:val="none"/>
              </w:rPr>
            </w:pPr>
            <w:r>
              <w:rPr>
                <w:rFonts w:hint="eastAsia" w:ascii="宋体" w:hAnsi="宋体" w:cs="宋体"/>
                <w:sz w:val="24"/>
                <w:highlight w:val="none"/>
              </w:rPr>
              <w:t>各</w:t>
            </w:r>
            <w:r>
              <w:rPr>
                <w:rFonts w:hint="eastAsia" w:ascii="宋体" w:hAnsi="宋体" w:cs="宋体"/>
                <w:sz w:val="24"/>
                <w:highlight w:val="none"/>
                <w:lang w:val="zh-CN" w:eastAsia="zh-Hans"/>
              </w:rPr>
              <w:t>参选单位</w:t>
            </w:r>
            <w:r>
              <w:rPr>
                <w:rFonts w:hint="eastAsia" w:ascii="宋体" w:hAnsi="宋体" w:eastAsia="宋体" w:cs="宋体"/>
                <w:sz w:val="24"/>
                <w:highlight w:val="none"/>
                <w:lang w:val="en-US" w:eastAsia="zh-CN"/>
              </w:rPr>
              <w:t>项目经理</w:t>
            </w:r>
            <w:r>
              <w:rPr>
                <w:rFonts w:hint="eastAsia" w:ascii="宋体" w:hAnsi="宋体" w:cs="宋体"/>
                <w:sz w:val="24"/>
                <w:highlight w:val="none"/>
              </w:rPr>
              <w:t>根据签到顺序进行答辩，回答指定问题和</w:t>
            </w:r>
            <w:r>
              <w:rPr>
                <w:rFonts w:hint="eastAsia" w:ascii="宋体" w:hAnsi="宋体" w:eastAsia="宋体" w:cs="宋体"/>
                <w:snapToGrid/>
                <w:kern w:val="2"/>
                <w:sz w:val="24"/>
                <w:szCs w:val="24"/>
                <w:highlight w:val="none"/>
                <w:lang w:eastAsia="zh-CN"/>
              </w:rPr>
              <w:t>评选委员会</w:t>
            </w:r>
            <w:r>
              <w:rPr>
                <w:rFonts w:hint="eastAsia" w:ascii="宋体" w:hAnsi="宋体" w:cs="宋体"/>
                <w:sz w:val="24"/>
                <w:highlight w:val="none"/>
              </w:rPr>
              <w:t>随机提问，时间不超过3分钟：</w:t>
            </w:r>
          </w:p>
          <w:p w14:paraId="3F3DB637">
            <w:pPr>
              <w:keepNext w:val="0"/>
              <w:keepLines w:val="0"/>
              <w:pageBreakBefore w:val="0"/>
              <w:kinsoku/>
              <w:wordWrap/>
              <w:overflowPunct w:val="0"/>
              <w:topLinePunct/>
              <w:bidi w:val="0"/>
              <w:spacing w:line="360" w:lineRule="auto"/>
              <w:jc w:val="left"/>
              <w:rPr>
                <w:rFonts w:hint="eastAsia" w:ascii="宋体" w:hAnsi="宋体" w:cs="宋体"/>
                <w:sz w:val="24"/>
                <w:highlight w:val="none"/>
              </w:rPr>
            </w:pPr>
            <w:r>
              <w:rPr>
                <w:rFonts w:hint="eastAsia" w:ascii="宋体" w:hAnsi="宋体" w:eastAsia="宋体" w:cs="宋体"/>
                <w:sz w:val="24"/>
                <w:highlight w:val="none"/>
                <w:lang w:val="en-US" w:eastAsia="zh-CN"/>
              </w:rPr>
              <w:t>A.</w:t>
            </w:r>
            <w:r>
              <w:rPr>
                <w:rFonts w:hint="eastAsia" w:ascii="宋体" w:hAnsi="宋体" w:cs="宋体"/>
                <w:sz w:val="24"/>
                <w:highlight w:val="none"/>
              </w:rPr>
              <w:t>回答问题逻辑清晰、明确透彻、针对性强，反映出具有较高的专业水平和丰富服务经验的，得8-10分；</w:t>
            </w:r>
          </w:p>
          <w:p w14:paraId="1542352F">
            <w:pPr>
              <w:keepNext w:val="0"/>
              <w:keepLines w:val="0"/>
              <w:pageBreakBefore w:val="0"/>
              <w:kinsoku/>
              <w:wordWrap/>
              <w:overflowPunct w:val="0"/>
              <w:topLinePunct/>
              <w:bidi w:val="0"/>
              <w:spacing w:line="360" w:lineRule="auto"/>
              <w:jc w:val="left"/>
              <w:rPr>
                <w:rFonts w:hint="eastAsia" w:ascii="宋体" w:hAnsi="宋体" w:cs="宋体"/>
                <w:sz w:val="24"/>
                <w:highlight w:val="none"/>
              </w:rPr>
            </w:pPr>
            <w:r>
              <w:rPr>
                <w:rFonts w:hint="eastAsia" w:ascii="宋体" w:hAnsi="宋体" w:eastAsia="宋体" w:cs="宋体"/>
                <w:sz w:val="24"/>
                <w:highlight w:val="none"/>
                <w:lang w:val="en-US" w:eastAsia="zh-CN"/>
              </w:rPr>
              <w:t>B.</w:t>
            </w:r>
            <w:r>
              <w:rPr>
                <w:rFonts w:hint="eastAsia" w:ascii="宋体" w:hAnsi="宋体" w:cs="宋体"/>
                <w:sz w:val="24"/>
                <w:highlight w:val="none"/>
              </w:rPr>
              <w:t>回答问题逻辑比较清晰、比较明确、针对性比较强，反映出具有一定的专业水平和服务经验的，得5-7分；</w:t>
            </w:r>
          </w:p>
          <w:p w14:paraId="4AA3A857">
            <w:pPr>
              <w:keepNext w:val="0"/>
              <w:keepLines w:val="0"/>
              <w:pageBreakBefore w:val="0"/>
              <w:kinsoku/>
              <w:wordWrap/>
              <w:overflowPunct w:val="0"/>
              <w:topLinePunct/>
              <w:bidi w:val="0"/>
              <w:spacing w:line="360" w:lineRule="auto"/>
              <w:jc w:val="left"/>
              <w:rPr>
                <w:rFonts w:hint="eastAsia" w:ascii="宋体" w:hAnsi="宋体" w:cs="宋体"/>
                <w:sz w:val="24"/>
                <w:highlight w:val="none"/>
              </w:rPr>
            </w:pPr>
            <w:r>
              <w:rPr>
                <w:rFonts w:hint="eastAsia" w:ascii="宋体" w:hAnsi="宋体" w:eastAsia="宋体" w:cs="宋体"/>
                <w:sz w:val="24"/>
                <w:highlight w:val="none"/>
                <w:lang w:val="en-US" w:eastAsia="zh-CN"/>
              </w:rPr>
              <w:t>C.</w:t>
            </w:r>
            <w:r>
              <w:rPr>
                <w:rFonts w:hint="eastAsia" w:ascii="宋体" w:hAnsi="宋体" w:cs="宋体"/>
                <w:sz w:val="24"/>
                <w:highlight w:val="none"/>
              </w:rPr>
              <w:t>回答问题不明确，针对性不强的，得1-4分；</w:t>
            </w:r>
          </w:p>
          <w:p w14:paraId="5CDA201E">
            <w:pPr>
              <w:keepNext w:val="0"/>
              <w:keepLines w:val="0"/>
              <w:pageBreakBefore w:val="0"/>
              <w:kinsoku/>
              <w:wordWrap/>
              <w:overflowPunct w:val="0"/>
              <w:topLinePunct/>
              <w:bidi w:val="0"/>
              <w:spacing w:line="360" w:lineRule="auto"/>
              <w:jc w:val="left"/>
              <w:rPr>
                <w:rFonts w:hint="eastAsia" w:ascii="宋体" w:hAnsi="宋体" w:cs="宋体"/>
                <w:sz w:val="24"/>
                <w:highlight w:val="none"/>
                <w:lang w:val="zh-CN" w:eastAsia="zh-Hans"/>
              </w:rPr>
            </w:pPr>
            <w:r>
              <w:rPr>
                <w:rFonts w:hint="eastAsia" w:ascii="宋体" w:hAnsi="宋体" w:eastAsia="宋体" w:cs="宋体"/>
                <w:sz w:val="24"/>
                <w:highlight w:val="none"/>
                <w:lang w:val="en-US" w:eastAsia="zh-CN"/>
              </w:rPr>
              <w:t>D.</w:t>
            </w:r>
            <w:r>
              <w:rPr>
                <w:rFonts w:hint="eastAsia" w:ascii="宋体" w:hAnsi="宋体" w:cs="宋体"/>
                <w:sz w:val="24"/>
                <w:highlight w:val="none"/>
              </w:rPr>
              <w:t>不答辩的或</w:t>
            </w:r>
            <w:r>
              <w:rPr>
                <w:rFonts w:hint="eastAsia" w:ascii="宋体" w:hAnsi="宋体" w:cs="宋体"/>
                <w:sz w:val="24"/>
                <w:highlight w:val="none"/>
                <w:lang w:val="en-US" w:eastAsia="zh-CN"/>
              </w:rPr>
              <w:t>非项目经理</w:t>
            </w:r>
            <w:r>
              <w:rPr>
                <w:rFonts w:hint="eastAsia" w:ascii="宋体" w:hAnsi="宋体" w:cs="宋体"/>
                <w:sz w:val="24"/>
                <w:highlight w:val="none"/>
              </w:rPr>
              <w:t>答辩的，得0分。</w:t>
            </w:r>
          </w:p>
        </w:tc>
      </w:tr>
    </w:tbl>
    <w:p w14:paraId="3E000801">
      <w:pPr>
        <w:keepNext w:val="0"/>
        <w:keepLines w:val="0"/>
        <w:pageBreakBefore w:val="0"/>
        <w:kinsoku/>
        <w:wordWrap/>
        <w:overflowPunct w:val="0"/>
        <w:topLinePunct/>
        <w:bidi w:val="0"/>
        <w:spacing w:line="360" w:lineRule="auto"/>
        <w:ind w:firstLine="475" w:firstLineChars="198"/>
        <w:rPr>
          <w:rFonts w:ascii="宋体" w:hAnsi="宋体"/>
          <w:b/>
          <w:sz w:val="24"/>
          <w:highlight w:val="none"/>
        </w:rPr>
      </w:pPr>
      <w:r>
        <w:rPr>
          <w:rFonts w:hint="eastAsia" w:ascii="宋体" w:hAnsi="宋体"/>
          <w:b/>
          <w:sz w:val="24"/>
          <w:highlight w:val="none"/>
        </w:rPr>
        <w:t>注：以上评</w:t>
      </w:r>
      <w:r>
        <w:rPr>
          <w:rFonts w:hint="eastAsia" w:ascii="宋体" w:hAnsi="宋体" w:eastAsia="宋体"/>
          <w:b/>
          <w:sz w:val="24"/>
          <w:highlight w:val="none"/>
          <w:lang w:val="en-US" w:eastAsia="zh-CN"/>
        </w:rPr>
        <w:t>分</w:t>
      </w:r>
      <w:r>
        <w:rPr>
          <w:rFonts w:hint="eastAsia" w:ascii="宋体" w:hAnsi="宋体"/>
          <w:b/>
          <w:sz w:val="24"/>
          <w:highlight w:val="none"/>
        </w:rPr>
        <w:t>标准中要求</w:t>
      </w:r>
      <w:r>
        <w:rPr>
          <w:rFonts w:hint="eastAsia" w:ascii="宋体" w:hAnsi="宋体" w:eastAsia="宋体"/>
          <w:b/>
          <w:sz w:val="24"/>
          <w:highlight w:val="none"/>
          <w:lang w:eastAsia="zh-CN"/>
        </w:rPr>
        <w:t>响应人</w:t>
      </w:r>
      <w:r>
        <w:rPr>
          <w:rFonts w:hint="eastAsia" w:ascii="宋体" w:hAnsi="宋体"/>
          <w:b/>
          <w:sz w:val="24"/>
          <w:highlight w:val="none"/>
        </w:rPr>
        <w:t>提交相关证明材料的，未装订在</w:t>
      </w:r>
      <w:r>
        <w:rPr>
          <w:rFonts w:hint="eastAsia" w:ascii="宋体" w:hAnsi="宋体" w:eastAsia="宋体"/>
          <w:b/>
          <w:sz w:val="24"/>
          <w:highlight w:val="none"/>
          <w:lang w:val="en-US" w:eastAsia="zh-CN"/>
        </w:rPr>
        <w:t>响应文件</w:t>
      </w:r>
      <w:r>
        <w:rPr>
          <w:rFonts w:hint="eastAsia" w:ascii="宋体" w:hAnsi="宋体"/>
          <w:b/>
          <w:sz w:val="24"/>
          <w:highlight w:val="none"/>
        </w:rPr>
        <w:t>中的不得分。</w:t>
      </w:r>
    </w:p>
    <w:p w14:paraId="4192F2D9">
      <w:pPr>
        <w:keepNext w:val="0"/>
        <w:keepLines w:val="0"/>
        <w:pageBreakBefore w:val="0"/>
        <w:kinsoku/>
        <w:wordWrap/>
        <w:overflowPunct w:val="0"/>
        <w:topLinePunct/>
        <w:bidi w:val="0"/>
        <w:spacing w:line="360" w:lineRule="auto"/>
        <w:rPr>
          <w:rFonts w:ascii="Arial"/>
          <w:sz w:val="21"/>
          <w:highlight w:val="none"/>
        </w:rPr>
      </w:pPr>
    </w:p>
    <w:p w14:paraId="5686724D">
      <w:pPr>
        <w:keepNext w:val="0"/>
        <w:keepLines w:val="0"/>
        <w:pageBreakBefore w:val="0"/>
        <w:kinsoku/>
        <w:wordWrap/>
        <w:overflowPunct w:val="0"/>
        <w:topLinePunct/>
        <w:bidi w:val="0"/>
        <w:spacing w:line="360" w:lineRule="auto"/>
        <w:rPr>
          <w:rFonts w:ascii="Arial" w:hAnsi="Arial" w:eastAsia="Arial" w:cs="Arial"/>
          <w:sz w:val="21"/>
          <w:szCs w:val="21"/>
          <w:highlight w:val="none"/>
        </w:rPr>
        <w:sectPr>
          <w:footerReference r:id="rId7" w:type="default"/>
          <w:pgSz w:w="11907" w:h="16839"/>
          <w:pgMar w:top="1417" w:right="1701" w:bottom="1417" w:left="1701" w:header="567" w:footer="567" w:gutter="0"/>
          <w:pgNumType w:fmt="decimal"/>
          <w:cols w:space="0" w:num="1"/>
          <w:rtlGutter w:val="0"/>
          <w:docGrid w:linePitch="0" w:charSpace="0"/>
        </w:sectPr>
      </w:pPr>
    </w:p>
    <w:p w14:paraId="50D8E171">
      <w:pPr>
        <w:keepNext w:val="0"/>
        <w:keepLines w:val="0"/>
        <w:pageBreakBefore w:val="0"/>
        <w:kinsoku/>
        <w:wordWrap/>
        <w:overflowPunct w:val="0"/>
        <w:topLinePunct/>
        <w:bidi w:val="0"/>
        <w:spacing w:before="233" w:line="360" w:lineRule="auto"/>
        <w:ind w:left="729"/>
        <w:outlineLvl w:val="1"/>
        <w:rPr>
          <w:rFonts w:ascii="宋体" w:hAnsi="宋体" w:eastAsia="宋体" w:cs="宋体"/>
          <w:sz w:val="28"/>
          <w:szCs w:val="28"/>
          <w:highlight w:val="none"/>
        </w:rPr>
      </w:pPr>
      <w:bookmarkStart w:id="64" w:name="bookmark41"/>
      <w:bookmarkEnd w:id="64"/>
      <w:bookmarkStart w:id="65" w:name="bookmark39"/>
      <w:bookmarkEnd w:id="65"/>
      <w:bookmarkStart w:id="66" w:name="_Toc11822"/>
      <w:r>
        <w:rPr>
          <w:rFonts w:ascii="宋体" w:hAnsi="宋体" w:eastAsia="宋体" w:cs="宋体"/>
          <w:b/>
          <w:bCs/>
          <w:spacing w:val="-4"/>
          <w:sz w:val="28"/>
          <w:szCs w:val="28"/>
          <w:highlight w:val="none"/>
        </w:rPr>
        <w:t>五、入选公示和签订合同</w:t>
      </w:r>
      <w:bookmarkEnd w:id="66"/>
    </w:p>
    <w:p w14:paraId="3362763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1</w:t>
      </w:r>
      <w:r>
        <w:rPr>
          <w:rFonts w:hint="eastAsia" w:eastAsia="宋体" w:cs="宋体"/>
          <w:sz w:val="24"/>
          <w:szCs w:val="24"/>
          <w:highlight w:val="none"/>
          <w:lang w:val="en-US" w:eastAsia="zh-CN"/>
        </w:rPr>
        <w:t>.</w:t>
      </w:r>
      <w:r>
        <w:rPr>
          <w:rFonts w:ascii="宋体" w:hAnsi="宋体" w:eastAsia="宋体" w:cs="宋体"/>
          <w:sz w:val="24"/>
          <w:szCs w:val="24"/>
          <w:highlight w:val="none"/>
        </w:rPr>
        <w:t>入选结果公示期为入选公告发布次日（含）起1日，无异议遴选人将与入选人签订合同。公示结束后，逾期</w:t>
      </w:r>
      <w:r>
        <w:rPr>
          <w:rFonts w:hint="eastAsia" w:eastAsia="宋体" w:cs="宋体"/>
          <w:sz w:val="24"/>
          <w:szCs w:val="24"/>
          <w:highlight w:val="none"/>
          <w:lang w:val="en-US" w:eastAsia="zh-CN"/>
        </w:rPr>
        <w:t>30</w:t>
      </w:r>
      <w:r>
        <w:rPr>
          <w:rFonts w:ascii="宋体" w:hAnsi="宋体" w:eastAsia="宋体" w:cs="宋体"/>
          <w:sz w:val="24"/>
          <w:szCs w:val="24"/>
          <w:highlight w:val="none"/>
        </w:rPr>
        <w:t>个日历日不签订合同的，视为自动放弃入选资格。</w:t>
      </w:r>
    </w:p>
    <w:p w14:paraId="037050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2</w:t>
      </w:r>
      <w:r>
        <w:rPr>
          <w:rFonts w:hint="eastAsia" w:eastAsia="宋体" w:cs="宋体"/>
          <w:sz w:val="24"/>
          <w:szCs w:val="24"/>
          <w:highlight w:val="none"/>
          <w:lang w:val="en-US" w:eastAsia="zh-CN"/>
        </w:rPr>
        <w:t>.</w:t>
      </w:r>
      <w:r>
        <w:rPr>
          <w:rFonts w:ascii="宋体" w:hAnsi="宋体" w:eastAsia="宋体" w:cs="宋体"/>
          <w:sz w:val="24"/>
          <w:szCs w:val="24"/>
          <w:highlight w:val="none"/>
        </w:rPr>
        <w:t>对未入选者，遴选人不对落选原因做出解释，亦不退还</w:t>
      </w:r>
      <w:r>
        <w:rPr>
          <w:rFonts w:hint="eastAsia" w:eastAsia="宋体" w:cs="宋体"/>
          <w:sz w:val="24"/>
          <w:szCs w:val="24"/>
          <w:highlight w:val="none"/>
          <w:lang w:eastAsia="zh-CN"/>
        </w:rPr>
        <w:t>响应文件</w:t>
      </w:r>
      <w:r>
        <w:rPr>
          <w:rFonts w:ascii="宋体" w:hAnsi="宋体" w:eastAsia="宋体" w:cs="宋体"/>
          <w:sz w:val="24"/>
          <w:szCs w:val="24"/>
          <w:highlight w:val="none"/>
        </w:rPr>
        <w:t>。</w:t>
      </w:r>
    </w:p>
    <w:p w14:paraId="7AAFEF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outlineLvl w:val="2"/>
        <w:rPr>
          <w:rFonts w:ascii="宋体" w:hAnsi="宋体" w:eastAsia="宋体" w:cs="宋体"/>
          <w:sz w:val="24"/>
          <w:szCs w:val="24"/>
          <w:highlight w:val="none"/>
        </w:rPr>
      </w:pPr>
      <w:bookmarkStart w:id="67" w:name="_Toc32739"/>
      <w:r>
        <w:rPr>
          <w:rFonts w:ascii="宋体" w:hAnsi="宋体" w:eastAsia="宋体" w:cs="宋体"/>
          <w:sz w:val="24"/>
          <w:szCs w:val="24"/>
          <w:highlight w:val="none"/>
        </w:rPr>
        <w:t>3</w:t>
      </w:r>
      <w:r>
        <w:rPr>
          <w:rFonts w:hint="eastAsia" w:eastAsia="宋体" w:cs="宋体"/>
          <w:sz w:val="24"/>
          <w:szCs w:val="24"/>
          <w:highlight w:val="none"/>
          <w:lang w:val="en-US" w:eastAsia="zh-CN"/>
        </w:rPr>
        <w:t>.</w:t>
      </w:r>
      <w:r>
        <w:rPr>
          <w:rFonts w:ascii="宋体" w:hAnsi="宋体" w:eastAsia="宋体" w:cs="宋体"/>
          <w:sz w:val="24"/>
          <w:szCs w:val="24"/>
          <w:highlight w:val="none"/>
        </w:rPr>
        <w:t>入选人的具体服务内容及业务范围在合同中约定。</w:t>
      </w:r>
      <w:bookmarkEnd w:id="67"/>
    </w:p>
    <w:p w14:paraId="5B4F23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4</w:t>
      </w:r>
      <w:r>
        <w:rPr>
          <w:rFonts w:hint="eastAsia" w:eastAsia="宋体" w:cs="宋体"/>
          <w:sz w:val="24"/>
          <w:szCs w:val="24"/>
          <w:highlight w:val="none"/>
          <w:lang w:val="en-US" w:eastAsia="zh-CN"/>
        </w:rPr>
        <w:t>.</w:t>
      </w:r>
      <w:r>
        <w:rPr>
          <w:rFonts w:ascii="宋体" w:hAnsi="宋体" w:eastAsia="宋体" w:cs="宋体"/>
          <w:sz w:val="24"/>
          <w:szCs w:val="24"/>
          <w:highlight w:val="none"/>
        </w:rPr>
        <w:t>本次的遴选文件、入选人的</w:t>
      </w:r>
      <w:r>
        <w:rPr>
          <w:rFonts w:hint="eastAsia" w:eastAsia="宋体" w:cs="宋体"/>
          <w:sz w:val="24"/>
          <w:szCs w:val="24"/>
          <w:highlight w:val="none"/>
          <w:lang w:eastAsia="zh-CN"/>
        </w:rPr>
        <w:t>响应文件</w:t>
      </w:r>
      <w:r>
        <w:rPr>
          <w:rFonts w:ascii="宋体" w:hAnsi="宋体" w:eastAsia="宋体" w:cs="宋体"/>
          <w:sz w:val="24"/>
          <w:szCs w:val="24"/>
          <w:highlight w:val="none"/>
        </w:rPr>
        <w:t>及书面澄清、承诺文件均作为合同的 一部分，具有法律效力。</w:t>
      </w:r>
    </w:p>
    <w:p w14:paraId="6BC2B47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5</w:t>
      </w:r>
      <w:r>
        <w:rPr>
          <w:rFonts w:hint="eastAsia" w:eastAsia="宋体" w:cs="宋体"/>
          <w:sz w:val="24"/>
          <w:szCs w:val="24"/>
          <w:highlight w:val="none"/>
          <w:lang w:val="en-US" w:eastAsia="zh-CN"/>
        </w:rPr>
        <w:t>.</w:t>
      </w:r>
      <w:r>
        <w:rPr>
          <w:rFonts w:ascii="宋体" w:hAnsi="宋体" w:eastAsia="宋体" w:cs="宋体"/>
          <w:sz w:val="24"/>
          <w:szCs w:val="24"/>
          <w:highlight w:val="none"/>
        </w:rPr>
        <w:t>入选</w:t>
      </w:r>
      <w:r>
        <w:rPr>
          <w:rFonts w:hint="eastAsia" w:eastAsia="宋体" w:cs="宋体"/>
          <w:sz w:val="24"/>
          <w:szCs w:val="24"/>
          <w:highlight w:val="none"/>
          <w:lang w:eastAsia="zh-CN"/>
        </w:rPr>
        <w:t>响应人</w:t>
      </w:r>
      <w:r>
        <w:rPr>
          <w:rFonts w:ascii="宋体" w:hAnsi="宋体" w:eastAsia="宋体" w:cs="宋体"/>
          <w:sz w:val="24"/>
          <w:szCs w:val="24"/>
          <w:highlight w:val="none"/>
        </w:rPr>
        <w:t>如不按本遴选文件的规定与遴选人签订合同，则遴选人将取消其入选资格，给遴选人造成的损失的，依法承担相应的法律责任。</w:t>
      </w:r>
    </w:p>
    <w:p w14:paraId="2505E4B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sectPr>
          <w:footerReference r:id="rId8" w:type="default"/>
          <w:pgSz w:w="11907" w:h="16839"/>
          <w:pgMar w:top="1417" w:right="1701" w:bottom="1417" w:left="1701" w:header="567" w:footer="567" w:gutter="0"/>
          <w:pgNumType w:fmt="decimal"/>
          <w:cols w:space="0" w:num="1"/>
          <w:rtlGutter w:val="0"/>
          <w:docGrid w:linePitch="0" w:charSpace="0"/>
        </w:sectPr>
      </w:pPr>
    </w:p>
    <w:p w14:paraId="38A6C69B">
      <w:pPr>
        <w:keepNext w:val="0"/>
        <w:keepLines w:val="0"/>
        <w:pageBreakBefore w:val="0"/>
        <w:kinsoku/>
        <w:wordWrap/>
        <w:overflowPunct w:val="0"/>
        <w:topLinePunct/>
        <w:bidi w:val="0"/>
        <w:spacing w:before="88" w:line="360" w:lineRule="auto"/>
        <w:ind w:left="1777"/>
        <w:outlineLvl w:val="0"/>
        <w:rPr>
          <w:rFonts w:ascii="宋体" w:hAnsi="宋体" w:eastAsia="宋体" w:cs="宋体"/>
          <w:sz w:val="43"/>
          <w:szCs w:val="43"/>
          <w:highlight w:val="none"/>
        </w:rPr>
      </w:pPr>
      <w:bookmarkStart w:id="68" w:name="bookmark43"/>
      <w:bookmarkEnd w:id="68"/>
      <w:bookmarkStart w:id="69" w:name="_Toc2430"/>
      <w:r>
        <w:rPr>
          <w:rFonts w:ascii="宋体" w:hAnsi="宋体" w:eastAsia="宋体" w:cs="宋体"/>
          <w:b/>
          <w:bCs/>
          <w:spacing w:val="5"/>
          <w:sz w:val="43"/>
          <w:szCs w:val="43"/>
          <w:highlight w:val="none"/>
        </w:rPr>
        <w:t>第四部分</w:t>
      </w:r>
      <w:r>
        <w:rPr>
          <w:rFonts w:ascii="宋体" w:hAnsi="宋体" w:eastAsia="宋体" w:cs="宋体"/>
          <w:spacing w:val="5"/>
          <w:sz w:val="43"/>
          <w:szCs w:val="43"/>
          <w:highlight w:val="none"/>
        </w:rPr>
        <w:t xml:space="preserve"> </w:t>
      </w:r>
      <w:r>
        <w:rPr>
          <w:rFonts w:ascii="宋体" w:hAnsi="宋体" w:eastAsia="宋体" w:cs="宋体"/>
          <w:b/>
          <w:bCs/>
          <w:spacing w:val="5"/>
          <w:sz w:val="43"/>
          <w:szCs w:val="43"/>
          <w:highlight w:val="none"/>
        </w:rPr>
        <w:t>服务内容及要求</w:t>
      </w:r>
      <w:bookmarkEnd w:id="69"/>
    </w:p>
    <w:p w14:paraId="7DE42B52">
      <w:pPr>
        <w:keepNext w:val="0"/>
        <w:keepLines w:val="0"/>
        <w:pageBreakBefore w:val="0"/>
        <w:kinsoku/>
        <w:wordWrap/>
        <w:overflowPunct w:val="0"/>
        <w:topLinePunct/>
        <w:bidi w:val="0"/>
        <w:adjustRightInd w:val="0"/>
        <w:snapToGrid w:val="0"/>
        <w:spacing w:line="360" w:lineRule="auto"/>
        <w:ind w:firstLine="482" w:firstLineChars="200"/>
        <w:jc w:val="left"/>
        <w:outlineLvl w:val="1"/>
        <w:rPr>
          <w:rFonts w:ascii="宋体" w:hAnsi="宋体" w:cs="仿宋"/>
          <w:b/>
          <w:bCs/>
          <w:snapToGrid w:val="0"/>
          <w:kern w:val="0"/>
          <w:sz w:val="24"/>
          <w:highlight w:val="none"/>
          <w:lang w:val="zh-CN"/>
        </w:rPr>
      </w:pPr>
      <w:bookmarkStart w:id="70" w:name="bookmark57"/>
      <w:bookmarkEnd w:id="70"/>
      <w:bookmarkStart w:id="71" w:name="bookmark45"/>
      <w:bookmarkEnd w:id="71"/>
      <w:bookmarkStart w:id="72" w:name="_Toc20680"/>
      <w:r>
        <w:rPr>
          <w:rFonts w:hint="eastAsia" w:ascii="宋体" w:hAnsi="宋体" w:eastAsia="宋体" w:cs="仿宋"/>
          <w:b/>
          <w:bCs/>
          <w:snapToGrid w:val="0"/>
          <w:kern w:val="0"/>
          <w:sz w:val="24"/>
          <w:highlight w:val="none"/>
          <w:lang w:val="en-US" w:eastAsia="zh-CN"/>
        </w:rPr>
        <w:t>一、</w:t>
      </w:r>
      <w:r>
        <w:rPr>
          <w:rFonts w:hint="eastAsia" w:ascii="宋体" w:hAnsi="宋体" w:cs="仿宋"/>
          <w:b/>
          <w:bCs/>
          <w:snapToGrid w:val="0"/>
          <w:kern w:val="0"/>
          <w:sz w:val="24"/>
          <w:highlight w:val="none"/>
          <w:lang w:val="zh-CN"/>
        </w:rPr>
        <w:t>服务内容</w:t>
      </w:r>
      <w:bookmarkEnd w:id="72"/>
    </w:p>
    <w:p w14:paraId="3420B376">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1.按照相关招标采购法律及相关规定，接受遴选人的委托，在服务期限内组织实施各类招标采购项目的采购代理工作；</w:t>
      </w:r>
    </w:p>
    <w:p w14:paraId="03D9EE52">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2.组成项目服务团队，选派有招标采购丰富经验的项目经理；</w:t>
      </w:r>
    </w:p>
    <w:p w14:paraId="2780613B">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3.根据遴选人要求，及时编制各类</w:t>
      </w:r>
      <w:r>
        <w:rPr>
          <w:rFonts w:hint="eastAsia" w:ascii="宋体" w:hAnsi="宋体" w:eastAsia="宋体" w:cs="仿宋"/>
          <w:snapToGrid w:val="0"/>
          <w:kern w:val="0"/>
          <w:sz w:val="24"/>
          <w:highlight w:val="none"/>
          <w:lang w:val="en-US" w:eastAsia="zh-CN"/>
        </w:rPr>
        <w:t>招标、采购、</w:t>
      </w:r>
      <w:r>
        <w:rPr>
          <w:rFonts w:hint="eastAsia" w:ascii="宋体" w:hAnsi="宋体" w:cs="仿宋"/>
          <w:snapToGrid w:val="0"/>
          <w:kern w:val="0"/>
          <w:sz w:val="24"/>
          <w:highlight w:val="none"/>
          <w:lang w:val="zh-CN"/>
        </w:rPr>
        <w:t>遴选文件；</w:t>
      </w:r>
    </w:p>
    <w:p w14:paraId="4B2A0D8A">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4.项目在采购前，需要对其项目进行采购（招标）文件论证的，由代理机构按有关规定组织专家论证。代理机构应严格按照《政府采购需求管理办法》相关要求和遴选人相关制度要求执行；</w:t>
      </w:r>
    </w:p>
    <w:p w14:paraId="1011DDAF">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5.代理机构须在政府部门指定的政府采购信息发布媒体上公开发布各类招标采购信息；</w:t>
      </w:r>
    </w:p>
    <w:p w14:paraId="112799A6">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6.代理机构须按要求从规定的评审专家库中抽取专家，组建评标委员会、谈判小组、评审小组，组织开评标、谈判、磋商等会议程序；</w:t>
      </w:r>
    </w:p>
    <w:p w14:paraId="6EE9EF81">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7.开标（评审）结束后，及时整理采购工作文件资料，并将整理好的资料移交遴选人并上架整理，协助遴选人完成档案信息化工作；</w:t>
      </w:r>
    </w:p>
    <w:p w14:paraId="75278D6A">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8.积极协助遴选人做好处理询问、质疑、投诉、举报工作，并根据遴选人要求做好迎接审计等各项检查工作；</w:t>
      </w:r>
    </w:p>
    <w:p w14:paraId="009A59E0">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9.与遴选人签订的代理协议项下的所有代理项目均应遵循法律法规；</w:t>
      </w:r>
    </w:p>
    <w:p w14:paraId="5E55038F">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10.对服务过程中获得的采购信息应予以保密；</w:t>
      </w:r>
    </w:p>
    <w:p w14:paraId="3E8D6565">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11.做好资料汇编等档案材料；</w:t>
      </w:r>
    </w:p>
    <w:p w14:paraId="6DFC3491">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12.完成遴选人安排的其他工作。</w:t>
      </w:r>
    </w:p>
    <w:p w14:paraId="1F3EF98F">
      <w:pPr>
        <w:keepNext w:val="0"/>
        <w:keepLines w:val="0"/>
        <w:pageBreakBefore w:val="0"/>
        <w:kinsoku/>
        <w:wordWrap/>
        <w:overflowPunct w:val="0"/>
        <w:topLinePunct/>
        <w:bidi w:val="0"/>
        <w:adjustRightInd w:val="0"/>
        <w:snapToGrid w:val="0"/>
        <w:spacing w:line="360" w:lineRule="auto"/>
        <w:ind w:firstLine="482" w:firstLineChars="200"/>
        <w:jc w:val="left"/>
        <w:outlineLvl w:val="1"/>
        <w:rPr>
          <w:rFonts w:ascii="宋体" w:hAnsi="宋体" w:cs="仿宋"/>
          <w:b/>
          <w:bCs/>
          <w:snapToGrid w:val="0"/>
          <w:kern w:val="0"/>
          <w:sz w:val="24"/>
          <w:highlight w:val="none"/>
          <w:lang w:val="zh-CN"/>
        </w:rPr>
      </w:pPr>
      <w:bookmarkStart w:id="73" w:name="_Toc3034"/>
      <w:r>
        <w:rPr>
          <w:rFonts w:hint="eastAsia" w:ascii="宋体" w:hAnsi="宋体" w:eastAsia="宋体" w:cs="仿宋"/>
          <w:b/>
          <w:bCs/>
          <w:snapToGrid w:val="0"/>
          <w:kern w:val="0"/>
          <w:sz w:val="24"/>
          <w:highlight w:val="none"/>
          <w:lang w:val="en-US" w:eastAsia="zh-CN"/>
        </w:rPr>
        <w:t>二、</w:t>
      </w:r>
      <w:r>
        <w:rPr>
          <w:rFonts w:hint="eastAsia" w:ascii="宋体" w:hAnsi="宋体" w:cs="仿宋"/>
          <w:b/>
          <w:bCs/>
          <w:snapToGrid w:val="0"/>
          <w:kern w:val="0"/>
          <w:sz w:val="24"/>
          <w:highlight w:val="none"/>
          <w:lang w:val="zh-CN"/>
        </w:rPr>
        <w:t>基本要求</w:t>
      </w:r>
      <w:bookmarkEnd w:id="73"/>
    </w:p>
    <w:p w14:paraId="004F25ED">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1.响应人应有固定的办公、开标、评标、档案储存场所，开标室、评标室、档案室具备完善的监控设备、视音频监控设备，符合上级监管部门相关管理规定，能独立承担采购代理任务；</w:t>
      </w:r>
    </w:p>
    <w:p w14:paraId="5A5CEF76">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2.须具有专业的项目团队，能够至少指定一名熟悉相关法律法规、遴选采购业务各环节的项目经理负责遴选人委托的代理业务；</w:t>
      </w:r>
    </w:p>
    <w:p w14:paraId="73A7CF3B">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3.项目服务团队人员不少于5人，其中项目经理1人，项目团队人数全部为专职人员。</w:t>
      </w:r>
    </w:p>
    <w:p w14:paraId="5C824E5D">
      <w:pPr>
        <w:keepNext w:val="0"/>
        <w:keepLines w:val="0"/>
        <w:pageBreakBefore w:val="0"/>
        <w:kinsoku/>
        <w:wordWrap/>
        <w:overflowPunct w:val="0"/>
        <w:topLinePunct/>
        <w:bidi w:val="0"/>
        <w:adjustRightInd w:val="0"/>
        <w:snapToGrid w:val="0"/>
        <w:spacing w:line="360" w:lineRule="auto"/>
        <w:ind w:firstLine="482" w:firstLineChars="200"/>
        <w:jc w:val="left"/>
        <w:outlineLvl w:val="1"/>
        <w:rPr>
          <w:rFonts w:ascii="宋体" w:hAnsi="宋体" w:cs="仿宋"/>
          <w:b/>
          <w:bCs/>
          <w:snapToGrid w:val="0"/>
          <w:kern w:val="0"/>
          <w:sz w:val="24"/>
          <w:highlight w:val="none"/>
          <w:lang w:val="zh-CN"/>
        </w:rPr>
      </w:pPr>
      <w:bookmarkStart w:id="74" w:name="_Toc13891"/>
      <w:r>
        <w:rPr>
          <w:rFonts w:hint="eastAsia" w:ascii="宋体" w:hAnsi="宋体" w:eastAsia="宋体" w:cs="仿宋"/>
          <w:b/>
          <w:bCs/>
          <w:snapToGrid w:val="0"/>
          <w:kern w:val="0"/>
          <w:sz w:val="24"/>
          <w:highlight w:val="none"/>
          <w:lang w:val="en-US" w:eastAsia="zh-CN"/>
        </w:rPr>
        <w:t>三、</w:t>
      </w:r>
      <w:r>
        <w:rPr>
          <w:rFonts w:hint="eastAsia" w:ascii="宋体" w:hAnsi="宋体" w:cs="仿宋"/>
          <w:b/>
          <w:bCs/>
          <w:snapToGrid w:val="0"/>
          <w:kern w:val="0"/>
          <w:sz w:val="24"/>
          <w:highlight w:val="none"/>
          <w:lang w:val="zh-CN"/>
        </w:rPr>
        <w:t>相关费用</w:t>
      </w:r>
      <w:bookmarkEnd w:id="74"/>
    </w:p>
    <w:p w14:paraId="2312BDE0">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1.参照《国家发展改革委办公厅关于招标代理服务收费有关问题的通知》 （发改办价格[2003]857号）和国家计委关于《招标代理服务收费管理暂行办法》（计价格[2002]1980号）规定的收费标准下浮报价，成交服务费由入选代理机构向所代理采购项目的中标（成交）供应商收取。</w:t>
      </w:r>
    </w:p>
    <w:p w14:paraId="1C7D028C">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2.入选后，一旦发现入选代理机构未按照下浮标准收取成交服务费，立即终止合同。</w:t>
      </w:r>
    </w:p>
    <w:p w14:paraId="04208547">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eastAsia="宋体" w:cs="仿宋"/>
          <w:snapToGrid w:val="0"/>
          <w:kern w:val="0"/>
          <w:sz w:val="24"/>
          <w:highlight w:val="none"/>
          <w:lang w:val="en-US" w:eastAsia="zh-CN"/>
        </w:rPr>
        <w:t>3.</w:t>
      </w:r>
      <w:r>
        <w:rPr>
          <w:rFonts w:hint="eastAsia" w:ascii="宋体" w:hAnsi="宋体" w:cs="仿宋"/>
          <w:snapToGrid w:val="0"/>
          <w:kern w:val="0"/>
          <w:sz w:val="24"/>
          <w:highlight w:val="none"/>
          <w:lang w:val="zh-CN"/>
        </w:rPr>
        <w:t>成交价格按入选人中下浮最大的报价执行。</w:t>
      </w:r>
    </w:p>
    <w:p w14:paraId="5C1E67D3">
      <w:pPr>
        <w:keepNext w:val="0"/>
        <w:keepLines w:val="0"/>
        <w:pageBreakBefore w:val="0"/>
        <w:kinsoku/>
        <w:wordWrap/>
        <w:overflowPunct w:val="0"/>
        <w:topLinePunct/>
        <w:bidi w:val="0"/>
        <w:adjustRightInd w:val="0"/>
        <w:snapToGrid w:val="0"/>
        <w:spacing w:line="360" w:lineRule="auto"/>
        <w:ind w:firstLine="482" w:firstLineChars="200"/>
        <w:jc w:val="left"/>
        <w:outlineLvl w:val="1"/>
        <w:rPr>
          <w:rFonts w:ascii="宋体" w:hAnsi="宋体" w:cs="仿宋"/>
          <w:b/>
          <w:bCs/>
          <w:snapToGrid w:val="0"/>
          <w:kern w:val="0"/>
          <w:sz w:val="24"/>
          <w:highlight w:val="none"/>
          <w:lang w:val="zh-CN"/>
        </w:rPr>
      </w:pPr>
      <w:bookmarkStart w:id="75" w:name="_Toc14560"/>
      <w:r>
        <w:rPr>
          <w:rFonts w:hint="eastAsia" w:ascii="宋体" w:hAnsi="宋体" w:eastAsia="宋体" w:cs="仿宋"/>
          <w:b/>
          <w:bCs/>
          <w:snapToGrid w:val="0"/>
          <w:kern w:val="0"/>
          <w:sz w:val="24"/>
          <w:highlight w:val="none"/>
          <w:lang w:val="en-US" w:eastAsia="zh-CN"/>
        </w:rPr>
        <w:t>四、</w:t>
      </w:r>
      <w:r>
        <w:rPr>
          <w:rFonts w:hint="eastAsia" w:ascii="宋体" w:hAnsi="宋体" w:cs="仿宋"/>
          <w:b/>
          <w:bCs/>
          <w:snapToGrid w:val="0"/>
          <w:kern w:val="0"/>
          <w:sz w:val="24"/>
          <w:highlight w:val="none"/>
          <w:lang w:val="zh-CN"/>
        </w:rPr>
        <w:t>入选数量</w:t>
      </w:r>
      <w:bookmarkEnd w:id="75"/>
    </w:p>
    <w:p w14:paraId="45672901">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本次遴选项目，遴选不超过</w:t>
      </w:r>
      <w:r>
        <w:rPr>
          <w:rFonts w:hint="eastAsia" w:ascii="宋体" w:hAnsi="宋体" w:eastAsia="宋体" w:cs="仿宋"/>
          <w:snapToGrid w:val="0"/>
          <w:kern w:val="0"/>
          <w:sz w:val="24"/>
          <w:highlight w:val="none"/>
          <w:lang w:val="en-US" w:eastAsia="zh-CN"/>
        </w:rPr>
        <w:t>3</w:t>
      </w:r>
      <w:r>
        <w:rPr>
          <w:rFonts w:hint="eastAsia" w:ascii="宋体" w:hAnsi="宋体" w:cs="仿宋"/>
          <w:snapToGrid w:val="0"/>
          <w:kern w:val="0"/>
          <w:sz w:val="24"/>
          <w:highlight w:val="none"/>
          <w:lang w:val="zh-CN"/>
        </w:rPr>
        <w:t>家招标采购代理机构入选。</w:t>
      </w:r>
    </w:p>
    <w:p w14:paraId="7273C364">
      <w:pPr>
        <w:keepNext w:val="0"/>
        <w:keepLines w:val="0"/>
        <w:pageBreakBefore w:val="0"/>
        <w:kinsoku/>
        <w:wordWrap/>
        <w:overflowPunct w:val="0"/>
        <w:topLinePunct/>
        <w:bidi w:val="0"/>
        <w:adjustRightInd w:val="0"/>
        <w:snapToGrid w:val="0"/>
        <w:spacing w:line="360" w:lineRule="auto"/>
        <w:ind w:firstLine="482" w:firstLineChars="200"/>
        <w:jc w:val="left"/>
        <w:outlineLvl w:val="1"/>
        <w:rPr>
          <w:rFonts w:ascii="宋体" w:hAnsi="宋体" w:cs="仿宋"/>
          <w:b/>
          <w:bCs/>
          <w:snapToGrid w:val="0"/>
          <w:kern w:val="0"/>
          <w:sz w:val="24"/>
          <w:highlight w:val="none"/>
          <w:lang w:val="zh-CN"/>
        </w:rPr>
      </w:pPr>
      <w:bookmarkStart w:id="76" w:name="_Toc11632"/>
      <w:r>
        <w:rPr>
          <w:rFonts w:hint="eastAsia" w:ascii="宋体" w:hAnsi="宋体" w:eastAsia="宋体" w:cs="仿宋"/>
          <w:b/>
          <w:bCs/>
          <w:snapToGrid w:val="0"/>
          <w:kern w:val="0"/>
          <w:sz w:val="24"/>
          <w:highlight w:val="none"/>
          <w:lang w:val="en-US" w:eastAsia="zh-CN"/>
        </w:rPr>
        <w:t>五、</w:t>
      </w:r>
      <w:r>
        <w:rPr>
          <w:rFonts w:hint="eastAsia" w:ascii="宋体" w:hAnsi="宋体" w:cs="仿宋"/>
          <w:b/>
          <w:bCs/>
          <w:snapToGrid w:val="0"/>
          <w:kern w:val="0"/>
          <w:sz w:val="24"/>
          <w:highlight w:val="none"/>
          <w:lang w:val="zh-CN"/>
        </w:rPr>
        <w:t>服务期限</w:t>
      </w:r>
      <w:bookmarkEnd w:id="76"/>
    </w:p>
    <w:p w14:paraId="29FAC8EE">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本次采购代理服务期限</w:t>
      </w:r>
      <w:r>
        <w:rPr>
          <w:rFonts w:hint="eastAsia" w:ascii="宋体" w:hAnsi="宋体" w:cs="仿宋"/>
          <w:snapToGrid w:val="0"/>
          <w:kern w:val="0"/>
          <w:sz w:val="24"/>
          <w:highlight w:val="none"/>
          <w:lang w:val="zh-CN" w:eastAsia="zh-CN"/>
        </w:rPr>
        <w:t>自合同签订之日起至</w:t>
      </w:r>
      <w:r>
        <w:rPr>
          <w:rFonts w:hint="eastAsia" w:ascii="宋体" w:hAnsi="宋体" w:eastAsia="宋体" w:cs="仿宋"/>
          <w:snapToGrid w:val="0"/>
          <w:kern w:val="0"/>
          <w:sz w:val="24"/>
          <w:highlight w:val="none"/>
          <w:lang w:val="en-US" w:eastAsia="zh-CN"/>
        </w:rPr>
        <w:t>2027</w:t>
      </w:r>
      <w:r>
        <w:rPr>
          <w:rFonts w:hint="eastAsia" w:ascii="宋体" w:hAnsi="宋体" w:cs="仿宋"/>
          <w:snapToGrid w:val="0"/>
          <w:kern w:val="0"/>
          <w:sz w:val="24"/>
          <w:highlight w:val="none"/>
          <w:lang w:val="zh-CN"/>
        </w:rPr>
        <w:t>年</w:t>
      </w:r>
      <w:r>
        <w:rPr>
          <w:rFonts w:hint="eastAsia" w:ascii="宋体" w:hAnsi="宋体" w:eastAsia="宋体" w:cs="仿宋"/>
          <w:snapToGrid w:val="0"/>
          <w:kern w:val="0"/>
          <w:sz w:val="24"/>
          <w:highlight w:val="none"/>
          <w:lang w:val="en-US" w:eastAsia="zh-CN"/>
        </w:rPr>
        <w:t>9月30</w:t>
      </w:r>
      <w:r>
        <w:rPr>
          <w:rFonts w:hint="eastAsia" w:ascii="宋体" w:hAnsi="宋体" w:cs="仿宋"/>
          <w:snapToGrid w:val="0"/>
          <w:kern w:val="0"/>
          <w:sz w:val="24"/>
          <w:highlight w:val="none"/>
          <w:lang w:val="zh-CN" w:eastAsia="zh-CN"/>
        </w:rPr>
        <w:t>止</w:t>
      </w:r>
      <w:r>
        <w:rPr>
          <w:rFonts w:hint="eastAsia" w:ascii="宋体" w:hAnsi="宋体" w:cs="仿宋"/>
          <w:snapToGrid w:val="0"/>
          <w:kern w:val="0"/>
          <w:sz w:val="24"/>
          <w:highlight w:val="none"/>
          <w:lang w:val="zh-CN"/>
        </w:rPr>
        <w:t>。合同履行期间，若因入选人的原因发生重大责任事故，或入选人不能圆满的履行代理协议的责任与义务，遴选人将取消其代理资格，</w:t>
      </w:r>
      <w:r>
        <w:rPr>
          <w:rFonts w:hint="eastAsia" w:ascii="宋体" w:hAnsi="宋体" w:cs="仿宋"/>
          <w:snapToGrid w:val="0"/>
          <w:kern w:val="0"/>
          <w:sz w:val="24"/>
          <w:highlight w:val="none"/>
          <w:lang w:val="zh-CN" w:eastAsia="zh-CN"/>
        </w:rPr>
        <w:t>终止</w:t>
      </w:r>
      <w:r>
        <w:rPr>
          <w:rFonts w:hint="eastAsia" w:ascii="宋体" w:hAnsi="宋体" w:cs="仿宋"/>
          <w:snapToGrid w:val="0"/>
          <w:kern w:val="0"/>
          <w:sz w:val="24"/>
          <w:highlight w:val="none"/>
          <w:lang w:val="zh-CN"/>
        </w:rPr>
        <w:t>合同。相关风险由入选人自行承担。</w:t>
      </w:r>
    </w:p>
    <w:p w14:paraId="77462173">
      <w:pPr>
        <w:keepNext w:val="0"/>
        <w:keepLines w:val="0"/>
        <w:pageBreakBefore w:val="0"/>
        <w:kinsoku/>
        <w:wordWrap/>
        <w:overflowPunct w:val="0"/>
        <w:topLinePunct/>
        <w:bidi w:val="0"/>
        <w:adjustRightInd w:val="0"/>
        <w:snapToGrid w:val="0"/>
        <w:spacing w:line="360" w:lineRule="auto"/>
        <w:ind w:firstLine="482" w:firstLineChars="200"/>
        <w:jc w:val="left"/>
        <w:outlineLvl w:val="1"/>
        <w:rPr>
          <w:rFonts w:ascii="宋体" w:hAnsi="宋体" w:cs="仿宋"/>
          <w:b/>
          <w:bCs/>
          <w:snapToGrid w:val="0"/>
          <w:kern w:val="0"/>
          <w:sz w:val="24"/>
          <w:highlight w:val="none"/>
          <w:lang w:val="zh-CN"/>
        </w:rPr>
      </w:pPr>
      <w:bookmarkStart w:id="77" w:name="_Toc5301"/>
      <w:r>
        <w:rPr>
          <w:rFonts w:hint="eastAsia" w:ascii="宋体" w:hAnsi="宋体" w:eastAsia="宋体" w:cs="仿宋"/>
          <w:b/>
          <w:bCs/>
          <w:snapToGrid w:val="0"/>
          <w:kern w:val="0"/>
          <w:sz w:val="24"/>
          <w:highlight w:val="none"/>
          <w:lang w:val="en-US" w:eastAsia="zh-CN"/>
        </w:rPr>
        <w:t>六、</w:t>
      </w:r>
      <w:r>
        <w:rPr>
          <w:rFonts w:hint="eastAsia" w:ascii="宋体" w:hAnsi="宋体" w:cs="仿宋"/>
          <w:b/>
          <w:bCs/>
          <w:snapToGrid w:val="0"/>
          <w:kern w:val="0"/>
          <w:sz w:val="24"/>
          <w:highlight w:val="none"/>
          <w:lang w:val="zh-CN"/>
        </w:rPr>
        <w:t>特别说明</w:t>
      </w:r>
      <w:bookmarkEnd w:id="77"/>
    </w:p>
    <w:p w14:paraId="3AD5DAAF">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1.入选代理机构必须在接到遴选人委托通知后及时与遴选人限定时间内正式签订委托合同。对于不能按照遴选人的合理要求并在限定时间内签订委托合同的代理机构，遴选人拥有即时终止其入选资格而且进一步追究其违约责任的权利；</w:t>
      </w:r>
    </w:p>
    <w:p w14:paraId="14C79FEB">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cs="仿宋"/>
          <w:snapToGrid w:val="0"/>
          <w:kern w:val="0"/>
          <w:sz w:val="24"/>
          <w:highlight w:val="none"/>
          <w:lang w:val="zh-CN"/>
        </w:rPr>
        <w:t>2.入选后的代理机构在合同履行过程中发现有不遵守职业道德、违背国家法律法规规定等情况的，一经发现，取消其入选资格；涉及犯罪的，移送公安机关；</w:t>
      </w:r>
    </w:p>
    <w:p w14:paraId="01476483">
      <w:pPr>
        <w:keepNext w:val="0"/>
        <w:keepLines w:val="0"/>
        <w:pageBreakBefore w:val="0"/>
        <w:kinsoku/>
        <w:wordWrap/>
        <w:overflowPunct w:val="0"/>
        <w:topLinePunct/>
        <w:bidi w:val="0"/>
        <w:adjustRightInd w:val="0"/>
        <w:snapToGrid w:val="0"/>
        <w:spacing w:line="360" w:lineRule="auto"/>
        <w:ind w:firstLine="480" w:firstLineChars="200"/>
        <w:jc w:val="left"/>
        <w:rPr>
          <w:rFonts w:ascii="宋体" w:hAnsi="宋体" w:cs="仿宋"/>
          <w:snapToGrid w:val="0"/>
          <w:kern w:val="0"/>
          <w:sz w:val="24"/>
          <w:highlight w:val="none"/>
          <w:lang w:val="zh-CN"/>
        </w:rPr>
      </w:pPr>
      <w:r>
        <w:rPr>
          <w:rFonts w:hint="eastAsia" w:ascii="宋体" w:hAnsi="宋体" w:eastAsia="宋体" w:cs="仿宋"/>
          <w:snapToGrid w:val="0"/>
          <w:kern w:val="0"/>
          <w:sz w:val="24"/>
          <w:highlight w:val="none"/>
          <w:lang w:val="en-US" w:eastAsia="zh-CN"/>
        </w:rPr>
        <w:t>3</w:t>
      </w:r>
      <w:r>
        <w:rPr>
          <w:rFonts w:hint="eastAsia" w:ascii="宋体" w:hAnsi="宋体" w:cs="仿宋"/>
          <w:snapToGrid w:val="0"/>
          <w:kern w:val="0"/>
          <w:sz w:val="24"/>
          <w:highlight w:val="none"/>
          <w:lang w:val="zh-CN"/>
        </w:rPr>
        <w:t>.对于已确定的入选人，如果存在资质不实、业绩虚假、挂靠、项目组成员非本单位正式人员或者项目转包等情况的，解除其合同；</w:t>
      </w:r>
    </w:p>
    <w:p w14:paraId="1E2D6F25">
      <w:pPr>
        <w:keepNext w:val="0"/>
        <w:keepLines w:val="0"/>
        <w:pageBreakBefore w:val="0"/>
        <w:widowControl/>
        <w:kinsoku/>
        <w:wordWrap/>
        <w:overflowPunct w:val="0"/>
        <w:topLinePunct/>
        <w:autoSpaceDE w:val="0"/>
        <w:autoSpaceDN w:val="0"/>
        <w:bidi w:val="0"/>
        <w:adjustRightInd w:val="0"/>
        <w:snapToGrid w:val="0"/>
        <w:spacing w:line="360" w:lineRule="auto"/>
        <w:ind w:firstLine="480" w:firstLineChars="200"/>
        <w:jc w:val="left"/>
        <w:textAlignment w:val="baseline"/>
        <w:rPr>
          <w:rFonts w:ascii="宋体" w:hAnsi="宋体" w:cs="仿宋"/>
          <w:snapToGrid w:val="0"/>
          <w:kern w:val="0"/>
          <w:sz w:val="24"/>
          <w:highlight w:val="none"/>
          <w:lang w:val="zh-CN"/>
        </w:rPr>
      </w:pPr>
      <w:r>
        <w:rPr>
          <w:rFonts w:hint="eastAsia" w:ascii="宋体" w:hAnsi="宋体" w:eastAsia="宋体" w:cs="仿宋"/>
          <w:snapToGrid w:val="0"/>
          <w:kern w:val="0"/>
          <w:sz w:val="24"/>
          <w:highlight w:val="none"/>
          <w:lang w:val="en-US" w:eastAsia="zh-CN"/>
        </w:rPr>
        <w:t>4</w:t>
      </w:r>
      <w:r>
        <w:rPr>
          <w:rFonts w:hint="eastAsia" w:ascii="宋体" w:hAnsi="宋体" w:cs="仿宋"/>
          <w:snapToGrid w:val="0"/>
          <w:kern w:val="0"/>
          <w:sz w:val="24"/>
          <w:highlight w:val="none"/>
          <w:lang w:val="zh-CN"/>
        </w:rPr>
        <w:t>.服务期内，根据入选代理机构服务团队表现，遴选人有权要求代理机构更换项目服务团队人员；如代理机构主动更换服务团队人员，须以书面形式说明原因，经遴选人同意，方可更换，且所更换专职人员所具备的从业年限、学历、职称等资格条件均须等于或高于被更换专职人员。若未经遴选人同意，自行更换团队人员，遴选人有权终止合同；</w:t>
      </w:r>
    </w:p>
    <w:p w14:paraId="7CC05A9D">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eastAsia="宋体" w:cs="仿宋"/>
          <w:snapToGrid w:val="0"/>
          <w:kern w:val="0"/>
          <w:sz w:val="24"/>
          <w:highlight w:val="none"/>
          <w:lang w:val="en-US" w:eastAsia="zh-CN"/>
        </w:rPr>
        <w:t>5</w:t>
      </w:r>
      <w:r>
        <w:rPr>
          <w:rFonts w:hint="eastAsia" w:ascii="宋体" w:hAnsi="宋体" w:cs="仿宋"/>
          <w:snapToGrid w:val="0"/>
          <w:kern w:val="0"/>
          <w:sz w:val="24"/>
          <w:highlight w:val="none"/>
          <w:lang w:val="zh-CN"/>
        </w:rPr>
        <w:t>.遴选人不承诺入选人均能形成业务量，也不保证形成平均业务量，具体业务量遴选人有权依据本单位内控管理制度及入选人的服务情况自主分配。</w:t>
      </w:r>
    </w:p>
    <w:p w14:paraId="1F661EAF">
      <w:pPr>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br w:type="page"/>
      </w:r>
    </w:p>
    <w:p w14:paraId="001D0A0A">
      <w:pPr>
        <w:keepNext w:val="0"/>
        <w:keepLines w:val="0"/>
        <w:pageBreakBefore w:val="0"/>
        <w:kinsoku/>
        <w:wordWrap/>
        <w:overflowPunct w:val="0"/>
        <w:topLinePunct/>
        <w:bidi w:val="0"/>
        <w:spacing w:before="88" w:line="360" w:lineRule="auto"/>
        <w:ind w:left="1557"/>
        <w:outlineLvl w:val="0"/>
        <w:rPr>
          <w:rFonts w:ascii="宋体" w:hAnsi="宋体" w:eastAsia="宋体" w:cs="宋体"/>
          <w:sz w:val="43"/>
          <w:szCs w:val="43"/>
          <w:highlight w:val="none"/>
        </w:rPr>
      </w:pPr>
      <w:bookmarkStart w:id="78" w:name="_Toc8565"/>
      <w:r>
        <w:rPr>
          <w:rFonts w:ascii="宋体" w:hAnsi="宋体" w:eastAsia="宋体" w:cs="宋体"/>
          <w:b/>
          <w:bCs/>
          <w:spacing w:val="4"/>
          <w:sz w:val="43"/>
          <w:szCs w:val="43"/>
          <w:highlight w:val="none"/>
        </w:rPr>
        <w:t>第五部分</w:t>
      </w:r>
      <w:r>
        <w:rPr>
          <w:rFonts w:ascii="宋体" w:hAnsi="宋体" w:eastAsia="宋体" w:cs="宋体"/>
          <w:spacing w:val="4"/>
          <w:sz w:val="43"/>
          <w:szCs w:val="43"/>
          <w:highlight w:val="none"/>
        </w:rPr>
        <w:t xml:space="preserve"> </w:t>
      </w:r>
      <w:r>
        <w:rPr>
          <w:rFonts w:ascii="宋体" w:hAnsi="宋体" w:eastAsia="宋体" w:cs="宋体"/>
          <w:b/>
          <w:bCs/>
          <w:spacing w:val="4"/>
          <w:sz w:val="43"/>
          <w:szCs w:val="43"/>
          <w:highlight w:val="none"/>
        </w:rPr>
        <w:t>合同条款（参考）</w:t>
      </w:r>
      <w:bookmarkEnd w:id="78"/>
    </w:p>
    <w:p w14:paraId="490DAA64">
      <w:pPr>
        <w:keepNext w:val="0"/>
        <w:keepLines w:val="0"/>
        <w:pageBreakBefore w:val="0"/>
        <w:kinsoku/>
        <w:wordWrap/>
        <w:overflowPunct w:val="0"/>
        <w:topLinePunct/>
        <w:bidi w:val="0"/>
        <w:spacing w:before="229" w:line="360" w:lineRule="auto"/>
        <w:ind w:left="2876"/>
        <w:outlineLvl w:val="1"/>
        <w:rPr>
          <w:rFonts w:ascii="宋体" w:hAnsi="宋体" w:eastAsia="宋体" w:cs="宋体"/>
          <w:sz w:val="35"/>
          <w:szCs w:val="35"/>
          <w:highlight w:val="none"/>
        </w:rPr>
      </w:pPr>
      <w:bookmarkStart w:id="79" w:name="_Toc16184"/>
      <w:r>
        <w:rPr>
          <w:rFonts w:ascii="宋体" w:hAnsi="宋体" w:eastAsia="宋体" w:cs="宋体"/>
          <w:spacing w:val="8"/>
          <w:sz w:val="35"/>
          <w:szCs w:val="35"/>
          <w:highlight w:val="none"/>
        </w:rPr>
        <w:t>招标采购委托代理合同</w:t>
      </w:r>
      <w:bookmarkEnd w:id="79"/>
    </w:p>
    <w:p w14:paraId="2DC752D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 xml:space="preserve">甲方： </w:t>
      </w:r>
    </w:p>
    <w:p w14:paraId="649C92B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乙方：</w:t>
      </w:r>
    </w:p>
    <w:p w14:paraId="2E06DAB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委托时间： 年  月  日</w:t>
      </w:r>
    </w:p>
    <w:p w14:paraId="1ADF44D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委托地点：</w:t>
      </w:r>
    </w:p>
    <w:p w14:paraId="4BF0609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p>
    <w:p w14:paraId="1E444CD4">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甲、乙双方本着平等互利，协商一致的原则，经充分协商，根据《中华人民共和国民法典》及有关法律规定，就招标采购委托代理有关事宜，达成如下协议，以 便双方共同遵守。</w:t>
      </w:r>
    </w:p>
    <w:p w14:paraId="2113B8E8">
      <w:pPr>
        <w:keepNext w:val="0"/>
        <w:keepLines w:val="0"/>
        <w:pageBreakBefore w:val="0"/>
        <w:kinsoku/>
        <w:wordWrap/>
        <w:overflowPunct w:val="0"/>
        <w:topLinePunct/>
        <w:bidi w:val="0"/>
        <w:spacing w:before="34" w:line="360" w:lineRule="auto"/>
        <w:ind w:left="466"/>
        <w:outlineLvl w:val="1"/>
        <w:rPr>
          <w:rFonts w:ascii="宋体" w:hAnsi="宋体" w:eastAsia="宋体" w:cs="宋体"/>
          <w:sz w:val="24"/>
          <w:szCs w:val="24"/>
          <w:highlight w:val="none"/>
        </w:rPr>
      </w:pPr>
      <w:bookmarkStart w:id="80" w:name="_Toc14039"/>
      <w:r>
        <w:rPr>
          <w:rFonts w:ascii="宋体" w:hAnsi="宋体" w:eastAsia="宋体" w:cs="宋体"/>
          <w:b/>
          <w:bCs/>
          <w:spacing w:val="-6"/>
          <w:sz w:val="24"/>
          <w:szCs w:val="24"/>
          <w:highlight w:val="none"/>
        </w:rPr>
        <w:t>一、总则</w:t>
      </w:r>
      <w:bookmarkEnd w:id="80"/>
    </w:p>
    <w:p w14:paraId="6A3653BA">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1.双方在签订和履行本合同时，根据国家法律规定建立委托代理关系，严格遵守和执行国家各项方针政策和有关法律、法规和条例规定。</w:t>
      </w:r>
    </w:p>
    <w:p w14:paraId="6AA9C603">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2.双方严格按照《中华人民共和国招标投标法》、《中华人民共和国政府采购法》、《中华人民共和国民法典》及国家的有关法律法规实施各项招标采购。</w:t>
      </w:r>
    </w:p>
    <w:p w14:paraId="5644887C">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3.双方本着密切配合、分工协作、保证质量、按期完成的原则，共同做好招标采购工作。</w:t>
      </w:r>
    </w:p>
    <w:p w14:paraId="5C99B906">
      <w:pPr>
        <w:keepNext w:val="0"/>
        <w:keepLines w:val="0"/>
        <w:pageBreakBefore w:val="0"/>
        <w:kinsoku/>
        <w:wordWrap/>
        <w:overflowPunct w:val="0"/>
        <w:topLinePunct/>
        <w:bidi w:val="0"/>
        <w:spacing w:before="158" w:line="360" w:lineRule="auto"/>
        <w:ind w:left="466"/>
        <w:outlineLvl w:val="1"/>
        <w:rPr>
          <w:rFonts w:ascii="宋体" w:hAnsi="宋体" w:eastAsia="宋体" w:cs="宋体"/>
          <w:sz w:val="24"/>
          <w:szCs w:val="24"/>
          <w:highlight w:val="none"/>
        </w:rPr>
      </w:pPr>
      <w:bookmarkStart w:id="81" w:name="_Toc18033"/>
      <w:r>
        <w:rPr>
          <w:rFonts w:ascii="宋体" w:hAnsi="宋体" w:eastAsia="宋体" w:cs="宋体"/>
          <w:b/>
          <w:bCs/>
          <w:spacing w:val="-4"/>
          <w:sz w:val="24"/>
          <w:szCs w:val="24"/>
          <w:highlight w:val="none"/>
        </w:rPr>
        <w:t>二、委托期限及内容：</w:t>
      </w:r>
      <w:bookmarkEnd w:id="81"/>
    </w:p>
    <w:p w14:paraId="6F5DAF32">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自   年  月  日至   年  月  日止。委托期间，根据工作需要，甲方委托乙方进行招标采购代理。每次采购项目采购内容和委托时间，根据甲方提交给乙方的委托书确定，采购方式由双方按照国家有关法律规定确定。</w:t>
      </w:r>
    </w:p>
    <w:p w14:paraId="4976CC37">
      <w:pPr>
        <w:keepNext w:val="0"/>
        <w:keepLines w:val="0"/>
        <w:pageBreakBefore w:val="0"/>
        <w:kinsoku/>
        <w:wordWrap/>
        <w:overflowPunct w:val="0"/>
        <w:topLinePunct/>
        <w:bidi w:val="0"/>
        <w:spacing w:before="34" w:line="360" w:lineRule="auto"/>
        <w:ind w:left="462"/>
        <w:outlineLvl w:val="1"/>
        <w:rPr>
          <w:rFonts w:ascii="宋体" w:hAnsi="宋体" w:eastAsia="宋体" w:cs="宋体"/>
          <w:sz w:val="24"/>
          <w:szCs w:val="24"/>
          <w:highlight w:val="none"/>
        </w:rPr>
      </w:pPr>
      <w:bookmarkStart w:id="82" w:name="_Toc14514"/>
      <w:r>
        <w:rPr>
          <w:rFonts w:ascii="宋体" w:hAnsi="宋体" w:eastAsia="宋体" w:cs="宋体"/>
          <w:b/>
          <w:bCs/>
          <w:spacing w:val="-3"/>
          <w:sz w:val="24"/>
          <w:szCs w:val="24"/>
          <w:highlight w:val="none"/>
        </w:rPr>
        <w:t>三、双方的权利与义务</w:t>
      </w:r>
      <w:bookmarkEnd w:id="82"/>
    </w:p>
    <w:p w14:paraId="283FF6FC">
      <w:pPr>
        <w:keepNext w:val="0"/>
        <w:keepLines w:val="0"/>
        <w:pageBreakBefore w:val="0"/>
        <w:kinsoku/>
        <w:wordWrap/>
        <w:overflowPunct w:val="0"/>
        <w:topLinePunct/>
        <w:bidi w:val="0"/>
        <w:spacing w:before="155" w:line="360" w:lineRule="auto"/>
        <w:ind w:left="493"/>
        <w:outlineLvl w:val="2"/>
        <w:rPr>
          <w:rFonts w:ascii="宋体" w:hAnsi="宋体" w:eastAsia="宋体" w:cs="宋体"/>
          <w:sz w:val="24"/>
          <w:szCs w:val="24"/>
          <w:highlight w:val="none"/>
        </w:rPr>
      </w:pPr>
      <w:bookmarkStart w:id="83" w:name="_Toc12663"/>
      <w:r>
        <w:rPr>
          <w:rFonts w:ascii="宋体" w:hAnsi="宋体" w:eastAsia="宋体" w:cs="宋体"/>
          <w:b/>
          <w:bCs/>
          <w:spacing w:val="-4"/>
          <w:sz w:val="24"/>
          <w:szCs w:val="24"/>
          <w:highlight w:val="none"/>
        </w:rPr>
        <w:t>（一）甲方的权利与义务</w:t>
      </w:r>
      <w:bookmarkEnd w:id="83"/>
    </w:p>
    <w:p w14:paraId="48C288AE">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1.负责向有关部门办理项目审批手续、资金落实等工作，使项目具备招标采购条件；</w:t>
      </w:r>
    </w:p>
    <w:p w14:paraId="7E6A84D8">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2.向乙方提供编制招标、采购、遴选等文件所需的商务要求、标的物清单、技术资料、安装调试及使用要求、供应商资质、评标程序、评分办法等内容，并对其准确性、完整性负责；</w:t>
      </w:r>
    </w:p>
    <w:p w14:paraId="49CD8563">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3.负责审阅乙方编制的</w:t>
      </w:r>
      <w:r>
        <w:rPr>
          <w:rFonts w:hint="eastAsia" w:ascii="宋体" w:hAnsi="宋体" w:eastAsia="宋体" w:cs="仿宋"/>
          <w:snapToGrid w:val="0"/>
          <w:kern w:val="0"/>
          <w:sz w:val="24"/>
          <w:highlight w:val="none"/>
          <w:lang w:val="en-US" w:eastAsia="zh-CN"/>
        </w:rPr>
        <w:t>招标、采购、遴选等文件</w:t>
      </w:r>
      <w:r>
        <w:rPr>
          <w:rFonts w:hint="eastAsia" w:ascii="宋体" w:hAnsi="宋体" w:cs="仿宋"/>
          <w:snapToGrid w:val="0"/>
          <w:kern w:val="0"/>
          <w:sz w:val="24"/>
          <w:highlight w:val="none"/>
          <w:lang w:val="zh-CN"/>
        </w:rPr>
        <w:t>，并提出修改意见；</w:t>
      </w:r>
    </w:p>
    <w:p w14:paraId="7FBE9521">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4.协助乙方进行有关招标、采购、遴选等文件的澄清、答疑和修改工作；必要时，可以对招标、采购、遴选等文件有关内容进行修改并将修改文件交乙方发送各供应商；</w:t>
      </w:r>
    </w:p>
    <w:p w14:paraId="221B0650">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5.协助乙方依法组建评标委员会；</w:t>
      </w:r>
    </w:p>
    <w:p w14:paraId="55A57754">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6.选派遴选人代表参加评审（评标）委员会的工作，参与项目评审工作；</w:t>
      </w:r>
    </w:p>
    <w:p w14:paraId="03FB822D">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7.应指派一名熟悉本业务的人员与乙方保持联系，沟通招标采购过程中的有关事宜；</w:t>
      </w:r>
    </w:p>
    <w:p w14:paraId="6DC6F942">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8.指派相关人员参加开标、评标活动；</w:t>
      </w:r>
    </w:p>
    <w:p w14:paraId="783C10B7">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9.根据乙方提供的评标报告和中标候选人，依法确定中标人；</w:t>
      </w:r>
    </w:p>
    <w:p w14:paraId="2644B829">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11.必要时负责对潜在供应商和中标候选人进行考察；</w:t>
      </w:r>
    </w:p>
    <w:p w14:paraId="44A67BB6">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11.在乙方向中标人发出中标通知书</w:t>
      </w:r>
      <w:r>
        <w:rPr>
          <w:rFonts w:hint="eastAsia" w:ascii="宋体" w:hAnsi="宋体" w:eastAsia="宋体" w:cs="仿宋"/>
          <w:snapToGrid w:val="0"/>
          <w:kern w:val="0"/>
          <w:sz w:val="24"/>
          <w:highlight w:val="none"/>
          <w:lang w:val="en-US" w:eastAsia="zh-CN"/>
        </w:rPr>
        <w:t>后</w:t>
      </w:r>
      <w:r>
        <w:rPr>
          <w:rFonts w:hint="eastAsia" w:ascii="宋体" w:hAnsi="宋体" w:cs="仿宋"/>
          <w:snapToGrid w:val="0"/>
          <w:kern w:val="0"/>
          <w:sz w:val="24"/>
          <w:highlight w:val="none"/>
          <w:lang w:val="zh-CN"/>
        </w:rPr>
        <w:t>，按遴选文件、中标人的报价文件、评标现场的书面承诺等与中标人签订书面合同；</w:t>
      </w:r>
    </w:p>
    <w:p w14:paraId="73AC7468">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12.有权要求乙方更换不称职的招标项目代理从业人员；</w:t>
      </w:r>
    </w:p>
    <w:p w14:paraId="4EB3DE89">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13.对招标、评标过程中依法需要保密的内容负有保密的义务；</w:t>
      </w:r>
    </w:p>
    <w:p w14:paraId="43FBDAD4">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14.本合同履行期间，由于乙方不履行合同约定，给甲方造成损失或影响招标采购工作正常进行的，甲方有权终止本合同，并依法向乙方追索经济赔偿，直至追究法律责任。</w:t>
      </w:r>
    </w:p>
    <w:p w14:paraId="77EDCC83">
      <w:pPr>
        <w:keepNext w:val="0"/>
        <w:keepLines w:val="0"/>
        <w:pageBreakBefore w:val="0"/>
        <w:kinsoku/>
        <w:wordWrap/>
        <w:overflowPunct w:val="0"/>
        <w:topLinePunct/>
        <w:bidi w:val="0"/>
        <w:spacing w:before="158" w:line="360" w:lineRule="auto"/>
        <w:ind w:left="492"/>
        <w:outlineLvl w:val="2"/>
        <w:rPr>
          <w:rFonts w:ascii="宋体" w:hAnsi="宋体" w:eastAsia="宋体" w:cs="宋体"/>
          <w:sz w:val="24"/>
          <w:szCs w:val="24"/>
          <w:highlight w:val="none"/>
        </w:rPr>
      </w:pPr>
      <w:bookmarkStart w:id="84" w:name="_Toc125"/>
      <w:r>
        <w:rPr>
          <w:rFonts w:ascii="宋体" w:hAnsi="宋体" w:eastAsia="宋体" w:cs="宋体"/>
          <w:b/>
          <w:bCs/>
          <w:spacing w:val="-4"/>
          <w:sz w:val="24"/>
          <w:szCs w:val="24"/>
          <w:highlight w:val="none"/>
        </w:rPr>
        <w:t>（二）乙方的权利与义务</w:t>
      </w:r>
      <w:bookmarkEnd w:id="84"/>
    </w:p>
    <w:p w14:paraId="06757B1F">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1.组成专项工作小组，安排一名项目经理，联系和处理招标采购过程中的有关事项；</w:t>
      </w:r>
    </w:p>
    <w:p w14:paraId="79DD9676">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2.乙方按照甲方的委托，遵循公开、公平、公正和诚实守信的原则组织招标采购工作，认真履行职责；</w:t>
      </w:r>
    </w:p>
    <w:p w14:paraId="682C40BE">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3.在项目招标采购过程中，乙方有义务向甲方解释有关招标投标的法律、法规，保证招标采购工作的合法性；</w:t>
      </w:r>
    </w:p>
    <w:p w14:paraId="12EFDA1A">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4.接受和签收甲方提供的商务要求、标的物清单、技术资料、安装调试及使用要求、供应商资质、评标程序、评分办法等内容，并据此编制招标、采购、遴选等文件，报甲方审查确认；</w:t>
      </w:r>
    </w:p>
    <w:p w14:paraId="6C92FC9A">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5.在收到甲方委托书后，按照相关法定程序，在相关网站、媒体上发布招标采购公告，负责招标、采购、遴选等文件的答疑、澄清、修改；及时向甲方通报招标采购计划和进度，保证招标采购工作的顺利实施；</w:t>
      </w:r>
    </w:p>
    <w:p w14:paraId="6E854A58">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6.按国家有关法律规定抽取专家，专家应具有相关专业知识，组建项目评标委员会。</w:t>
      </w:r>
    </w:p>
    <w:p w14:paraId="72AABAAA">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7.组织招标采购项目的开标、评标工作；根据实际需要，负责联系监督机构或公证机关，对开标过程进行监督与公证；</w:t>
      </w:r>
    </w:p>
    <w:p w14:paraId="2E8EBA9B">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8.按照评标委员会的评审结论编制评标报告，汇集招标采购和报价文件并按有关规定及时报送甲方；</w:t>
      </w:r>
    </w:p>
    <w:p w14:paraId="31B97A14">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9.对甲方提供的采购项目的各种数据、资料，以及招标采购、评标过程中依法需要保密的内容负有保密的义务，合同终止后，未经甲方同意，乙方不得泄露与本合同相关的任何招标资料和情况；</w:t>
      </w:r>
    </w:p>
    <w:p w14:paraId="1F4DDCE8">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11.积极协助甲方做好处理质疑、投诉答复和审计工作；</w:t>
      </w:r>
    </w:p>
    <w:p w14:paraId="45784190">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11.负责向中标人及甲方发出《中标通知书》，并通知中标人与甲方签订合同；</w:t>
      </w:r>
    </w:p>
    <w:p w14:paraId="40D49B5A">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12.负责整理编写评标报告，根据需要报送有关主管部门审查，并对招标过程全部资料整理、立卷归档备查。</w:t>
      </w:r>
    </w:p>
    <w:p w14:paraId="7CAB107B">
      <w:pPr>
        <w:keepNext w:val="0"/>
        <w:keepLines w:val="0"/>
        <w:pageBreakBefore w:val="0"/>
        <w:kinsoku/>
        <w:wordWrap/>
        <w:overflowPunct w:val="0"/>
        <w:topLinePunct/>
        <w:bidi w:val="0"/>
        <w:spacing w:before="154" w:line="360" w:lineRule="auto"/>
        <w:ind w:left="494"/>
        <w:outlineLvl w:val="1"/>
        <w:rPr>
          <w:rFonts w:ascii="宋体" w:hAnsi="宋体" w:eastAsia="宋体" w:cs="宋体"/>
          <w:sz w:val="24"/>
          <w:szCs w:val="24"/>
          <w:highlight w:val="none"/>
        </w:rPr>
      </w:pPr>
      <w:bookmarkStart w:id="85" w:name="_Toc12190"/>
      <w:r>
        <w:rPr>
          <w:rFonts w:ascii="宋体" w:hAnsi="宋体" w:eastAsia="宋体" w:cs="宋体"/>
          <w:b/>
          <w:bCs/>
          <w:spacing w:val="-10"/>
          <w:sz w:val="24"/>
          <w:szCs w:val="24"/>
          <w:highlight w:val="none"/>
        </w:rPr>
        <w:t>四、费用</w:t>
      </w:r>
      <w:bookmarkEnd w:id="85"/>
    </w:p>
    <w:p w14:paraId="0474A533">
      <w:pPr>
        <w:keepNext w:val="0"/>
        <w:keepLines w:val="0"/>
        <w:pageBreakBefore w:val="0"/>
        <w:kinsoku/>
        <w:wordWrap/>
        <w:overflowPunct w:val="0"/>
        <w:topLinePunct/>
        <w:bidi w:val="0"/>
        <w:adjustRightInd w:val="0"/>
        <w:snapToGrid w:val="0"/>
        <w:spacing w:line="360" w:lineRule="auto"/>
        <w:ind w:firstLine="480" w:firstLineChars="200"/>
        <w:jc w:val="left"/>
        <w:outlineLvl w:val="2"/>
        <w:rPr>
          <w:rFonts w:hint="eastAsia" w:ascii="宋体" w:hAnsi="宋体" w:cs="仿宋"/>
          <w:snapToGrid w:val="0"/>
          <w:kern w:val="0"/>
          <w:sz w:val="24"/>
          <w:highlight w:val="none"/>
          <w:lang w:val="zh-CN"/>
        </w:rPr>
      </w:pPr>
      <w:bookmarkStart w:id="86" w:name="_Toc13584"/>
      <w:r>
        <w:rPr>
          <w:rFonts w:hint="eastAsia" w:ascii="宋体" w:hAnsi="宋体" w:cs="仿宋"/>
          <w:snapToGrid w:val="0"/>
          <w:kern w:val="0"/>
          <w:sz w:val="24"/>
          <w:highlight w:val="none"/>
          <w:lang w:val="zh-CN"/>
        </w:rPr>
        <w:t>1.乙方承担组织招标采购过程中所发生的各项费用。</w:t>
      </w:r>
      <w:bookmarkEnd w:id="86"/>
    </w:p>
    <w:p w14:paraId="4E33A63C">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2.乙方按标准，向中标人一次性收取代理服务费，甲方不再向乙方支付任何费用。乙方应在遴选文件中明确代理服务费由中标人承担及其收费标准；</w:t>
      </w:r>
    </w:p>
    <w:p w14:paraId="3B47767F">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3.乙方按国家规定收取投标保证金，并在招标采购完成后按有关规定及时退回给投标人。</w:t>
      </w:r>
    </w:p>
    <w:p w14:paraId="2EFD56AA">
      <w:pPr>
        <w:keepNext w:val="0"/>
        <w:keepLines w:val="0"/>
        <w:pageBreakBefore w:val="0"/>
        <w:kinsoku/>
        <w:wordWrap/>
        <w:overflowPunct w:val="0"/>
        <w:topLinePunct/>
        <w:bidi w:val="0"/>
        <w:spacing w:before="153" w:line="360" w:lineRule="auto"/>
        <w:ind w:left="485"/>
        <w:outlineLvl w:val="1"/>
        <w:rPr>
          <w:rFonts w:ascii="宋体" w:hAnsi="宋体" w:eastAsia="宋体" w:cs="宋体"/>
          <w:sz w:val="24"/>
          <w:szCs w:val="24"/>
          <w:highlight w:val="none"/>
        </w:rPr>
      </w:pPr>
      <w:bookmarkStart w:id="87" w:name="_Toc30182"/>
      <w:r>
        <w:rPr>
          <w:rFonts w:ascii="宋体" w:hAnsi="宋体" w:eastAsia="宋体" w:cs="宋体"/>
          <w:b/>
          <w:bCs/>
          <w:spacing w:val="-4"/>
          <w:sz w:val="24"/>
          <w:szCs w:val="24"/>
          <w:highlight w:val="none"/>
        </w:rPr>
        <w:t>五、廉政条款</w:t>
      </w:r>
      <w:bookmarkEnd w:id="87"/>
    </w:p>
    <w:p w14:paraId="66CC0704">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甲乙双方必须严格遵守党和国家有关廉洁规定，严格执行本合同，各自建立健全廉政制度，开展廉政教育，监督并认真查处违法违纪行为。发现对方在业务活动中有违规、违纪、违法行为，应及时提醒，自觉抵制；劝阻无效时，应向其监督部门或上级主管部门反映情况，予以纠正；情节严重的，应向纪检监察、司法机关举报。</w:t>
      </w:r>
    </w:p>
    <w:p w14:paraId="02C547C7">
      <w:pPr>
        <w:keepNext w:val="0"/>
        <w:keepLines w:val="0"/>
        <w:pageBreakBefore w:val="0"/>
        <w:kinsoku/>
        <w:wordWrap/>
        <w:overflowPunct w:val="0"/>
        <w:topLinePunct/>
        <w:bidi w:val="0"/>
        <w:spacing w:before="34" w:line="360" w:lineRule="auto"/>
        <w:ind w:left="493"/>
        <w:outlineLvl w:val="2"/>
        <w:rPr>
          <w:rFonts w:ascii="宋体" w:hAnsi="宋体" w:eastAsia="宋体" w:cs="宋体"/>
          <w:sz w:val="24"/>
          <w:szCs w:val="24"/>
          <w:highlight w:val="none"/>
        </w:rPr>
      </w:pPr>
      <w:bookmarkStart w:id="88" w:name="_Toc25296"/>
      <w:r>
        <w:rPr>
          <w:rFonts w:ascii="宋体" w:hAnsi="宋体" w:eastAsia="宋体" w:cs="宋体"/>
          <w:b/>
          <w:bCs/>
          <w:spacing w:val="-5"/>
          <w:sz w:val="24"/>
          <w:szCs w:val="24"/>
          <w:highlight w:val="none"/>
        </w:rPr>
        <w:t>（一）甲方的责任</w:t>
      </w:r>
      <w:bookmarkEnd w:id="88"/>
    </w:p>
    <w:p w14:paraId="6CCD6246">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1.不得向乙方及相关单位索要或接受回扣、礼金、有价证券、贵重物品和好处费等；</w:t>
      </w:r>
    </w:p>
    <w:p w14:paraId="78EA8C5B">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2.不得在乙方及相关单位报销任何应由甲方或个人支付的费用；</w:t>
      </w:r>
    </w:p>
    <w:p w14:paraId="152D286B">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3.不得要求、暗示和接受乙方及相关单位为个人装修住房、婚丧嫁娶、配偶子女以及出国（境）、旅游等提供方便；</w:t>
      </w:r>
    </w:p>
    <w:p w14:paraId="53FA02FF">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4.不得参加有可能影响公正执行业务的乙方和相关单位组织的宴请和健身、娱乐等活动；</w:t>
      </w:r>
    </w:p>
    <w:p w14:paraId="6C9B07E0">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5.不得向乙方及其工作人员介绍家属、亲友从事与公司采购有关的经济活动,不得要求乙方购买任何物品。</w:t>
      </w:r>
    </w:p>
    <w:p w14:paraId="71B80666">
      <w:pPr>
        <w:keepNext w:val="0"/>
        <w:keepLines w:val="0"/>
        <w:pageBreakBefore w:val="0"/>
        <w:kinsoku/>
        <w:wordWrap/>
        <w:overflowPunct w:val="0"/>
        <w:topLinePunct/>
        <w:bidi w:val="0"/>
        <w:spacing w:before="87" w:line="360" w:lineRule="auto"/>
        <w:ind w:left="252"/>
        <w:outlineLvl w:val="2"/>
        <w:rPr>
          <w:rFonts w:ascii="宋体" w:hAnsi="宋体" w:eastAsia="宋体" w:cs="宋体"/>
          <w:sz w:val="24"/>
          <w:szCs w:val="24"/>
          <w:highlight w:val="none"/>
        </w:rPr>
      </w:pPr>
      <w:bookmarkStart w:id="89" w:name="_Toc25854"/>
      <w:r>
        <w:rPr>
          <w:rFonts w:ascii="宋体" w:hAnsi="宋体" w:eastAsia="宋体" w:cs="宋体"/>
          <w:b/>
          <w:bCs/>
          <w:spacing w:val="-5"/>
          <w:sz w:val="24"/>
          <w:szCs w:val="24"/>
          <w:highlight w:val="none"/>
        </w:rPr>
        <w:t>（二）乙方的责任</w:t>
      </w:r>
      <w:bookmarkEnd w:id="89"/>
    </w:p>
    <w:p w14:paraId="6B75E877">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1.不得以任何理由向甲方、甲方代表、相关单位或个人赠送礼金、购物劵、有价证券、会员卡、贵重物品或回扣、好处费、感谢费等；</w:t>
      </w:r>
    </w:p>
    <w:p w14:paraId="2BB85329">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2.不得以任何理由为甲方、甲方代表和相关单位报销应由对方或个人支付的费用；</w:t>
      </w:r>
    </w:p>
    <w:p w14:paraId="42D1267E">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3.不得为甲方、甲方代表、相关单位或个人装修住房、婚丧嫁娶、配偶子女的工作安排以及出国（境）、旅游等提供方便；</w:t>
      </w:r>
    </w:p>
    <w:p w14:paraId="08C419DE">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4.不得以任何理由为甲方、甲方代表、相关单位或个人提供有可能影响公正执行业务的宴请、健身、娱乐等活动。</w:t>
      </w:r>
    </w:p>
    <w:p w14:paraId="5DE849F8">
      <w:pPr>
        <w:keepNext w:val="0"/>
        <w:keepLines w:val="0"/>
        <w:pageBreakBefore w:val="0"/>
        <w:kinsoku/>
        <w:wordWrap/>
        <w:overflowPunct w:val="0"/>
        <w:topLinePunct/>
        <w:bidi w:val="0"/>
        <w:spacing w:before="155" w:line="360" w:lineRule="auto"/>
        <w:ind w:left="370"/>
        <w:outlineLvl w:val="2"/>
        <w:rPr>
          <w:rFonts w:ascii="宋体" w:hAnsi="宋体" w:eastAsia="宋体" w:cs="宋体"/>
          <w:sz w:val="24"/>
          <w:szCs w:val="24"/>
          <w:highlight w:val="none"/>
        </w:rPr>
      </w:pPr>
      <w:bookmarkStart w:id="90" w:name="_Toc15906"/>
      <w:r>
        <w:rPr>
          <w:rFonts w:ascii="宋体" w:hAnsi="宋体" w:eastAsia="宋体" w:cs="宋体"/>
          <w:b/>
          <w:bCs/>
          <w:spacing w:val="-5"/>
          <w:sz w:val="24"/>
          <w:szCs w:val="24"/>
          <w:highlight w:val="none"/>
        </w:rPr>
        <w:t>（三）违规处理</w:t>
      </w:r>
      <w:bookmarkEnd w:id="90"/>
    </w:p>
    <w:p w14:paraId="56878B47">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1.甲方代表工作人员有违反甲方责任条款行为的，按照管理权限，根据有关 法律法规和规定给予党纪、政纪处分或组织处理；涉嫌犯罪的，移交司法机关处理；给乙方单位造成经济损失的，应予以赔偿或补偿；</w:t>
      </w:r>
    </w:p>
    <w:p w14:paraId="517F9D00">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2.乙方工作人员有违反乙方责任条款行为的，按照管理权限，根据有关法律法规和规定给予党纪、政纪处分或组织处理；涉嫌犯罪的，移交司法机关处理；给甲方单位造成经济损失的，应予以赔偿或补偿；同时取消乙方的招标代理资格。</w:t>
      </w:r>
    </w:p>
    <w:p w14:paraId="4C848176">
      <w:pPr>
        <w:keepNext w:val="0"/>
        <w:keepLines w:val="0"/>
        <w:pageBreakBefore w:val="0"/>
        <w:kinsoku/>
        <w:wordWrap/>
        <w:overflowPunct w:val="0"/>
        <w:topLinePunct/>
        <w:bidi w:val="0"/>
        <w:spacing w:before="154" w:line="360" w:lineRule="auto"/>
        <w:ind w:left="482"/>
        <w:outlineLvl w:val="1"/>
        <w:rPr>
          <w:rFonts w:ascii="宋体" w:hAnsi="宋体" w:eastAsia="宋体" w:cs="宋体"/>
          <w:sz w:val="24"/>
          <w:szCs w:val="24"/>
          <w:highlight w:val="none"/>
        </w:rPr>
      </w:pPr>
      <w:bookmarkStart w:id="91" w:name="_Toc9311"/>
      <w:r>
        <w:rPr>
          <w:rFonts w:ascii="宋体" w:hAnsi="宋体" w:eastAsia="宋体" w:cs="宋体"/>
          <w:b/>
          <w:bCs/>
          <w:spacing w:val="-4"/>
          <w:sz w:val="24"/>
          <w:szCs w:val="24"/>
          <w:highlight w:val="none"/>
        </w:rPr>
        <w:t>六、争议解决</w:t>
      </w:r>
      <w:bookmarkEnd w:id="91"/>
    </w:p>
    <w:p w14:paraId="79C4BB4B">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1.在执行本合同过程中，若双方发生争议，应通过友好协商予以解决，协商不成时任何一方均可向人民法院提起诉讼；</w:t>
      </w:r>
    </w:p>
    <w:p w14:paraId="7BDB6BAA">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2.双方应及时通报合同执行中所发生的问题，及时磋商解决办法，由于延误造成的损失，由责任方承担；</w:t>
      </w:r>
    </w:p>
    <w:p w14:paraId="64F97686">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3.由于一方违约造成的损失，由违约方承担，另一方要求违约方继续履行合同时，违约方承担上述违约责任后仍应继续履行合同；</w:t>
      </w:r>
    </w:p>
    <w:p w14:paraId="08B52A01">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4.由于违约造成第三方损失的，应由违约方在赔偿另一方及第三方的损失。</w:t>
      </w:r>
    </w:p>
    <w:p w14:paraId="6FFFF660">
      <w:pPr>
        <w:keepNext w:val="0"/>
        <w:keepLines w:val="0"/>
        <w:pageBreakBefore w:val="0"/>
        <w:kinsoku/>
        <w:wordWrap/>
        <w:overflowPunct w:val="0"/>
        <w:topLinePunct/>
        <w:bidi w:val="0"/>
        <w:spacing w:before="154" w:line="360" w:lineRule="auto"/>
        <w:ind w:left="480"/>
        <w:outlineLvl w:val="1"/>
        <w:rPr>
          <w:rFonts w:ascii="宋体" w:hAnsi="宋体" w:eastAsia="宋体" w:cs="宋体"/>
          <w:sz w:val="24"/>
          <w:szCs w:val="24"/>
          <w:highlight w:val="none"/>
        </w:rPr>
      </w:pPr>
      <w:bookmarkStart w:id="92" w:name="_Toc10904"/>
      <w:r>
        <w:rPr>
          <w:rFonts w:ascii="宋体" w:hAnsi="宋体" w:eastAsia="宋体" w:cs="宋体"/>
          <w:b/>
          <w:bCs/>
          <w:spacing w:val="-3"/>
          <w:sz w:val="24"/>
          <w:szCs w:val="24"/>
          <w:highlight w:val="none"/>
        </w:rPr>
        <w:t>七、合同变更、生效与终止</w:t>
      </w:r>
      <w:bookmarkEnd w:id="92"/>
    </w:p>
    <w:p w14:paraId="538BFAF9">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1.本合同签订后，由于甲方原因，使得乙方不能持续履行招标采购代理业务时，甲方应及时通知乙方暂停招标采购代理业务。当需要恢复招标采购代理业务时，应当在正式恢复 7天通知乙方；</w:t>
      </w:r>
    </w:p>
    <w:p w14:paraId="762F9E0E">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2.本合同签订后，如因法律法规发生变化或由于任何后续新颁布的法律法规导致服务所需的成本或时间发生改变，则本合同约定的相关内容由双方签订补充协议进行相应调整；</w:t>
      </w:r>
    </w:p>
    <w:p w14:paraId="652E1AF1">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3.本合同当事人一方要求变更或解除合同时，除法律法规另有规定外，应与对方当事人协商一致并达成书面协议。未达成书面协议的，本合同依然有效；</w:t>
      </w:r>
    </w:p>
    <w:p w14:paraId="772CF69F">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4.因解除合同使当事人一方遭受损失的，除依法可以免除责任外，应由责任方负责赔偿对方的损失；</w:t>
      </w:r>
    </w:p>
    <w:p w14:paraId="1DB49494">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5.因乙方原因导致甲方终止或解除本合同的，甲方不承担任何责任，由此给甲方造成损失的，包括但不限于另行委托第三方代理招标采购的费用、市场价格波动损失等，乙方应当另行向甲方赔偿；</w:t>
      </w:r>
    </w:p>
    <w:p w14:paraId="392BB4A7">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6.因不可抗力或政策变化，致使当事人一方或双方不能履行合同时，双方应协商本合同继续履行的条件或终止本合同。如果双方不能就本合同继续履行的条件或终止本合同达成一致意见，本合同自行终止。除甲方应付给乙方已完成工作的报酬外，各自承担相应的损失。</w:t>
      </w:r>
    </w:p>
    <w:p w14:paraId="3B41CD61">
      <w:pPr>
        <w:keepNext w:val="0"/>
        <w:keepLines w:val="0"/>
        <w:pageBreakBefore w:val="0"/>
        <w:kinsoku/>
        <w:wordWrap/>
        <w:overflowPunct w:val="0"/>
        <w:topLinePunct/>
        <w:bidi w:val="0"/>
        <w:spacing w:before="156" w:line="360" w:lineRule="auto"/>
        <w:ind w:left="486"/>
        <w:outlineLvl w:val="1"/>
        <w:rPr>
          <w:rFonts w:ascii="宋体" w:hAnsi="宋体" w:eastAsia="宋体" w:cs="宋体"/>
          <w:sz w:val="24"/>
          <w:szCs w:val="24"/>
          <w:highlight w:val="none"/>
        </w:rPr>
      </w:pPr>
      <w:bookmarkStart w:id="93" w:name="_Toc846"/>
      <w:r>
        <w:rPr>
          <w:rFonts w:ascii="宋体" w:hAnsi="宋体" w:eastAsia="宋体" w:cs="宋体"/>
          <w:b/>
          <w:bCs/>
          <w:spacing w:val="-6"/>
          <w:sz w:val="24"/>
          <w:szCs w:val="24"/>
          <w:highlight w:val="none"/>
        </w:rPr>
        <w:t>九、其他</w:t>
      </w:r>
      <w:bookmarkEnd w:id="93"/>
    </w:p>
    <w:p w14:paraId="34536026">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1.本合同书一式四份，甲、乙双方各执两份，双方代表签字并加盖公章后生效；</w:t>
      </w:r>
    </w:p>
    <w:p w14:paraId="2F12014A">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2.其它未尽事宜，双方可另行协议并签订协议，补充协议与本合同具备同等法律效力；</w:t>
      </w:r>
    </w:p>
    <w:p w14:paraId="434AA543">
      <w:pPr>
        <w:keepNext w:val="0"/>
        <w:keepLines w:val="0"/>
        <w:pageBreakBefore w:val="0"/>
        <w:kinsoku/>
        <w:wordWrap/>
        <w:overflowPunct w:val="0"/>
        <w:topLinePunct/>
        <w:bidi w:val="0"/>
        <w:adjustRightInd w:val="0"/>
        <w:snapToGrid w:val="0"/>
        <w:spacing w:line="360" w:lineRule="auto"/>
        <w:ind w:firstLine="480" w:firstLineChars="200"/>
        <w:jc w:val="left"/>
        <w:rPr>
          <w:rFonts w:hint="eastAsia" w:ascii="宋体" w:hAnsi="宋体" w:cs="仿宋"/>
          <w:snapToGrid w:val="0"/>
          <w:kern w:val="0"/>
          <w:sz w:val="24"/>
          <w:highlight w:val="none"/>
          <w:lang w:val="zh-CN"/>
        </w:rPr>
      </w:pPr>
      <w:r>
        <w:rPr>
          <w:rFonts w:hint="eastAsia" w:ascii="宋体" w:hAnsi="宋体" w:cs="仿宋"/>
          <w:snapToGrid w:val="0"/>
          <w:kern w:val="0"/>
          <w:sz w:val="24"/>
          <w:highlight w:val="none"/>
          <w:lang w:val="zh-CN"/>
        </w:rPr>
        <w:t>3.本合同执行期间，如遇国家颁布新法律或规定与本合同相矛盾，以国家法律规定为准。</w:t>
      </w:r>
    </w:p>
    <w:p w14:paraId="18B62F0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p>
    <w:p w14:paraId="7144824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p>
    <w:p w14:paraId="0EC47C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 xml:space="preserve">甲方（公章）：                    </w:t>
      </w:r>
      <w:r>
        <w:rPr>
          <w:rFonts w:hint="eastAsia" w:eastAsia="宋体" w:cs="宋体"/>
          <w:sz w:val="24"/>
          <w:szCs w:val="24"/>
          <w:highlight w:val="none"/>
          <w:lang w:val="en-US" w:eastAsia="zh-CN"/>
        </w:rPr>
        <w:t xml:space="preserve"> </w:t>
      </w:r>
      <w:r>
        <w:rPr>
          <w:rFonts w:ascii="宋体" w:hAnsi="宋体" w:eastAsia="宋体" w:cs="宋体"/>
          <w:sz w:val="24"/>
          <w:szCs w:val="24"/>
          <w:highlight w:val="none"/>
        </w:rPr>
        <w:t>乙方（公章）：</w:t>
      </w:r>
    </w:p>
    <w:p w14:paraId="25AB9C9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授权代表：                         授权代表：</w:t>
      </w:r>
    </w:p>
    <w:p w14:paraId="3F8CF4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签字日期：  年  月  日             签字日期：   年   月  日</w:t>
      </w:r>
    </w:p>
    <w:p w14:paraId="7A05A93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sectPr>
          <w:footerReference r:id="rId9" w:type="default"/>
          <w:pgSz w:w="11907" w:h="16839"/>
          <w:pgMar w:top="1417" w:right="1701" w:bottom="1417" w:left="1701" w:header="567" w:footer="567" w:gutter="0"/>
          <w:pgNumType w:fmt="decimal"/>
          <w:cols w:space="0" w:num="1"/>
          <w:rtlGutter w:val="0"/>
          <w:docGrid w:linePitch="0" w:charSpace="0"/>
        </w:sectPr>
      </w:pPr>
    </w:p>
    <w:p w14:paraId="1E9E445C">
      <w:pPr>
        <w:keepNext w:val="0"/>
        <w:keepLines w:val="0"/>
        <w:pageBreakBefore w:val="0"/>
        <w:kinsoku/>
        <w:wordWrap/>
        <w:overflowPunct w:val="0"/>
        <w:topLinePunct/>
        <w:bidi w:val="0"/>
        <w:spacing w:before="88" w:line="360" w:lineRule="auto"/>
        <w:ind w:left="2881"/>
        <w:outlineLvl w:val="0"/>
        <w:rPr>
          <w:rFonts w:ascii="宋体" w:hAnsi="宋体" w:eastAsia="宋体" w:cs="宋体"/>
          <w:sz w:val="43"/>
          <w:szCs w:val="43"/>
          <w:highlight w:val="none"/>
        </w:rPr>
      </w:pPr>
      <w:bookmarkStart w:id="94" w:name="bookmark59"/>
      <w:bookmarkEnd w:id="94"/>
      <w:bookmarkStart w:id="95" w:name="_Toc13434"/>
      <w:r>
        <w:rPr>
          <w:rFonts w:ascii="宋体" w:hAnsi="宋体" w:eastAsia="宋体" w:cs="宋体"/>
          <w:b/>
          <w:bCs/>
          <w:spacing w:val="-6"/>
          <w:sz w:val="43"/>
          <w:szCs w:val="43"/>
          <w:highlight w:val="none"/>
        </w:rPr>
        <w:t>第六部分</w:t>
      </w:r>
      <w:r>
        <w:rPr>
          <w:rFonts w:ascii="宋体" w:hAnsi="宋体" w:eastAsia="宋体" w:cs="宋体"/>
          <w:spacing w:val="63"/>
          <w:sz w:val="43"/>
          <w:szCs w:val="43"/>
          <w:highlight w:val="none"/>
        </w:rPr>
        <w:t xml:space="preserve"> </w:t>
      </w:r>
      <w:r>
        <w:rPr>
          <w:rFonts w:ascii="宋体" w:hAnsi="宋体" w:eastAsia="宋体" w:cs="宋体"/>
          <w:b/>
          <w:bCs/>
          <w:spacing w:val="-6"/>
          <w:sz w:val="43"/>
          <w:szCs w:val="43"/>
          <w:highlight w:val="none"/>
        </w:rPr>
        <w:t>附件</w:t>
      </w:r>
      <w:bookmarkEnd w:id="95"/>
    </w:p>
    <w:p w14:paraId="21409A0E">
      <w:pPr>
        <w:keepNext w:val="0"/>
        <w:keepLines w:val="0"/>
        <w:pageBreakBefore w:val="0"/>
        <w:kinsoku/>
        <w:wordWrap/>
        <w:overflowPunct w:val="0"/>
        <w:topLinePunct/>
        <w:bidi w:val="0"/>
        <w:spacing w:before="91" w:line="360" w:lineRule="auto"/>
        <w:outlineLvl w:val="1"/>
        <w:rPr>
          <w:rFonts w:ascii="Times New Roman" w:hAnsi="Times New Roman" w:eastAsia="Times New Roman" w:cs="Times New Roman"/>
          <w:sz w:val="28"/>
          <w:szCs w:val="28"/>
          <w:highlight w:val="none"/>
        </w:rPr>
      </w:pPr>
      <w:bookmarkStart w:id="96" w:name="_Toc14013"/>
      <w:r>
        <w:rPr>
          <w:rFonts w:ascii="宋体" w:hAnsi="宋体" w:eastAsia="宋体" w:cs="宋体"/>
          <w:b/>
          <w:bCs/>
          <w:spacing w:val="-13"/>
          <w:sz w:val="28"/>
          <w:szCs w:val="28"/>
          <w:highlight w:val="none"/>
        </w:rPr>
        <w:t>附件</w:t>
      </w:r>
      <w:r>
        <w:rPr>
          <w:rFonts w:ascii="Times New Roman" w:hAnsi="Times New Roman" w:eastAsia="Times New Roman" w:cs="Times New Roman"/>
          <w:b/>
          <w:bCs/>
          <w:spacing w:val="-13"/>
          <w:sz w:val="28"/>
          <w:szCs w:val="28"/>
          <w:highlight w:val="none"/>
        </w:rPr>
        <w:t>1</w:t>
      </w:r>
      <w:bookmarkEnd w:id="96"/>
    </w:p>
    <w:p w14:paraId="37E29DAB">
      <w:pPr>
        <w:keepNext w:val="0"/>
        <w:keepLines w:val="0"/>
        <w:pageBreakBefore w:val="0"/>
        <w:kinsoku/>
        <w:wordWrap/>
        <w:overflowPunct w:val="0"/>
        <w:topLinePunct/>
        <w:bidi w:val="0"/>
        <w:spacing w:before="188" w:line="360" w:lineRule="auto"/>
        <w:ind w:left="4173"/>
        <w:rPr>
          <w:rFonts w:ascii="宋体" w:hAnsi="宋体" w:eastAsia="宋体" w:cs="宋体"/>
          <w:sz w:val="28"/>
          <w:szCs w:val="28"/>
          <w:highlight w:val="none"/>
        </w:rPr>
      </w:pPr>
      <w:r>
        <w:rPr>
          <w:rFonts w:ascii="宋体" w:hAnsi="宋体" w:eastAsia="宋体" w:cs="宋体"/>
          <w:b/>
          <w:bCs/>
          <w:spacing w:val="-7"/>
          <w:sz w:val="28"/>
          <w:szCs w:val="28"/>
          <w:highlight w:val="none"/>
        </w:rPr>
        <w:t>参选函</w:t>
      </w:r>
    </w:p>
    <w:p w14:paraId="0E23419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right="0"/>
        <w:textAlignment w:val="baseline"/>
        <w:rPr>
          <w:rFonts w:ascii="宋体" w:hAnsi="宋体" w:eastAsia="宋体" w:cs="宋体"/>
          <w:sz w:val="24"/>
          <w:szCs w:val="24"/>
          <w:highlight w:val="none"/>
        </w:rPr>
      </w:pPr>
    </w:p>
    <w:p w14:paraId="505F1AB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right="0"/>
        <w:textAlignment w:val="baseline"/>
        <w:rPr>
          <w:rFonts w:hint="default" w:ascii="宋体" w:hAnsi="宋体" w:eastAsia="宋体" w:cs="宋体"/>
          <w:sz w:val="24"/>
          <w:szCs w:val="24"/>
          <w:highlight w:val="none"/>
          <w:lang w:val="en-US" w:eastAsia="zh-CN"/>
        </w:rPr>
      </w:pPr>
      <w:r>
        <w:rPr>
          <w:rFonts w:ascii="宋体" w:hAnsi="宋体" w:eastAsia="宋体" w:cs="宋体"/>
          <w:sz w:val="24"/>
          <w:szCs w:val="24"/>
          <w:highlight w:val="none"/>
        </w:rPr>
        <w:t>致：</w:t>
      </w:r>
      <w:r>
        <w:rPr>
          <w:rFonts w:ascii="宋体" w:hAnsi="宋体" w:eastAsia="宋体" w:cs="宋体"/>
          <w:sz w:val="24"/>
          <w:szCs w:val="24"/>
          <w:highlight w:val="none"/>
          <w:u w:val="single"/>
        </w:rPr>
        <w:t>山东大学齐鲁医院</w:t>
      </w:r>
      <w:r>
        <w:rPr>
          <w:rFonts w:hint="eastAsia" w:eastAsia="宋体" w:cs="宋体"/>
          <w:sz w:val="24"/>
          <w:szCs w:val="24"/>
          <w:highlight w:val="none"/>
          <w:u w:val="single"/>
          <w:lang w:eastAsia="zh-CN"/>
        </w:rPr>
        <w:t>（</w:t>
      </w:r>
      <w:r>
        <w:rPr>
          <w:rFonts w:hint="eastAsia" w:eastAsia="宋体" w:cs="宋体"/>
          <w:sz w:val="24"/>
          <w:szCs w:val="24"/>
          <w:highlight w:val="none"/>
          <w:u w:val="single"/>
          <w:lang w:val="en-US" w:eastAsia="zh-CN"/>
        </w:rPr>
        <w:t>青岛</w:t>
      </w:r>
      <w:r>
        <w:rPr>
          <w:rFonts w:hint="eastAsia" w:eastAsia="宋体" w:cs="宋体"/>
          <w:sz w:val="24"/>
          <w:szCs w:val="24"/>
          <w:highlight w:val="none"/>
          <w:u w:val="single"/>
          <w:lang w:eastAsia="zh-CN"/>
        </w:rPr>
        <w:t>）、</w:t>
      </w:r>
      <w:r>
        <w:rPr>
          <w:rFonts w:hint="eastAsia" w:eastAsia="宋体" w:cs="宋体"/>
          <w:sz w:val="24"/>
          <w:szCs w:val="24"/>
          <w:highlight w:val="none"/>
          <w:u w:val="single"/>
          <w:lang w:val="en-US" w:eastAsia="zh-CN"/>
        </w:rPr>
        <w:t>海逸恒安项目管理有限公司</w:t>
      </w:r>
    </w:p>
    <w:p w14:paraId="533B4FC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经研究，本公司决定参加贵</w:t>
      </w:r>
      <w:r>
        <w:rPr>
          <w:rFonts w:hint="eastAsia" w:eastAsia="宋体" w:cs="宋体"/>
          <w:sz w:val="24"/>
          <w:szCs w:val="24"/>
          <w:highlight w:val="none"/>
          <w:lang w:val="en-US" w:eastAsia="zh-CN"/>
        </w:rPr>
        <w:t>方</w:t>
      </w:r>
      <w:r>
        <w:rPr>
          <w:rFonts w:ascii="宋体" w:hAnsi="宋体" w:eastAsia="宋体" w:cs="宋体"/>
          <w:sz w:val="24"/>
          <w:szCs w:val="24"/>
          <w:highlight w:val="none"/>
        </w:rPr>
        <w:t>组织的</w:t>
      </w:r>
      <w:r>
        <w:rPr>
          <w:rFonts w:hint="eastAsia" w:ascii="宋体" w:hAnsi="宋体" w:cs="仿宋"/>
          <w:snapToGrid w:val="0"/>
          <w:kern w:val="0"/>
          <w:sz w:val="24"/>
          <w:highlight w:val="none"/>
          <w:lang w:val="zh-CN"/>
        </w:rPr>
        <w:t>山东大学齐鲁医院</w:t>
      </w:r>
      <w:r>
        <w:rPr>
          <w:rFonts w:hint="eastAsia" w:ascii="宋体" w:hAnsi="宋体" w:cs="仿宋"/>
          <w:snapToGrid w:val="0"/>
          <w:kern w:val="0"/>
          <w:sz w:val="24"/>
          <w:highlight w:val="none"/>
          <w:lang w:val="zh-CN" w:eastAsia="zh-CN"/>
        </w:rPr>
        <w:t>（</w:t>
      </w:r>
      <w:r>
        <w:rPr>
          <w:rFonts w:hint="eastAsia" w:ascii="宋体" w:hAnsi="宋体" w:cs="仿宋"/>
          <w:snapToGrid w:val="0"/>
          <w:kern w:val="0"/>
          <w:sz w:val="24"/>
          <w:highlight w:val="none"/>
          <w:lang w:val="en-US" w:eastAsia="zh-CN"/>
        </w:rPr>
        <w:t>青岛</w:t>
      </w:r>
      <w:r>
        <w:rPr>
          <w:rFonts w:hint="eastAsia" w:ascii="宋体" w:hAnsi="宋体" w:cs="仿宋"/>
          <w:snapToGrid w:val="0"/>
          <w:kern w:val="0"/>
          <w:sz w:val="24"/>
          <w:highlight w:val="none"/>
          <w:lang w:val="zh-CN" w:eastAsia="zh-CN"/>
        </w:rPr>
        <w:t>）补充招标采购代理机构遴选项目</w:t>
      </w:r>
      <w:r>
        <w:rPr>
          <w:rFonts w:ascii="宋体" w:hAnsi="宋体" w:eastAsia="宋体" w:cs="宋体"/>
          <w:sz w:val="24"/>
          <w:szCs w:val="24"/>
          <w:highlight w:val="none"/>
        </w:rPr>
        <w:t>（项目编号</w:t>
      </w:r>
      <w:r>
        <w:rPr>
          <w:rFonts w:ascii="宋体" w:hAnsi="宋体" w:eastAsia="宋体" w:cs="宋体"/>
          <w:sz w:val="24"/>
          <w:szCs w:val="24"/>
          <w:highlight w:val="none"/>
          <w:u w:val="single"/>
        </w:rPr>
        <w:t>：</w:t>
      </w:r>
      <w:r>
        <w:rPr>
          <w:rFonts w:hint="eastAsia" w:eastAsia="宋体" w:cs="宋体"/>
          <w:sz w:val="24"/>
          <w:szCs w:val="24"/>
          <w:highlight w:val="none"/>
          <w:u w:val="single"/>
          <w:lang w:val="en-US" w:eastAsia="zh-CN"/>
        </w:rPr>
        <w:t xml:space="preserve">    </w:t>
      </w:r>
      <w:r>
        <w:rPr>
          <w:rFonts w:ascii="宋体" w:hAnsi="宋体" w:eastAsia="宋体" w:cs="宋体"/>
          <w:sz w:val="24"/>
          <w:szCs w:val="24"/>
          <w:highlight w:val="none"/>
          <w:u w:val="single"/>
        </w:rPr>
        <w:t>）</w:t>
      </w:r>
      <w:r>
        <w:rPr>
          <w:rFonts w:ascii="宋体" w:hAnsi="宋体" w:eastAsia="宋体" w:cs="宋体"/>
          <w:sz w:val="24"/>
          <w:szCs w:val="24"/>
          <w:highlight w:val="none"/>
        </w:rPr>
        <w:t>，并提交</w:t>
      </w:r>
      <w:r>
        <w:rPr>
          <w:rFonts w:hint="eastAsia" w:eastAsia="宋体" w:cs="宋体"/>
          <w:sz w:val="24"/>
          <w:szCs w:val="24"/>
          <w:highlight w:val="none"/>
          <w:lang w:eastAsia="zh-CN"/>
        </w:rPr>
        <w:t>响应文件</w:t>
      </w:r>
      <w:r>
        <w:rPr>
          <w:rFonts w:ascii="宋体" w:hAnsi="宋体" w:eastAsia="宋体" w:cs="宋体"/>
          <w:sz w:val="24"/>
          <w:szCs w:val="24"/>
          <w:highlight w:val="none"/>
        </w:rPr>
        <w:t>。为此</w:t>
      </w:r>
      <w:bookmarkStart w:id="115" w:name="_GoBack"/>
      <w:bookmarkEnd w:id="115"/>
      <w:r>
        <w:rPr>
          <w:rFonts w:ascii="宋体" w:hAnsi="宋体" w:eastAsia="宋体" w:cs="宋体"/>
          <w:sz w:val="24"/>
          <w:szCs w:val="24"/>
          <w:highlight w:val="none"/>
        </w:rPr>
        <w:t>，我方郑重声明以下诸点，并负法律责任：</w:t>
      </w:r>
    </w:p>
    <w:p w14:paraId="2A2ABAE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本公司承诺具备本项目对</w:t>
      </w:r>
      <w:r>
        <w:rPr>
          <w:rFonts w:hint="eastAsia" w:eastAsia="宋体" w:cs="宋体"/>
          <w:sz w:val="24"/>
          <w:szCs w:val="24"/>
          <w:highlight w:val="none"/>
          <w:lang w:eastAsia="zh-CN"/>
        </w:rPr>
        <w:t>响应人</w:t>
      </w:r>
      <w:r>
        <w:rPr>
          <w:rFonts w:ascii="宋体" w:hAnsi="宋体" w:eastAsia="宋体" w:cs="宋体"/>
          <w:sz w:val="24"/>
          <w:szCs w:val="24"/>
          <w:highlight w:val="none"/>
        </w:rPr>
        <w:t>的资格要求。</w:t>
      </w:r>
    </w:p>
    <w:p w14:paraId="469C414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outlineLvl w:val="1"/>
        <w:rPr>
          <w:rFonts w:ascii="宋体" w:hAnsi="宋体" w:eastAsia="宋体" w:cs="宋体"/>
          <w:sz w:val="24"/>
          <w:szCs w:val="24"/>
          <w:highlight w:val="none"/>
        </w:rPr>
      </w:pPr>
      <w:bookmarkStart w:id="97" w:name="_Toc22418"/>
      <w:r>
        <w:rPr>
          <w:rFonts w:ascii="宋体" w:hAnsi="宋体" w:eastAsia="宋体" w:cs="宋体"/>
          <w:sz w:val="24"/>
          <w:szCs w:val="24"/>
          <w:highlight w:val="none"/>
        </w:rPr>
        <w:t>1</w:t>
      </w:r>
      <w:r>
        <w:rPr>
          <w:rFonts w:hint="eastAsia" w:eastAsia="宋体" w:cs="宋体"/>
          <w:sz w:val="24"/>
          <w:szCs w:val="24"/>
          <w:highlight w:val="none"/>
          <w:lang w:eastAsia="zh-CN"/>
        </w:rPr>
        <w:t>.</w:t>
      </w:r>
      <w:r>
        <w:rPr>
          <w:rFonts w:ascii="宋体" w:hAnsi="宋体" w:eastAsia="宋体" w:cs="宋体"/>
          <w:sz w:val="24"/>
          <w:szCs w:val="24"/>
          <w:highlight w:val="none"/>
        </w:rPr>
        <w:t>本公司按规定提交的</w:t>
      </w:r>
      <w:r>
        <w:rPr>
          <w:rFonts w:hint="eastAsia" w:eastAsia="宋体" w:cs="宋体"/>
          <w:sz w:val="24"/>
          <w:szCs w:val="24"/>
          <w:highlight w:val="none"/>
          <w:lang w:eastAsia="zh-CN"/>
        </w:rPr>
        <w:t>响应文件</w:t>
      </w:r>
      <w:r>
        <w:rPr>
          <w:rFonts w:ascii="宋体" w:hAnsi="宋体" w:eastAsia="宋体" w:cs="宋体"/>
          <w:sz w:val="24"/>
          <w:szCs w:val="24"/>
          <w:highlight w:val="none"/>
        </w:rPr>
        <w:t>，正本一份，副本</w:t>
      </w:r>
      <w:r>
        <w:rPr>
          <w:rFonts w:hint="eastAsia" w:eastAsia="宋体" w:cs="宋体"/>
          <w:sz w:val="24"/>
          <w:szCs w:val="24"/>
          <w:highlight w:val="none"/>
          <w:lang w:val="en-US" w:eastAsia="zh-CN"/>
        </w:rPr>
        <w:t>四</w:t>
      </w:r>
      <w:r>
        <w:rPr>
          <w:rFonts w:ascii="宋体" w:hAnsi="宋体" w:eastAsia="宋体" w:cs="宋体"/>
          <w:sz w:val="24"/>
          <w:szCs w:val="24"/>
          <w:highlight w:val="none"/>
        </w:rPr>
        <w:t>份。</w:t>
      </w:r>
      <w:bookmarkEnd w:id="97"/>
    </w:p>
    <w:p w14:paraId="0B50D15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2</w:t>
      </w:r>
      <w:r>
        <w:rPr>
          <w:rFonts w:hint="eastAsia" w:eastAsia="宋体" w:cs="宋体"/>
          <w:sz w:val="24"/>
          <w:szCs w:val="24"/>
          <w:highlight w:val="none"/>
          <w:lang w:eastAsia="zh-CN"/>
        </w:rPr>
        <w:t>.</w:t>
      </w:r>
      <w:r>
        <w:rPr>
          <w:rFonts w:ascii="宋体" w:hAnsi="宋体" w:eastAsia="宋体" w:cs="宋体"/>
          <w:sz w:val="24"/>
          <w:szCs w:val="24"/>
          <w:highlight w:val="none"/>
        </w:rPr>
        <w:t>本公司本次提交的</w:t>
      </w:r>
      <w:r>
        <w:rPr>
          <w:rFonts w:hint="eastAsia" w:eastAsia="宋体" w:cs="宋体"/>
          <w:sz w:val="24"/>
          <w:szCs w:val="24"/>
          <w:highlight w:val="none"/>
          <w:lang w:eastAsia="zh-CN"/>
        </w:rPr>
        <w:t>响应文件</w:t>
      </w:r>
      <w:r>
        <w:rPr>
          <w:rFonts w:ascii="宋体" w:hAnsi="宋体" w:eastAsia="宋体" w:cs="宋体"/>
          <w:sz w:val="24"/>
          <w:szCs w:val="24"/>
          <w:highlight w:val="none"/>
        </w:rPr>
        <w:t>及有关资料内容真实、准确，如有失实之处，</w:t>
      </w:r>
      <w:r>
        <w:rPr>
          <w:rFonts w:hint="eastAsia" w:eastAsia="宋体" w:cs="宋体"/>
          <w:sz w:val="24"/>
          <w:szCs w:val="24"/>
          <w:highlight w:val="none"/>
          <w:lang w:eastAsia="zh-CN"/>
        </w:rPr>
        <w:t>我公司</w:t>
      </w:r>
      <w:r>
        <w:rPr>
          <w:rFonts w:ascii="宋体" w:hAnsi="宋体" w:eastAsia="宋体" w:cs="宋体"/>
          <w:sz w:val="24"/>
          <w:szCs w:val="24"/>
          <w:highlight w:val="none"/>
        </w:rPr>
        <w:t>及文件</w:t>
      </w:r>
      <w:r>
        <w:rPr>
          <w:rFonts w:hint="eastAsia" w:eastAsia="宋体" w:cs="宋体"/>
          <w:sz w:val="24"/>
          <w:szCs w:val="24"/>
          <w:highlight w:val="none"/>
          <w:lang w:eastAsia="zh-CN"/>
        </w:rPr>
        <w:t>签字</w:t>
      </w:r>
      <w:r>
        <w:rPr>
          <w:rFonts w:ascii="宋体" w:hAnsi="宋体" w:eastAsia="宋体" w:cs="宋体"/>
          <w:sz w:val="24"/>
          <w:szCs w:val="24"/>
          <w:highlight w:val="none"/>
        </w:rPr>
        <w:t>人愿承担因此而引起的一切法律责任和后果。</w:t>
      </w:r>
    </w:p>
    <w:p w14:paraId="17F7B62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3</w:t>
      </w:r>
      <w:r>
        <w:rPr>
          <w:rFonts w:hint="eastAsia" w:eastAsia="宋体" w:cs="宋体"/>
          <w:sz w:val="24"/>
          <w:szCs w:val="24"/>
          <w:highlight w:val="none"/>
          <w:lang w:eastAsia="zh-CN"/>
        </w:rPr>
        <w:t>.</w:t>
      </w:r>
      <w:r>
        <w:rPr>
          <w:rFonts w:ascii="宋体" w:hAnsi="宋体" w:eastAsia="宋体" w:cs="宋体"/>
          <w:sz w:val="24"/>
          <w:szCs w:val="24"/>
          <w:highlight w:val="none"/>
        </w:rPr>
        <w:t>如果本公司的</w:t>
      </w:r>
      <w:r>
        <w:rPr>
          <w:rFonts w:hint="eastAsia" w:eastAsia="宋体" w:cs="宋体"/>
          <w:sz w:val="24"/>
          <w:szCs w:val="24"/>
          <w:highlight w:val="none"/>
          <w:lang w:eastAsia="zh-CN"/>
        </w:rPr>
        <w:t>响应文件</w:t>
      </w:r>
      <w:r>
        <w:rPr>
          <w:rFonts w:ascii="宋体" w:hAnsi="宋体" w:eastAsia="宋体" w:cs="宋体"/>
          <w:sz w:val="24"/>
          <w:szCs w:val="24"/>
          <w:highlight w:val="none"/>
        </w:rPr>
        <w:t>被接受，将履行遴选文件中规定的每一项要求，并 按</w:t>
      </w:r>
      <w:r>
        <w:rPr>
          <w:rFonts w:hint="eastAsia" w:eastAsia="宋体" w:cs="宋体"/>
          <w:sz w:val="24"/>
          <w:szCs w:val="24"/>
          <w:highlight w:val="none"/>
          <w:lang w:eastAsia="zh-CN"/>
        </w:rPr>
        <w:t>响应文件</w:t>
      </w:r>
      <w:r>
        <w:rPr>
          <w:rFonts w:ascii="宋体" w:hAnsi="宋体" w:eastAsia="宋体" w:cs="宋体"/>
          <w:sz w:val="24"/>
          <w:szCs w:val="24"/>
          <w:highlight w:val="none"/>
        </w:rPr>
        <w:t>中的承诺，保证按期完成项目的实施。</w:t>
      </w:r>
    </w:p>
    <w:p w14:paraId="3223F41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outlineLvl w:val="1"/>
        <w:rPr>
          <w:rFonts w:ascii="宋体" w:hAnsi="宋体" w:eastAsia="宋体" w:cs="宋体"/>
          <w:sz w:val="24"/>
          <w:szCs w:val="24"/>
          <w:highlight w:val="none"/>
        </w:rPr>
      </w:pPr>
      <w:bookmarkStart w:id="98" w:name="_Toc868"/>
      <w:r>
        <w:rPr>
          <w:rFonts w:ascii="宋体" w:hAnsi="宋体" w:eastAsia="宋体" w:cs="宋体"/>
          <w:sz w:val="24"/>
          <w:szCs w:val="24"/>
          <w:highlight w:val="none"/>
        </w:rPr>
        <w:t>4</w:t>
      </w:r>
      <w:r>
        <w:rPr>
          <w:rFonts w:hint="eastAsia" w:eastAsia="宋体" w:cs="宋体"/>
          <w:sz w:val="24"/>
          <w:szCs w:val="24"/>
          <w:highlight w:val="none"/>
          <w:lang w:eastAsia="zh-CN"/>
        </w:rPr>
        <w:t>.</w:t>
      </w:r>
      <w:r>
        <w:rPr>
          <w:rFonts w:ascii="宋体" w:hAnsi="宋体" w:eastAsia="宋体" w:cs="宋体"/>
          <w:sz w:val="24"/>
          <w:szCs w:val="24"/>
          <w:highlight w:val="none"/>
        </w:rPr>
        <w:t>本公司的</w:t>
      </w:r>
      <w:r>
        <w:rPr>
          <w:rFonts w:hint="eastAsia" w:eastAsia="宋体" w:cs="宋体"/>
          <w:sz w:val="24"/>
          <w:szCs w:val="24"/>
          <w:highlight w:val="none"/>
          <w:lang w:eastAsia="zh-CN"/>
        </w:rPr>
        <w:t>响应文件</w:t>
      </w:r>
      <w:r>
        <w:rPr>
          <w:rFonts w:ascii="宋体" w:hAnsi="宋体" w:eastAsia="宋体" w:cs="宋体"/>
          <w:sz w:val="24"/>
          <w:szCs w:val="24"/>
          <w:highlight w:val="none"/>
        </w:rPr>
        <w:t>自递交之日起有效期为90日历日。</w:t>
      </w:r>
      <w:bookmarkEnd w:id="98"/>
    </w:p>
    <w:p w14:paraId="79F2F8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5</w:t>
      </w:r>
      <w:r>
        <w:rPr>
          <w:rFonts w:hint="eastAsia" w:eastAsia="宋体" w:cs="宋体"/>
          <w:sz w:val="24"/>
          <w:szCs w:val="24"/>
          <w:highlight w:val="none"/>
          <w:lang w:eastAsia="zh-CN"/>
        </w:rPr>
        <w:t>.</w:t>
      </w:r>
      <w:r>
        <w:rPr>
          <w:rFonts w:ascii="宋体" w:hAnsi="宋体" w:eastAsia="宋体" w:cs="宋体"/>
          <w:sz w:val="24"/>
          <w:szCs w:val="24"/>
          <w:highlight w:val="none"/>
        </w:rPr>
        <w:t>本公司在以往的参选活动和履约过程中无违法、违规、违约、失信记录。</w:t>
      </w:r>
    </w:p>
    <w:p w14:paraId="4C7E7DE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6</w:t>
      </w:r>
      <w:r>
        <w:rPr>
          <w:rFonts w:hint="eastAsia" w:eastAsia="宋体" w:cs="宋体"/>
          <w:sz w:val="24"/>
          <w:szCs w:val="24"/>
          <w:highlight w:val="none"/>
          <w:lang w:eastAsia="zh-CN"/>
        </w:rPr>
        <w:t>.</w:t>
      </w:r>
      <w:r>
        <w:rPr>
          <w:rFonts w:ascii="宋体" w:hAnsi="宋体" w:eastAsia="宋体" w:cs="宋体"/>
          <w:sz w:val="24"/>
          <w:szCs w:val="24"/>
          <w:highlight w:val="none"/>
        </w:rPr>
        <w:t>如果本公司入选，将按遴选人要求签订合同，全面履约，如违约将承担全部法律责任。</w:t>
      </w:r>
    </w:p>
    <w:p w14:paraId="1294738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注：除可填报项目外，对本参选函的任何修改将被视为非实质性响应参选，从而导致该参选被拒绝。</w:t>
      </w:r>
    </w:p>
    <w:p w14:paraId="6E8B021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p>
    <w:p w14:paraId="579D79E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eastAsia="zh-CN"/>
        </w:rPr>
        <w:t>响应人</w:t>
      </w:r>
      <w:r>
        <w:rPr>
          <w:rFonts w:ascii="宋体" w:hAnsi="宋体" w:eastAsia="宋体" w:cs="宋体"/>
          <w:sz w:val="24"/>
          <w:szCs w:val="24"/>
          <w:highlight w:val="none"/>
        </w:rPr>
        <w:t>：（公章）                       法定代表人：（签字</w:t>
      </w:r>
      <w:r>
        <w:rPr>
          <w:rFonts w:hint="eastAsia" w:eastAsia="宋体" w:cs="宋体"/>
          <w:sz w:val="24"/>
          <w:szCs w:val="24"/>
          <w:highlight w:val="none"/>
          <w:lang w:val="en-US" w:eastAsia="zh-CN"/>
        </w:rPr>
        <w:t>或盖章</w:t>
      </w:r>
      <w:r>
        <w:rPr>
          <w:rFonts w:ascii="宋体" w:hAnsi="宋体" w:eastAsia="宋体" w:cs="宋体"/>
          <w:sz w:val="24"/>
          <w:szCs w:val="24"/>
          <w:highlight w:val="none"/>
        </w:rPr>
        <w:t>）</w:t>
      </w:r>
    </w:p>
    <w:p w14:paraId="48059D6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p>
    <w:p w14:paraId="7B29A19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eastAsia="zh-CN"/>
        </w:rPr>
        <w:t>响应人</w:t>
      </w:r>
      <w:r>
        <w:rPr>
          <w:rFonts w:ascii="宋体" w:hAnsi="宋体" w:eastAsia="宋体" w:cs="宋体"/>
          <w:sz w:val="24"/>
          <w:szCs w:val="24"/>
          <w:highlight w:val="none"/>
        </w:rPr>
        <w:t xml:space="preserve">地址： </w:t>
      </w:r>
      <w:r>
        <w:rPr>
          <w:rFonts w:hint="eastAsia" w:eastAsia="宋体" w:cs="宋体"/>
          <w:sz w:val="24"/>
          <w:szCs w:val="24"/>
          <w:highlight w:val="none"/>
          <w:lang w:val="en-US" w:eastAsia="zh-CN"/>
        </w:rPr>
        <w:t xml:space="preserve">                         </w:t>
      </w:r>
      <w:r>
        <w:rPr>
          <w:rFonts w:ascii="宋体" w:hAnsi="宋体" w:eastAsia="宋体" w:cs="宋体"/>
          <w:sz w:val="24"/>
          <w:szCs w:val="24"/>
          <w:highlight w:val="none"/>
        </w:rPr>
        <w:t>邮 编：</w:t>
      </w:r>
    </w:p>
    <w:p w14:paraId="199ECF4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 xml:space="preserve">联系电话： </w:t>
      </w:r>
      <w:r>
        <w:rPr>
          <w:rFonts w:hint="eastAsia" w:eastAsia="宋体" w:cs="宋体"/>
          <w:sz w:val="24"/>
          <w:szCs w:val="24"/>
          <w:highlight w:val="none"/>
          <w:lang w:val="en-US" w:eastAsia="zh-CN"/>
        </w:rPr>
        <w:t xml:space="preserve">                             </w:t>
      </w:r>
      <w:r>
        <w:rPr>
          <w:rFonts w:ascii="宋体" w:hAnsi="宋体" w:eastAsia="宋体" w:cs="宋体"/>
          <w:sz w:val="24"/>
          <w:szCs w:val="24"/>
          <w:highlight w:val="none"/>
        </w:rPr>
        <w:t>传 真：</w:t>
      </w:r>
    </w:p>
    <w:p w14:paraId="7039B74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年   月   日</w:t>
      </w:r>
    </w:p>
    <w:p w14:paraId="62777CD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sectPr>
          <w:footerReference r:id="rId10" w:type="default"/>
          <w:pgSz w:w="11907" w:h="16839"/>
          <w:pgMar w:top="1417" w:right="1701" w:bottom="1417" w:left="1701" w:header="567" w:footer="567" w:gutter="0"/>
          <w:pgNumType w:fmt="decimal"/>
          <w:cols w:space="0" w:num="1"/>
          <w:rtlGutter w:val="0"/>
          <w:docGrid w:linePitch="0" w:charSpace="0"/>
        </w:sectPr>
      </w:pPr>
    </w:p>
    <w:p w14:paraId="629569E2">
      <w:pPr>
        <w:keepNext w:val="0"/>
        <w:keepLines w:val="0"/>
        <w:pageBreakBefore w:val="0"/>
        <w:kinsoku/>
        <w:wordWrap/>
        <w:overflowPunct w:val="0"/>
        <w:topLinePunct/>
        <w:bidi w:val="0"/>
        <w:spacing w:before="91" w:line="360" w:lineRule="auto"/>
        <w:outlineLvl w:val="1"/>
        <w:rPr>
          <w:rFonts w:ascii="宋体" w:hAnsi="宋体" w:eastAsia="宋体" w:cs="宋体"/>
          <w:b/>
          <w:bCs/>
          <w:spacing w:val="-13"/>
          <w:sz w:val="28"/>
          <w:szCs w:val="28"/>
          <w:highlight w:val="none"/>
        </w:rPr>
      </w:pPr>
      <w:bookmarkStart w:id="99" w:name="_Toc1387"/>
      <w:r>
        <w:rPr>
          <w:rFonts w:ascii="宋体" w:hAnsi="宋体" w:eastAsia="宋体" w:cs="宋体"/>
          <w:b/>
          <w:bCs/>
          <w:spacing w:val="-13"/>
          <w:sz w:val="28"/>
          <w:szCs w:val="28"/>
          <w:highlight w:val="none"/>
        </w:rPr>
        <w:t>附件2</w:t>
      </w:r>
      <w:bookmarkEnd w:id="99"/>
    </w:p>
    <w:p w14:paraId="7FF95B22">
      <w:pPr>
        <w:keepNext w:val="0"/>
        <w:keepLines w:val="0"/>
        <w:pageBreakBefore w:val="0"/>
        <w:kinsoku/>
        <w:wordWrap/>
        <w:overflowPunct w:val="0"/>
        <w:topLinePunct/>
        <w:bidi w:val="0"/>
        <w:spacing w:before="188" w:line="360" w:lineRule="auto"/>
        <w:ind w:left="3186"/>
        <w:outlineLvl w:val="0"/>
        <w:rPr>
          <w:rFonts w:ascii="宋体" w:hAnsi="宋体" w:eastAsia="宋体" w:cs="宋体"/>
          <w:b/>
          <w:bCs/>
          <w:spacing w:val="-4"/>
          <w:sz w:val="28"/>
          <w:szCs w:val="28"/>
          <w:highlight w:val="none"/>
        </w:rPr>
      </w:pPr>
      <w:bookmarkStart w:id="100" w:name="_Toc7569"/>
      <w:r>
        <w:rPr>
          <w:rFonts w:hint="eastAsia" w:ascii="宋体" w:hAnsi="宋体" w:eastAsia="宋体" w:cs="宋体"/>
          <w:b/>
          <w:bCs/>
          <w:spacing w:val="-4"/>
          <w:sz w:val="28"/>
          <w:szCs w:val="28"/>
          <w:highlight w:val="none"/>
        </w:rPr>
        <w:t>首轮报价一览表</w:t>
      </w:r>
      <w:bookmarkEnd w:id="100"/>
    </w:p>
    <w:tbl>
      <w:tblPr>
        <w:tblStyle w:val="11"/>
        <w:tblW w:w="9094" w:type="dxa"/>
        <w:tblInd w:w="24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61"/>
        <w:gridCol w:w="7733"/>
      </w:tblGrid>
      <w:tr w14:paraId="54BA9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1361" w:type="dxa"/>
            <w:vAlign w:val="top"/>
          </w:tcPr>
          <w:p w14:paraId="398BA400">
            <w:pPr>
              <w:pStyle w:val="12"/>
              <w:keepNext w:val="0"/>
              <w:keepLines w:val="0"/>
              <w:pageBreakBefore w:val="0"/>
              <w:kinsoku/>
              <w:wordWrap/>
              <w:overflowPunct w:val="0"/>
              <w:topLinePunct/>
              <w:bidi w:val="0"/>
              <w:spacing w:before="312" w:line="360" w:lineRule="auto"/>
              <w:ind w:left="121"/>
              <w:rPr>
                <w:rFonts w:ascii="宋体" w:hAnsi="宋体" w:eastAsia="宋体" w:cs="宋体"/>
                <w:spacing w:val="-4"/>
                <w:highlight w:val="none"/>
              </w:rPr>
            </w:pPr>
            <w:r>
              <w:rPr>
                <w:rFonts w:ascii="宋体" w:hAnsi="宋体" w:eastAsia="宋体" w:cs="宋体"/>
                <w:spacing w:val="-4"/>
                <w:highlight w:val="none"/>
              </w:rPr>
              <w:t>项目名称</w:t>
            </w:r>
          </w:p>
        </w:tc>
        <w:tc>
          <w:tcPr>
            <w:tcW w:w="7733" w:type="dxa"/>
            <w:vAlign w:val="top"/>
          </w:tcPr>
          <w:p w14:paraId="2FF95453">
            <w:pPr>
              <w:pStyle w:val="12"/>
              <w:keepNext w:val="0"/>
              <w:keepLines w:val="0"/>
              <w:pageBreakBefore w:val="0"/>
              <w:kinsoku/>
              <w:wordWrap/>
              <w:overflowPunct w:val="0"/>
              <w:topLinePunct/>
              <w:bidi w:val="0"/>
              <w:spacing w:before="312" w:line="360" w:lineRule="auto"/>
              <w:rPr>
                <w:highlight w:val="none"/>
              </w:rPr>
            </w:pPr>
            <w:r>
              <w:rPr>
                <w:rFonts w:hint="eastAsia" w:ascii="宋体" w:hAnsi="宋体" w:cs="仿宋"/>
                <w:snapToGrid w:val="0"/>
                <w:kern w:val="0"/>
                <w:sz w:val="24"/>
                <w:highlight w:val="none"/>
                <w:lang w:val="zh-CN"/>
              </w:rPr>
              <w:t>山东大学齐鲁医院</w:t>
            </w:r>
            <w:r>
              <w:rPr>
                <w:rFonts w:hint="eastAsia" w:ascii="宋体" w:hAnsi="宋体" w:cs="仿宋"/>
                <w:snapToGrid w:val="0"/>
                <w:kern w:val="0"/>
                <w:sz w:val="24"/>
                <w:highlight w:val="none"/>
                <w:lang w:val="zh-CN" w:eastAsia="zh-CN"/>
              </w:rPr>
              <w:t>（</w:t>
            </w:r>
            <w:r>
              <w:rPr>
                <w:rFonts w:hint="eastAsia" w:ascii="宋体" w:hAnsi="宋体" w:cs="仿宋"/>
                <w:snapToGrid w:val="0"/>
                <w:kern w:val="0"/>
                <w:sz w:val="24"/>
                <w:highlight w:val="none"/>
                <w:lang w:val="en-US" w:eastAsia="zh-CN"/>
              </w:rPr>
              <w:t>青岛</w:t>
            </w:r>
            <w:r>
              <w:rPr>
                <w:rFonts w:hint="eastAsia" w:ascii="宋体" w:hAnsi="宋体" w:cs="仿宋"/>
                <w:snapToGrid w:val="0"/>
                <w:kern w:val="0"/>
                <w:sz w:val="24"/>
                <w:highlight w:val="none"/>
                <w:lang w:val="zh-CN" w:eastAsia="zh-CN"/>
              </w:rPr>
              <w:t>）补充招标采购代理机构遴选项目</w:t>
            </w:r>
          </w:p>
        </w:tc>
      </w:tr>
      <w:tr w14:paraId="259ABE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1361" w:type="dxa"/>
            <w:vAlign w:val="top"/>
          </w:tcPr>
          <w:p w14:paraId="35E1917D">
            <w:pPr>
              <w:pStyle w:val="12"/>
              <w:keepNext w:val="0"/>
              <w:keepLines w:val="0"/>
              <w:pageBreakBefore w:val="0"/>
              <w:kinsoku/>
              <w:wordWrap/>
              <w:overflowPunct w:val="0"/>
              <w:topLinePunct/>
              <w:bidi w:val="0"/>
              <w:spacing w:before="312" w:line="360" w:lineRule="auto"/>
              <w:ind w:left="121"/>
              <w:rPr>
                <w:rFonts w:ascii="宋体" w:hAnsi="宋体" w:eastAsia="宋体" w:cs="宋体"/>
                <w:spacing w:val="-4"/>
                <w:highlight w:val="none"/>
              </w:rPr>
            </w:pPr>
            <w:r>
              <w:rPr>
                <w:rFonts w:ascii="宋体" w:hAnsi="宋体" w:eastAsia="宋体" w:cs="宋体"/>
                <w:spacing w:val="-4"/>
                <w:highlight w:val="none"/>
              </w:rPr>
              <w:t>收费标准</w:t>
            </w:r>
          </w:p>
        </w:tc>
        <w:tc>
          <w:tcPr>
            <w:tcW w:w="7733" w:type="dxa"/>
            <w:vAlign w:val="top"/>
          </w:tcPr>
          <w:p w14:paraId="432A7AE9">
            <w:pPr>
              <w:pStyle w:val="12"/>
              <w:keepNext w:val="0"/>
              <w:keepLines w:val="0"/>
              <w:pageBreakBefore w:val="0"/>
              <w:kinsoku/>
              <w:wordWrap/>
              <w:overflowPunct w:val="0"/>
              <w:topLinePunct/>
              <w:bidi w:val="0"/>
              <w:spacing w:before="147" w:line="360" w:lineRule="auto"/>
              <w:ind w:right="107"/>
              <w:jc w:val="both"/>
              <w:rPr>
                <w:highlight w:val="none"/>
              </w:rPr>
            </w:pPr>
            <w:r>
              <w:rPr>
                <w:rFonts w:hint="eastAsia"/>
                <w:spacing w:val="1"/>
                <w:highlight w:val="none"/>
                <w:lang w:val="en-US" w:eastAsia="zh-CN"/>
              </w:rPr>
              <w:t>按照</w:t>
            </w:r>
            <w:r>
              <w:rPr>
                <w:spacing w:val="1"/>
                <w:highlight w:val="none"/>
              </w:rPr>
              <w:t>《国家发展改革委办公厅关于招标代理服务收费有关</w:t>
            </w:r>
            <w:r>
              <w:rPr>
                <w:highlight w:val="none"/>
              </w:rPr>
              <w:t>问题的通知》</w:t>
            </w:r>
            <w:r>
              <w:rPr>
                <w:spacing w:val="-53"/>
                <w:highlight w:val="none"/>
              </w:rPr>
              <w:t xml:space="preserve"> </w:t>
            </w:r>
            <w:r>
              <w:rPr>
                <w:rFonts w:hint="eastAsia"/>
                <w:highlight w:val="none"/>
                <w:lang w:eastAsia="zh-CN"/>
              </w:rPr>
              <w:t>（</w:t>
            </w:r>
            <w:r>
              <w:rPr>
                <w:highlight w:val="none"/>
              </w:rPr>
              <w:t>发改办价格[2003]857</w:t>
            </w:r>
            <w:r>
              <w:rPr>
                <w:spacing w:val="-42"/>
                <w:highlight w:val="none"/>
              </w:rPr>
              <w:t xml:space="preserve"> </w:t>
            </w:r>
            <w:r>
              <w:rPr>
                <w:highlight w:val="none"/>
              </w:rPr>
              <w:t>号</w:t>
            </w:r>
            <w:r>
              <w:rPr>
                <w:rFonts w:hint="eastAsia"/>
                <w:highlight w:val="none"/>
                <w:lang w:eastAsia="zh-CN"/>
              </w:rPr>
              <w:t>）</w:t>
            </w:r>
            <w:r>
              <w:rPr>
                <w:highlight w:val="none"/>
              </w:rPr>
              <w:t>和国家计委关于《招标代理服务收费管</w:t>
            </w:r>
            <w:r>
              <w:rPr>
                <w:spacing w:val="-2"/>
                <w:highlight w:val="none"/>
              </w:rPr>
              <w:t>理暂行办法》（计价格[2002]1980</w:t>
            </w:r>
            <w:r>
              <w:rPr>
                <w:spacing w:val="-28"/>
                <w:highlight w:val="none"/>
              </w:rPr>
              <w:t xml:space="preserve"> </w:t>
            </w:r>
            <w:r>
              <w:rPr>
                <w:spacing w:val="-2"/>
                <w:highlight w:val="none"/>
              </w:rPr>
              <w:t>号）。</w:t>
            </w:r>
          </w:p>
        </w:tc>
      </w:tr>
      <w:tr w14:paraId="4B0FB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1361" w:type="dxa"/>
            <w:vAlign w:val="center"/>
          </w:tcPr>
          <w:p w14:paraId="21590ED9">
            <w:pPr>
              <w:pStyle w:val="12"/>
              <w:keepNext w:val="0"/>
              <w:keepLines w:val="0"/>
              <w:pageBreakBefore w:val="0"/>
              <w:kinsoku/>
              <w:wordWrap/>
              <w:overflowPunct w:val="0"/>
              <w:topLinePunct/>
              <w:bidi w:val="0"/>
              <w:spacing w:before="312" w:line="360" w:lineRule="auto"/>
              <w:ind w:left="121"/>
              <w:rPr>
                <w:rFonts w:ascii="宋体" w:hAnsi="宋体" w:eastAsia="宋体" w:cs="宋体"/>
                <w:spacing w:val="-4"/>
                <w:highlight w:val="none"/>
              </w:rPr>
            </w:pPr>
            <w:r>
              <w:rPr>
                <w:rFonts w:ascii="宋体" w:hAnsi="宋体" w:eastAsia="宋体" w:cs="宋体"/>
                <w:spacing w:val="-4"/>
                <w:highlight w:val="none"/>
              </w:rPr>
              <w:t>参选报价</w:t>
            </w:r>
          </w:p>
        </w:tc>
        <w:tc>
          <w:tcPr>
            <w:tcW w:w="7733" w:type="dxa"/>
            <w:vAlign w:val="center"/>
          </w:tcPr>
          <w:p w14:paraId="3EC56943">
            <w:pPr>
              <w:pStyle w:val="12"/>
              <w:keepNext w:val="0"/>
              <w:keepLines w:val="0"/>
              <w:pageBreakBefore w:val="0"/>
              <w:kinsoku/>
              <w:wordWrap/>
              <w:overflowPunct w:val="0"/>
              <w:topLinePunct/>
              <w:bidi w:val="0"/>
              <w:spacing w:before="78" w:line="360" w:lineRule="auto"/>
              <w:ind w:left="126"/>
              <w:jc w:val="both"/>
              <w:rPr>
                <w:rFonts w:ascii="宋体" w:hAnsi="宋体" w:eastAsia="宋体" w:cs="宋体"/>
                <w:spacing w:val="-5"/>
                <w:highlight w:val="none"/>
              </w:rPr>
            </w:pPr>
            <w:r>
              <w:rPr>
                <w:rFonts w:ascii="宋体" w:hAnsi="宋体" w:eastAsia="宋体" w:cs="宋体"/>
                <w:spacing w:val="-5"/>
                <w:highlight w:val="none"/>
              </w:rPr>
              <w:t>上述收费标准</w:t>
            </w:r>
            <w:r>
              <w:rPr>
                <w:rFonts w:hint="eastAsia" w:ascii="宋体" w:hAnsi="宋体" w:eastAsia="宋体" w:cs="宋体"/>
                <w:spacing w:val="-5"/>
                <w:highlight w:val="none"/>
                <w:lang w:val="en-US" w:eastAsia="zh-CN"/>
              </w:rPr>
              <w:t>的基础上</w:t>
            </w:r>
            <w:r>
              <w:rPr>
                <w:rFonts w:ascii="宋体" w:hAnsi="宋体" w:eastAsia="宋体" w:cs="宋体"/>
                <w:spacing w:val="-5"/>
                <w:highlight w:val="none"/>
              </w:rPr>
              <w:t>：下浮</w:t>
            </w:r>
            <w:r>
              <w:rPr>
                <w:rFonts w:ascii="宋体" w:hAnsi="宋体" w:eastAsia="宋体" w:cs="宋体"/>
                <w:spacing w:val="-5"/>
                <w:highlight w:val="none"/>
                <w:u w:val="single"/>
              </w:rPr>
              <w:t xml:space="preserve">  </w:t>
            </w:r>
            <w:r>
              <w:rPr>
                <w:rFonts w:hint="eastAsia" w:cs="宋体"/>
                <w:spacing w:val="-5"/>
                <w:highlight w:val="none"/>
                <w:u w:val="single"/>
                <w:lang w:val="en-US" w:eastAsia="zh-CN"/>
              </w:rPr>
              <w:t xml:space="preserve">  </w:t>
            </w:r>
            <w:r>
              <w:rPr>
                <w:rFonts w:ascii="宋体" w:hAnsi="宋体" w:eastAsia="宋体" w:cs="宋体"/>
                <w:spacing w:val="-5"/>
                <w:highlight w:val="none"/>
                <w:u w:val="single"/>
              </w:rPr>
              <w:t xml:space="preserve"> </w:t>
            </w:r>
            <w:r>
              <w:rPr>
                <w:rFonts w:ascii="宋体" w:hAnsi="宋体" w:eastAsia="宋体" w:cs="宋体"/>
                <w:spacing w:val="-5"/>
                <w:highlight w:val="none"/>
              </w:rPr>
              <w:t>%。</w:t>
            </w:r>
          </w:p>
        </w:tc>
      </w:tr>
      <w:tr w14:paraId="3E34E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1361" w:type="dxa"/>
            <w:vAlign w:val="top"/>
          </w:tcPr>
          <w:p w14:paraId="260DBF25">
            <w:pPr>
              <w:pStyle w:val="12"/>
              <w:keepNext w:val="0"/>
              <w:keepLines w:val="0"/>
              <w:pageBreakBefore w:val="0"/>
              <w:kinsoku/>
              <w:wordWrap/>
              <w:overflowPunct w:val="0"/>
              <w:topLinePunct/>
              <w:bidi w:val="0"/>
              <w:spacing w:before="312" w:line="360" w:lineRule="auto"/>
              <w:ind w:left="121"/>
              <w:rPr>
                <w:rFonts w:hint="eastAsia" w:ascii="宋体" w:hAnsi="宋体" w:eastAsia="宋体" w:cs="宋体"/>
                <w:spacing w:val="-4"/>
                <w:highlight w:val="none"/>
                <w:lang w:val="en-US" w:eastAsia="zh-CN"/>
              </w:rPr>
            </w:pPr>
            <w:r>
              <w:rPr>
                <w:rFonts w:ascii="宋体" w:hAnsi="宋体" w:eastAsia="宋体" w:cs="宋体"/>
                <w:spacing w:val="-4"/>
                <w:highlight w:val="none"/>
              </w:rPr>
              <w:t>是否</w:t>
            </w:r>
            <w:r>
              <w:rPr>
                <w:rFonts w:hint="eastAsia" w:ascii="宋体" w:hAnsi="宋体" w:eastAsia="宋体" w:cs="宋体"/>
                <w:spacing w:val="-4"/>
                <w:highlight w:val="none"/>
                <w:lang w:val="en-US" w:eastAsia="zh-CN"/>
              </w:rPr>
              <w:t>认同</w:t>
            </w:r>
          </w:p>
          <w:p w14:paraId="654DD700">
            <w:pPr>
              <w:pStyle w:val="12"/>
              <w:keepNext w:val="0"/>
              <w:keepLines w:val="0"/>
              <w:pageBreakBefore w:val="0"/>
              <w:kinsoku/>
              <w:wordWrap/>
              <w:overflowPunct w:val="0"/>
              <w:topLinePunct/>
              <w:bidi w:val="0"/>
              <w:spacing w:before="312" w:line="360" w:lineRule="auto"/>
              <w:ind w:left="121"/>
              <w:rPr>
                <w:rFonts w:ascii="宋体" w:hAnsi="宋体" w:eastAsia="宋体" w:cs="宋体"/>
                <w:spacing w:val="-4"/>
                <w:highlight w:val="none"/>
              </w:rPr>
            </w:pPr>
            <w:r>
              <w:rPr>
                <w:rFonts w:ascii="宋体" w:hAnsi="宋体" w:eastAsia="宋体" w:cs="宋体"/>
                <w:spacing w:val="-4"/>
                <w:highlight w:val="none"/>
              </w:rPr>
              <w:t>遴选文件</w:t>
            </w:r>
          </w:p>
        </w:tc>
        <w:tc>
          <w:tcPr>
            <w:tcW w:w="7733" w:type="dxa"/>
            <w:vAlign w:val="top"/>
          </w:tcPr>
          <w:p w14:paraId="0E94DB53">
            <w:pPr>
              <w:keepNext w:val="0"/>
              <w:keepLines w:val="0"/>
              <w:pageBreakBefore w:val="0"/>
              <w:kinsoku/>
              <w:wordWrap/>
              <w:overflowPunct w:val="0"/>
              <w:topLinePunct/>
              <w:bidi w:val="0"/>
              <w:spacing w:line="360" w:lineRule="auto"/>
              <w:rPr>
                <w:rFonts w:ascii="Arial"/>
                <w:sz w:val="21"/>
                <w:highlight w:val="none"/>
              </w:rPr>
            </w:pPr>
          </w:p>
        </w:tc>
      </w:tr>
    </w:tbl>
    <w:p w14:paraId="7480E110">
      <w:pPr>
        <w:keepNext w:val="0"/>
        <w:keepLines w:val="0"/>
        <w:pageBreakBefore w:val="0"/>
        <w:kinsoku/>
        <w:wordWrap/>
        <w:overflowPunct w:val="0"/>
        <w:topLinePunct/>
        <w:bidi w:val="0"/>
        <w:spacing w:before="78" w:line="360" w:lineRule="auto"/>
        <w:ind w:right="682" w:firstLine="472"/>
        <w:rPr>
          <w:rFonts w:ascii="宋体" w:hAnsi="宋体" w:eastAsia="宋体" w:cs="宋体"/>
          <w:b/>
          <w:bCs/>
          <w:spacing w:val="-10"/>
          <w:sz w:val="24"/>
          <w:szCs w:val="24"/>
          <w:highlight w:val="none"/>
        </w:rPr>
      </w:pPr>
      <w:r>
        <w:rPr>
          <w:rFonts w:ascii="宋体" w:hAnsi="宋体" w:eastAsia="宋体" w:cs="宋体"/>
          <w:b/>
          <w:bCs/>
          <w:spacing w:val="-10"/>
          <w:sz w:val="24"/>
          <w:szCs w:val="24"/>
          <w:highlight w:val="none"/>
        </w:rPr>
        <w:t>注：</w:t>
      </w:r>
      <w:r>
        <w:rPr>
          <w:rFonts w:hint="eastAsia" w:ascii="宋体" w:hAnsi="宋体" w:eastAsia="宋体" w:cs="宋体"/>
          <w:b/>
          <w:bCs/>
          <w:spacing w:val="-10"/>
          <w:sz w:val="24"/>
          <w:szCs w:val="24"/>
          <w:highlight w:val="none"/>
        </w:rPr>
        <w:t>招标代理服务费要根据《国家发展改革委办公厅关于招标代理服务收费有关问题的通知》</w:t>
      </w:r>
      <w:r>
        <w:rPr>
          <w:rFonts w:hint="eastAsia" w:ascii="宋体" w:hAnsi="宋体" w:eastAsia="宋体" w:cs="宋体"/>
          <w:b/>
          <w:bCs/>
          <w:spacing w:val="-10"/>
          <w:sz w:val="24"/>
          <w:szCs w:val="24"/>
          <w:highlight w:val="none"/>
          <w:lang w:eastAsia="zh-CN"/>
        </w:rPr>
        <w:t>（</w:t>
      </w:r>
      <w:r>
        <w:rPr>
          <w:rFonts w:hint="eastAsia" w:ascii="宋体" w:hAnsi="宋体" w:eastAsia="宋体" w:cs="宋体"/>
          <w:b/>
          <w:bCs/>
          <w:spacing w:val="-10"/>
          <w:sz w:val="24"/>
          <w:szCs w:val="24"/>
          <w:highlight w:val="none"/>
        </w:rPr>
        <w:t>发改办价格[2003]857号</w:t>
      </w:r>
      <w:r>
        <w:rPr>
          <w:rFonts w:hint="eastAsia" w:ascii="宋体" w:hAnsi="宋体" w:eastAsia="宋体" w:cs="宋体"/>
          <w:b/>
          <w:bCs/>
          <w:spacing w:val="-10"/>
          <w:sz w:val="24"/>
          <w:szCs w:val="24"/>
          <w:highlight w:val="none"/>
          <w:lang w:eastAsia="zh-CN"/>
        </w:rPr>
        <w:t>）</w:t>
      </w:r>
      <w:r>
        <w:rPr>
          <w:rFonts w:hint="eastAsia" w:ascii="宋体" w:hAnsi="宋体" w:eastAsia="宋体" w:cs="宋体"/>
          <w:b/>
          <w:bCs/>
          <w:spacing w:val="-10"/>
          <w:sz w:val="24"/>
          <w:szCs w:val="24"/>
          <w:highlight w:val="none"/>
        </w:rPr>
        <w:t>和国家计委关于《招标代理服务收费管理暂行办法》（计价格[2002]1980号）规定基础上，下浮报价，下浮区间0%-40%，否则作无效</w:t>
      </w:r>
      <w:r>
        <w:rPr>
          <w:rFonts w:hint="eastAsia" w:ascii="宋体" w:hAnsi="宋体" w:eastAsia="宋体" w:cs="宋体"/>
          <w:b/>
          <w:bCs/>
          <w:spacing w:val="-10"/>
          <w:sz w:val="24"/>
          <w:szCs w:val="24"/>
          <w:highlight w:val="none"/>
          <w:lang w:val="en-US" w:eastAsia="zh-CN"/>
        </w:rPr>
        <w:t>参选</w:t>
      </w:r>
      <w:r>
        <w:rPr>
          <w:rFonts w:hint="eastAsia" w:ascii="宋体" w:hAnsi="宋体" w:eastAsia="宋体" w:cs="宋体"/>
          <w:b/>
          <w:bCs/>
          <w:spacing w:val="-10"/>
          <w:sz w:val="24"/>
          <w:szCs w:val="24"/>
          <w:highlight w:val="none"/>
        </w:rPr>
        <w:t>处理。</w:t>
      </w:r>
    </w:p>
    <w:p w14:paraId="4C642A20">
      <w:pPr>
        <w:keepNext w:val="0"/>
        <w:keepLines w:val="0"/>
        <w:pageBreakBefore w:val="0"/>
        <w:kinsoku/>
        <w:wordWrap/>
        <w:overflowPunct w:val="0"/>
        <w:topLinePunct/>
        <w:bidi w:val="0"/>
        <w:spacing w:line="360" w:lineRule="auto"/>
        <w:rPr>
          <w:rFonts w:ascii="Arial"/>
          <w:sz w:val="21"/>
          <w:highlight w:val="none"/>
        </w:rPr>
      </w:pPr>
    </w:p>
    <w:p w14:paraId="7C8D469A">
      <w:pPr>
        <w:keepNext w:val="0"/>
        <w:keepLines w:val="0"/>
        <w:pageBreakBefore w:val="0"/>
        <w:kinsoku/>
        <w:wordWrap/>
        <w:overflowPunct w:val="0"/>
        <w:topLinePunct/>
        <w:bidi w:val="0"/>
        <w:spacing w:before="78" w:line="360" w:lineRule="auto"/>
        <w:ind w:left="474"/>
        <w:rPr>
          <w:rFonts w:ascii="宋体" w:hAnsi="宋体" w:eastAsia="宋体" w:cs="宋体"/>
          <w:sz w:val="24"/>
          <w:szCs w:val="24"/>
          <w:highlight w:val="none"/>
        </w:rPr>
      </w:pPr>
      <w:r>
        <w:rPr>
          <w:rFonts w:hint="eastAsia" w:ascii="宋体" w:hAnsi="宋体" w:eastAsia="宋体" w:cs="宋体"/>
          <w:spacing w:val="-2"/>
          <w:sz w:val="24"/>
          <w:szCs w:val="24"/>
          <w:highlight w:val="none"/>
          <w:lang w:eastAsia="zh-CN"/>
        </w:rPr>
        <w:t>响应人</w:t>
      </w:r>
      <w:r>
        <w:rPr>
          <w:rFonts w:ascii="宋体" w:hAnsi="宋体" w:eastAsia="宋体" w:cs="宋体"/>
          <w:spacing w:val="-2"/>
          <w:sz w:val="24"/>
          <w:szCs w:val="24"/>
          <w:highlight w:val="none"/>
        </w:rPr>
        <w:t>（盖章</w:t>
      </w:r>
      <w:r>
        <w:rPr>
          <w:rFonts w:ascii="宋体" w:hAnsi="宋体" w:eastAsia="宋体" w:cs="宋体"/>
          <w:sz w:val="24"/>
          <w:szCs w:val="24"/>
          <w:highlight w:val="none"/>
        </w:rPr>
        <w:t>）：</w:t>
      </w:r>
    </w:p>
    <w:p w14:paraId="7AA91C5C">
      <w:pPr>
        <w:keepNext w:val="0"/>
        <w:keepLines w:val="0"/>
        <w:pageBreakBefore w:val="0"/>
        <w:kinsoku/>
        <w:wordWrap/>
        <w:overflowPunct w:val="0"/>
        <w:topLinePunct/>
        <w:bidi w:val="0"/>
        <w:spacing w:line="360" w:lineRule="auto"/>
        <w:rPr>
          <w:rFonts w:ascii="Arial"/>
          <w:sz w:val="21"/>
          <w:highlight w:val="none"/>
        </w:rPr>
      </w:pPr>
    </w:p>
    <w:p w14:paraId="3F981160">
      <w:pPr>
        <w:keepNext w:val="0"/>
        <w:keepLines w:val="0"/>
        <w:pageBreakBefore w:val="0"/>
        <w:kinsoku/>
        <w:wordWrap/>
        <w:overflowPunct w:val="0"/>
        <w:topLinePunct/>
        <w:bidi w:val="0"/>
        <w:spacing w:before="79" w:line="360" w:lineRule="auto"/>
        <w:ind w:left="473"/>
        <w:rPr>
          <w:rFonts w:ascii="宋体" w:hAnsi="宋体" w:eastAsia="宋体" w:cs="宋体"/>
          <w:sz w:val="24"/>
          <w:szCs w:val="24"/>
          <w:highlight w:val="none"/>
        </w:rPr>
      </w:pPr>
      <w:r>
        <w:rPr>
          <w:rFonts w:ascii="宋体" w:hAnsi="宋体" w:eastAsia="宋体" w:cs="宋体"/>
          <w:spacing w:val="-1"/>
          <w:sz w:val="24"/>
          <w:szCs w:val="24"/>
          <w:highlight w:val="none"/>
        </w:rPr>
        <w:t>法定代表人或授权代表（签字</w:t>
      </w:r>
      <w:r>
        <w:rPr>
          <w:rFonts w:hint="eastAsia" w:ascii="宋体" w:hAnsi="宋体" w:eastAsia="宋体" w:cs="宋体"/>
          <w:spacing w:val="-1"/>
          <w:sz w:val="24"/>
          <w:szCs w:val="24"/>
          <w:highlight w:val="none"/>
          <w:lang w:val="en-US" w:eastAsia="zh-CN"/>
        </w:rPr>
        <w:t>或盖章</w:t>
      </w:r>
      <w:r>
        <w:rPr>
          <w:rFonts w:ascii="宋体" w:hAnsi="宋体" w:eastAsia="宋体" w:cs="宋体"/>
          <w:sz w:val="24"/>
          <w:szCs w:val="24"/>
          <w:highlight w:val="none"/>
        </w:rPr>
        <w:t>）：</w:t>
      </w:r>
    </w:p>
    <w:p w14:paraId="7E0ACD85">
      <w:pPr>
        <w:keepNext w:val="0"/>
        <w:keepLines w:val="0"/>
        <w:pageBreakBefore w:val="0"/>
        <w:kinsoku/>
        <w:wordWrap/>
        <w:overflowPunct w:val="0"/>
        <w:topLinePunct/>
        <w:bidi w:val="0"/>
        <w:spacing w:line="360" w:lineRule="auto"/>
        <w:rPr>
          <w:rFonts w:ascii="Arial"/>
          <w:sz w:val="21"/>
          <w:highlight w:val="none"/>
        </w:rPr>
      </w:pPr>
    </w:p>
    <w:p w14:paraId="0BCB6B3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年   月   日</w:t>
      </w:r>
    </w:p>
    <w:p w14:paraId="5A01AA8D">
      <w:pPr>
        <w:keepNext w:val="0"/>
        <w:keepLines w:val="0"/>
        <w:pageBreakBefore w:val="0"/>
        <w:kinsoku/>
        <w:wordWrap/>
        <w:overflowPunct w:val="0"/>
        <w:topLinePunct/>
        <w:bidi w:val="0"/>
        <w:spacing w:line="360" w:lineRule="auto"/>
        <w:rPr>
          <w:rFonts w:ascii="宋体" w:hAnsi="宋体" w:eastAsia="宋体" w:cs="宋体"/>
          <w:sz w:val="24"/>
          <w:szCs w:val="24"/>
          <w:highlight w:val="none"/>
        </w:rPr>
        <w:sectPr>
          <w:footerReference r:id="rId11" w:type="default"/>
          <w:pgSz w:w="11907" w:h="16839"/>
          <w:pgMar w:top="1417" w:right="1701" w:bottom="1417" w:left="1701" w:header="567" w:footer="567" w:gutter="0"/>
          <w:pgNumType w:fmt="decimal"/>
          <w:cols w:space="0" w:num="1"/>
          <w:rtlGutter w:val="0"/>
          <w:docGrid w:linePitch="0" w:charSpace="0"/>
        </w:sectPr>
      </w:pPr>
    </w:p>
    <w:p w14:paraId="31629B02">
      <w:pPr>
        <w:keepNext w:val="0"/>
        <w:keepLines w:val="0"/>
        <w:pageBreakBefore w:val="0"/>
        <w:kinsoku/>
        <w:wordWrap/>
        <w:overflowPunct w:val="0"/>
        <w:topLinePunct/>
        <w:bidi w:val="0"/>
        <w:spacing w:before="91" w:line="360" w:lineRule="auto"/>
        <w:ind w:left="0"/>
        <w:outlineLvl w:val="1"/>
        <w:rPr>
          <w:rFonts w:ascii="宋体" w:hAnsi="宋体" w:eastAsia="宋体" w:cs="宋体"/>
          <w:b/>
          <w:bCs/>
          <w:spacing w:val="-13"/>
          <w:sz w:val="28"/>
          <w:szCs w:val="28"/>
          <w:highlight w:val="none"/>
        </w:rPr>
      </w:pPr>
      <w:bookmarkStart w:id="101" w:name="_Toc11867"/>
      <w:r>
        <w:rPr>
          <w:rFonts w:ascii="宋体" w:hAnsi="宋体" w:eastAsia="宋体" w:cs="宋体"/>
          <w:b/>
          <w:bCs/>
          <w:spacing w:val="-13"/>
          <w:sz w:val="28"/>
          <w:szCs w:val="28"/>
          <w:highlight w:val="none"/>
        </w:rPr>
        <w:t>附件3</w:t>
      </w:r>
      <w:bookmarkEnd w:id="101"/>
    </w:p>
    <w:p w14:paraId="2B36CB68">
      <w:pPr>
        <w:keepNext w:val="0"/>
        <w:keepLines w:val="0"/>
        <w:pageBreakBefore w:val="0"/>
        <w:kinsoku/>
        <w:wordWrap/>
        <w:overflowPunct w:val="0"/>
        <w:topLinePunct/>
        <w:bidi w:val="0"/>
        <w:spacing w:before="188" w:line="360" w:lineRule="auto"/>
        <w:ind w:left="3186"/>
        <w:outlineLvl w:val="0"/>
        <w:rPr>
          <w:rFonts w:ascii="宋体" w:hAnsi="宋体" w:eastAsia="宋体" w:cs="宋体"/>
          <w:sz w:val="28"/>
          <w:szCs w:val="28"/>
          <w:highlight w:val="none"/>
        </w:rPr>
      </w:pPr>
      <w:bookmarkStart w:id="102" w:name="_Toc5242"/>
      <w:r>
        <w:rPr>
          <w:rFonts w:ascii="宋体" w:hAnsi="宋体" w:eastAsia="宋体" w:cs="宋体"/>
          <w:b/>
          <w:bCs/>
          <w:spacing w:val="-4"/>
          <w:sz w:val="28"/>
          <w:szCs w:val="28"/>
          <w:highlight w:val="none"/>
        </w:rPr>
        <w:t>法定代表人授权委托书</w:t>
      </w:r>
      <w:bookmarkEnd w:id="102"/>
    </w:p>
    <w:p w14:paraId="37D6A8F8">
      <w:pPr>
        <w:keepNext w:val="0"/>
        <w:keepLines w:val="0"/>
        <w:pageBreakBefore w:val="0"/>
        <w:kinsoku/>
        <w:wordWrap/>
        <w:overflowPunct w:val="0"/>
        <w:topLinePunct/>
        <w:bidi w:val="0"/>
        <w:spacing w:line="360" w:lineRule="auto"/>
        <w:rPr>
          <w:rFonts w:ascii="Arial"/>
          <w:sz w:val="21"/>
          <w:highlight w:val="none"/>
        </w:rPr>
      </w:pPr>
    </w:p>
    <w:p w14:paraId="29210DF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right="0"/>
        <w:textAlignment w:val="baseline"/>
        <w:rPr>
          <w:rFonts w:ascii="宋体" w:hAnsi="宋体" w:eastAsia="宋体" w:cs="宋体"/>
          <w:sz w:val="24"/>
          <w:szCs w:val="24"/>
          <w:highlight w:val="none"/>
        </w:rPr>
      </w:pPr>
      <w:r>
        <w:rPr>
          <w:rFonts w:ascii="宋体" w:hAnsi="宋体" w:eastAsia="宋体" w:cs="宋体"/>
          <w:sz w:val="24"/>
          <w:szCs w:val="24"/>
          <w:highlight w:val="none"/>
          <w:u w:val="single"/>
        </w:rPr>
        <w:t>山东大学齐鲁医院</w:t>
      </w:r>
      <w:r>
        <w:rPr>
          <w:rFonts w:hint="eastAsia" w:eastAsia="宋体" w:cs="宋体"/>
          <w:sz w:val="24"/>
          <w:szCs w:val="24"/>
          <w:highlight w:val="none"/>
          <w:u w:val="single"/>
          <w:lang w:eastAsia="zh-CN"/>
        </w:rPr>
        <w:t>（</w:t>
      </w:r>
      <w:r>
        <w:rPr>
          <w:rFonts w:hint="eastAsia" w:eastAsia="宋体" w:cs="宋体"/>
          <w:sz w:val="24"/>
          <w:szCs w:val="24"/>
          <w:highlight w:val="none"/>
          <w:u w:val="single"/>
          <w:lang w:val="en-US" w:eastAsia="zh-CN"/>
        </w:rPr>
        <w:t>青岛</w:t>
      </w:r>
      <w:r>
        <w:rPr>
          <w:rFonts w:hint="eastAsia" w:eastAsia="宋体" w:cs="宋体"/>
          <w:sz w:val="24"/>
          <w:szCs w:val="24"/>
          <w:highlight w:val="none"/>
          <w:u w:val="single"/>
          <w:lang w:eastAsia="zh-CN"/>
        </w:rPr>
        <w:t>）、</w:t>
      </w:r>
      <w:r>
        <w:rPr>
          <w:rFonts w:hint="eastAsia" w:eastAsia="宋体" w:cs="宋体"/>
          <w:sz w:val="24"/>
          <w:szCs w:val="24"/>
          <w:highlight w:val="none"/>
          <w:u w:val="single"/>
          <w:lang w:val="en-US" w:eastAsia="zh-CN"/>
        </w:rPr>
        <w:t>海逸恒安项目管理有限公司</w:t>
      </w:r>
      <w:r>
        <w:rPr>
          <w:rFonts w:ascii="宋体" w:hAnsi="宋体" w:eastAsia="宋体" w:cs="宋体"/>
          <w:sz w:val="24"/>
          <w:szCs w:val="24"/>
          <w:highlight w:val="none"/>
        </w:rPr>
        <w:t>：</w:t>
      </w:r>
    </w:p>
    <w:p w14:paraId="441A00E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本授权委托书声明：我（姓名）系（</w:t>
      </w:r>
      <w:r>
        <w:rPr>
          <w:rFonts w:hint="eastAsia" w:eastAsia="宋体" w:cs="宋体"/>
          <w:sz w:val="24"/>
          <w:szCs w:val="24"/>
          <w:highlight w:val="none"/>
          <w:lang w:eastAsia="zh-CN"/>
        </w:rPr>
        <w:t>响应人</w:t>
      </w:r>
      <w:r>
        <w:rPr>
          <w:rFonts w:ascii="宋体" w:hAnsi="宋体" w:eastAsia="宋体" w:cs="宋体"/>
          <w:sz w:val="24"/>
          <w:szCs w:val="24"/>
          <w:highlight w:val="none"/>
        </w:rPr>
        <w:t>名称）法定代表人，现授权委托我公司的（姓名、职务或职称、身份证号）为我公司本次项目的授权代表，并授权其全权代表我方办理本次参选、签约的相关事宜，</w:t>
      </w:r>
      <w:r>
        <w:rPr>
          <w:rFonts w:hint="eastAsia" w:eastAsia="宋体" w:cs="宋体"/>
          <w:sz w:val="24"/>
          <w:szCs w:val="24"/>
          <w:highlight w:val="none"/>
          <w:lang w:eastAsia="zh-CN"/>
        </w:rPr>
        <w:t>签字</w:t>
      </w:r>
      <w:r>
        <w:rPr>
          <w:rFonts w:ascii="宋体" w:hAnsi="宋体" w:eastAsia="宋体" w:cs="宋体"/>
          <w:sz w:val="24"/>
          <w:szCs w:val="24"/>
          <w:highlight w:val="none"/>
        </w:rPr>
        <w:t>全部有关的文件、协议、合同并具有法律效力。</w:t>
      </w:r>
    </w:p>
    <w:p w14:paraId="142C738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在我方未发出撤销授权书的书面通知以前，本授权书一直有效。被授权人</w:t>
      </w:r>
      <w:r>
        <w:rPr>
          <w:rFonts w:hint="eastAsia" w:eastAsia="宋体" w:cs="宋体"/>
          <w:sz w:val="24"/>
          <w:szCs w:val="24"/>
          <w:highlight w:val="none"/>
          <w:lang w:eastAsia="zh-CN"/>
        </w:rPr>
        <w:t>签字</w:t>
      </w:r>
      <w:r>
        <w:rPr>
          <w:rFonts w:ascii="宋体" w:hAnsi="宋体" w:eastAsia="宋体" w:cs="宋体"/>
          <w:sz w:val="24"/>
          <w:szCs w:val="24"/>
          <w:highlight w:val="none"/>
        </w:rPr>
        <w:t>的所有文件（在授权书有效期内</w:t>
      </w:r>
      <w:r>
        <w:rPr>
          <w:rFonts w:hint="eastAsia" w:eastAsia="宋体" w:cs="宋体"/>
          <w:sz w:val="24"/>
          <w:szCs w:val="24"/>
          <w:highlight w:val="none"/>
          <w:lang w:eastAsia="zh-CN"/>
        </w:rPr>
        <w:t>签字</w:t>
      </w:r>
      <w:r>
        <w:rPr>
          <w:rFonts w:ascii="宋体" w:hAnsi="宋体" w:eastAsia="宋体" w:cs="宋体"/>
          <w:sz w:val="24"/>
          <w:szCs w:val="24"/>
          <w:highlight w:val="none"/>
        </w:rPr>
        <w:t>的）不因授权撤销而失效。</w:t>
      </w:r>
    </w:p>
    <w:p w14:paraId="49EA2C5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授权代表无权转让委托权。特此委托。</w:t>
      </w:r>
    </w:p>
    <w:p w14:paraId="499783C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本授权书于</w:t>
      </w:r>
      <w:r>
        <w:rPr>
          <w:rFonts w:hint="eastAsia" w:eastAsia="宋体" w:cs="宋体"/>
          <w:sz w:val="24"/>
          <w:szCs w:val="24"/>
          <w:highlight w:val="none"/>
          <w:lang w:val="en-US" w:eastAsia="zh-CN"/>
        </w:rPr>
        <w:t xml:space="preserve">  </w:t>
      </w:r>
      <w:r>
        <w:rPr>
          <w:rFonts w:ascii="宋体" w:hAnsi="宋体" w:eastAsia="宋体" w:cs="宋体"/>
          <w:sz w:val="24"/>
          <w:szCs w:val="24"/>
          <w:highlight w:val="none"/>
        </w:rPr>
        <w:t>年</w:t>
      </w:r>
      <w:r>
        <w:rPr>
          <w:rFonts w:hint="eastAsia" w:eastAsia="宋体" w:cs="宋体"/>
          <w:sz w:val="24"/>
          <w:szCs w:val="24"/>
          <w:highlight w:val="none"/>
          <w:lang w:val="en-US" w:eastAsia="zh-CN"/>
        </w:rPr>
        <w:t xml:space="preserve">  </w:t>
      </w:r>
      <w:r>
        <w:rPr>
          <w:rFonts w:ascii="宋体" w:hAnsi="宋体" w:eastAsia="宋体" w:cs="宋体"/>
          <w:sz w:val="24"/>
          <w:szCs w:val="24"/>
          <w:highlight w:val="none"/>
        </w:rPr>
        <w:t>月</w:t>
      </w:r>
      <w:r>
        <w:rPr>
          <w:rFonts w:hint="eastAsia" w:eastAsia="宋体" w:cs="宋体"/>
          <w:sz w:val="24"/>
          <w:szCs w:val="24"/>
          <w:highlight w:val="none"/>
          <w:lang w:val="en-US" w:eastAsia="zh-CN"/>
        </w:rPr>
        <w:t xml:space="preserve">  </w:t>
      </w:r>
      <w:r>
        <w:rPr>
          <w:rFonts w:ascii="宋体" w:hAnsi="宋体" w:eastAsia="宋体" w:cs="宋体"/>
          <w:sz w:val="24"/>
          <w:szCs w:val="24"/>
          <w:highlight w:val="none"/>
        </w:rPr>
        <w:t>日签字</w:t>
      </w:r>
      <w:r>
        <w:rPr>
          <w:rFonts w:hint="eastAsia" w:eastAsia="宋体" w:cs="宋体"/>
          <w:sz w:val="24"/>
          <w:szCs w:val="24"/>
          <w:highlight w:val="none"/>
          <w:lang w:val="en-US" w:eastAsia="zh-CN"/>
        </w:rPr>
        <w:t>盖章</w:t>
      </w:r>
      <w:r>
        <w:rPr>
          <w:rFonts w:ascii="宋体" w:hAnsi="宋体" w:eastAsia="宋体" w:cs="宋体"/>
          <w:sz w:val="24"/>
          <w:szCs w:val="24"/>
          <w:highlight w:val="none"/>
        </w:rPr>
        <w:t>生效，特此声明。</w:t>
      </w:r>
    </w:p>
    <w:p w14:paraId="6131D8F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p>
    <w:p w14:paraId="4C17E22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p>
    <w:p w14:paraId="25A7CEB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sz w:val="24"/>
          <w:szCs w:val="24"/>
          <w:highlight w:val="none"/>
          <w:lang w:eastAsia="zh-CN"/>
        </w:rPr>
      </w:pPr>
      <w:r>
        <w:rPr>
          <w:rFonts w:hint="eastAsia" w:eastAsia="宋体" w:cs="宋体"/>
          <w:sz w:val="24"/>
          <w:szCs w:val="24"/>
          <w:highlight w:val="none"/>
          <w:lang w:eastAsia="zh-CN"/>
        </w:rPr>
        <w:t>（</w:t>
      </w:r>
      <w:r>
        <w:rPr>
          <w:rFonts w:ascii="宋体" w:hAnsi="宋体" w:eastAsia="宋体" w:cs="宋体"/>
          <w:sz w:val="24"/>
          <w:szCs w:val="24"/>
          <w:highlight w:val="none"/>
        </w:rPr>
        <w:t>附法人代表身份证及授权代表身份证反正面</w:t>
      </w:r>
      <w:r>
        <w:rPr>
          <w:rFonts w:hint="eastAsia" w:eastAsia="宋体" w:cs="宋体"/>
          <w:i w:val="0"/>
          <w:iCs w:val="0"/>
          <w:caps w:val="0"/>
          <w:color w:val="auto"/>
          <w:spacing w:val="0"/>
          <w:sz w:val="24"/>
          <w:szCs w:val="24"/>
          <w:highlight w:val="none"/>
          <w:shd w:val="clear" w:color="auto" w:fill="FFFFFF"/>
          <w:vertAlign w:val="baseline"/>
          <w:lang w:val="en-US" w:eastAsia="zh-CN"/>
        </w:rPr>
        <w:t>及</w:t>
      </w:r>
      <w:r>
        <w:rPr>
          <w:rFonts w:hint="eastAsia" w:ascii="宋体" w:hAnsi="宋体" w:eastAsia="宋体" w:cs="宋体"/>
          <w:i w:val="0"/>
          <w:iCs w:val="0"/>
          <w:caps w:val="0"/>
          <w:color w:val="auto"/>
          <w:spacing w:val="0"/>
          <w:sz w:val="24"/>
          <w:szCs w:val="24"/>
          <w:highlight w:val="none"/>
          <w:shd w:val="clear" w:color="auto" w:fill="FFFFFF"/>
          <w:vertAlign w:val="baseline"/>
        </w:rPr>
        <w:t>被授权代表</w:t>
      </w:r>
      <w:r>
        <w:rPr>
          <w:rFonts w:hint="eastAsia" w:ascii="宋体" w:hAnsi="宋体" w:eastAsia="宋体" w:cs="宋体"/>
          <w:i w:val="0"/>
          <w:iCs w:val="0"/>
          <w:caps w:val="0"/>
          <w:color w:val="auto"/>
          <w:spacing w:val="0"/>
          <w:sz w:val="24"/>
          <w:szCs w:val="24"/>
          <w:highlight w:val="none"/>
          <w:shd w:val="clear" w:color="auto" w:fill="FFFFFF"/>
          <w:vertAlign w:val="baseline"/>
          <w:lang w:val="en-US" w:eastAsia="zh-CN"/>
        </w:rPr>
        <w:t>社保证明材料</w:t>
      </w:r>
      <w:r>
        <w:rPr>
          <w:rFonts w:hint="eastAsia" w:eastAsia="宋体" w:cs="宋体"/>
          <w:sz w:val="24"/>
          <w:szCs w:val="24"/>
          <w:highlight w:val="none"/>
          <w:lang w:eastAsia="zh-CN"/>
        </w:rPr>
        <w:t>）</w:t>
      </w:r>
    </w:p>
    <w:p w14:paraId="06888A3C">
      <w:pPr>
        <w:keepNext w:val="0"/>
        <w:keepLines w:val="0"/>
        <w:pageBreakBefore w:val="0"/>
        <w:kinsoku/>
        <w:wordWrap/>
        <w:overflowPunct w:val="0"/>
        <w:topLinePunct/>
        <w:bidi w:val="0"/>
        <w:spacing w:line="360" w:lineRule="auto"/>
        <w:rPr>
          <w:rFonts w:ascii="Arial"/>
          <w:sz w:val="21"/>
          <w:highlight w:val="none"/>
        </w:rPr>
      </w:pPr>
    </w:p>
    <w:p w14:paraId="77066AC2">
      <w:pPr>
        <w:keepNext w:val="0"/>
        <w:keepLines w:val="0"/>
        <w:pageBreakBefore w:val="0"/>
        <w:kinsoku/>
        <w:wordWrap/>
        <w:overflowPunct w:val="0"/>
        <w:topLinePunct/>
        <w:bidi w:val="0"/>
        <w:spacing w:line="360" w:lineRule="auto"/>
        <w:rPr>
          <w:rFonts w:ascii="Arial"/>
          <w:sz w:val="21"/>
          <w:highlight w:val="none"/>
        </w:rPr>
      </w:pPr>
    </w:p>
    <w:p w14:paraId="2AB74CEA">
      <w:pPr>
        <w:keepNext w:val="0"/>
        <w:keepLines w:val="0"/>
        <w:pageBreakBefore w:val="0"/>
        <w:kinsoku/>
        <w:wordWrap/>
        <w:overflowPunct w:val="0"/>
        <w:topLinePunct/>
        <w:bidi w:val="0"/>
        <w:spacing w:line="360" w:lineRule="auto"/>
        <w:rPr>
          <w:rFonts w:ascii="Arial"/>
          <w:sz w:val="21"/>
          <w:highlight w:val="none"/>
        </w:rPr>
      </w:pPr>
    </w:p>
    <w:p w14:paraId="343A8FB7">
      <w:pPr>
        <w:keepNext w:val="0"/>
        <w:keepLines w:val="0"/>
        <w:pageBreakBefore w:val="0"/>
        <w:kinsoku/>
        <w:wordWrap/>
        <w:overflowPunct w:val="0"/>
        <w:topLinePunct/>
        <w:bidi w:val="0"/>
        <w:spacing w:line="360" w:lineRule="auto"/>
        <w:rPr>
          <w:rFonts w:ascii="Arial"/>
          <w:sz w:val="21"/>
          <w:highlight w:val="none"/>
        </w:rPr>
      </w:pPr>
    </w:p>
    <w:p w14:paraId="58B5B6C9">
      <w:pPr>
        <w:keepNext w:val="0"/>
        <w:keepLines w:val="0"/>
        <w:pageBreakBefore w:val="0"/>
        <w:kinsoku/>
        <w:wordWrap/>
        <w:overflowPunct w:val="0"/>
        <w:topLinePunct/>
        <w:bidi w:val="0"/>
        <w:spacing w:before="78" w:line="360" w:lineRule="auto"/>
        <w:ind w:left="474"/>
        <w:rPr>
          <w:rFonts w:ascii="宋体" w:hAnsi="宋体" w:eastAsia="宋体" w:cs="宋体"/>
          <w:sz w:val="24"/>
          <w:szCs w:val="24"/>
          <w:highlight w:val="none"/>
        </w:rPr>
      </w:pPr>
      <w:r>
        <w:rPr>
          <w:rFonts w:hint="eastAsia" w:ascii="宋体" w:hAnsi="宋体" w:eastAsia="宋体" w:cs="宋体"/>
          <w:spacing w:val="-2"/>
          <w:sz w:val="24"/>
          <w:szCs w:val="24"/>
          <w:highlight w:val="none"/>
          <w:lang w:eastAsia="zh-CN"/>
        </w:rPr>
        <w:t>响应人</w:t>
      </w:r>
      <w:r>
        <w:rPr>
          <w:rFonts w:ascii="宋体" w:hAnsi="宋体" w:eastAsia="宋体" w:cs="宋体"/>
          <w:spacing w:val="-2"/>
          <w:sz w:val="24"/>
          <w:szCs w:val="24"/>
          <w:highlight w:val="none"/>
        </w:rPr>
        <w:t>（盖章</w:t>
      </w:r>
      <w:r>
        <w:rPr>
          <w:rFonts w:ascii="宋体" w:hAnsi="宋体" w:eastAsia="宋体" w:cs="宋体"/>
          <w:sz w:val="24"/>
          <w:szCs w:val="24"/>
          <w:highlight w:val="none"/>
        </w:rPr>
        <w:t>）：</w:t>
      </w:r>
    </w:p>
    <w:p w14:paraId="1EA5BB77">
      <w:pPr>
        <w:keepNext w:val="0"/>
        <w:keepLines w:val="0"/>
        <w:pageBreakBefore w:val="0"/>
        <w:kinsoku/>
        <w:wordWrap/>
        <w:overflowPunct w:val="0"/>
        <w:topLinePunct/>
        <w:bidi w:val="0"/>
        <w:spacing w:line="360" w:lineRule="auto"/>
        <w:rPr>
          <w:rFonts w:ascii="Arial"/>
          <w:sz w:val="21"/>
          <w:highlight w:val="none"/>
        </w:rPr>
      </w:pPr>
    </w:p>
    <w:p w14:paraId="472DB08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76" w:firstLineChars="200"/>
        <w:textAlignment w:val="baseline"/>
        <w:rPr>
          <w:rFonts w:ascii="宋体" w:hAnsi="宋体" w:eastAsia="宋体" w:cs="宋体"/>
          <w:sz w:val="24"/>
          <w:szCs w:val="24"/>
          <w:highlight w:val="none"/>
        </w:rPr>
      </w:pPr>
      <w:r>
        <w:rPr>
          <w:rFonts w:ascii="宋体" w:hAnsi="宋体" w:eastAsia="宋体" w:cs="宋体"/>
          <w:spacing w:val="-1"/>
          <w:sz w:val="24"/>
          <w:szCs w:val="24"/>
          <w:highlight w:val="none"/>
        </w:rPr>
        <w:t>法定</w:t>
      </w:r>
      <w:r>
        <w:rPr>
          <w:rFonts w:ascii="宋体" w:hAnsi="宋体" w:eastAsia="宋体" w:cs="宋体"/>
          <w:sz w:val="24"/>
          <w:szCs w:val="24"/>
          <w:highlight w:val="none"/>
        </w:rPr>
        <w:t>授权代表签字</w:t>
      </w:r>
      <w:r>
        <w:rPr>
          <w:rFonts w:ascii="宋体" w:hAnsi="宋体" w:eastAsia="宋体" w:cs="宋体"/>
          <w:spacing w:val="-1"/>
          <w:sz w:val="24"/>
          <w:szCs w:val="24"/>
          <w:highlight w:val="none"/>
        </w:rPr>
        <w:t>（签字</w:t>
      </w:r>
      <w:r>
        <w:rPr>
          <w:rFonts w:hint="eastAsia" w:ascii="宋体" w:hAnsi="宋体" w:eastAsia="宋体" w:cs="宋体"/>
          <w:spacing w:val="-1"/>
          <w:sz w:val="24"/>
          <w:szCs w:val="24"/>
          <w:highlight w:val="none"/>
          <w:lang w:val="en-US" w:eastAsia="zh-CN"/>
        </w:rPr>
        <w:t>或盖章</w:t>
      </w:r>
      <w:r>
        <w:rPr>
          <w:rFonts w:ascii="宋体" w:hAnsi="宋体" w:eastAsia="宋体" w:cs="宋体"/>
          <w:sz w:val="24"/>
          <w:szCs w:val="24"/>
          <w:highlight w:val="none"/>
        </w:rPr>
        <w:t>）：</w:t>
      </w:r>
    </w:p>
    <w:p w14:paraId="4E797BC9">
      <w:pPr>
        <w:keepNext w:val="0"/>
        <w:keepLines w:val="0"/>
        <w:pageBreakBefore w:val="0"/>
        <w:kinsoku/>
        <w:wordWrap/>
        <w:overflowPunct w:val="0"/>
        <w:topLinePunct/>
        <w:bidi w:val="0"/>
        <w:spacing w:before="79" w:line="360" w:lineRule="auto"/>
        <w:ind w:left="473"/>
        <w:rPr>
          <w:rFonts w:ascii="宋体" w:hAnsi="宋体" w:eastAsia="宋体" w:cs="宋体"/>
          <w:spacing w:val="-1"/>
          <w:sz w:val="24"/>
          <w:szCs w:val="24"/>
          <w:highlight w:val="none"/>
        </w:rPr>
      </w:pPr>
    </w:p>
    <w:p w14:paraId="4E8E709D">
      <w:pPr>
        <w:keepNext w:val="0"/>
        <w:keepLines w:val="0"/>
        <w:pageBreakBefore w:val="0"/>
        <w:kinsoku/>
        <w:wordWrap/>
        <w:overflowPunct w:val="0"/>
        <w:topLinePunct/>
        <w:bidi w:val="0"/>
        <w:spacing w:before="79" w:line="360" w:lineRule="auto"/>
        <w:ind w:left="473"/>
        <w:rPr>
          <w:rFonts w:ascii="宋体" w:hAnsi="宋体" w:eastAsia="宋体" w:cs="宋体"/>
          <w:sz w:val="24"/>
          <w:szCs w:val="24"/>
          <w:highlight w:val="none"/>
        </w:rPr>
      </w:pPr>
      <w:r>
        <w:rPr>
          <w:rFonts w:ascii="宋体" w:hAnsi="宋体" w:eastAsia="宋体" w:cs="宋体"/>
          <w:spacing w:val="-1"/>
          <w:sz w:val="24"/>
          <w:szCs w:val="24"/>
          <w:highlight w:val="none"/>
        </w:rPr>
        <w:t>代表人或授权代表（签字</w:t>
      </w:r>
      <w:r>
        <w:rPr>
          <w:rFonts w:hint="eastAsia" w:ascii="宋体" w:hAnsi="宋体" w:eastAsia="宋体" w:cs="宋体"/>
          <w:spacing w:val="-1"/>
          <w:sz w:val="24"/>
          <w:szCs w:val="24"/>
          <w:highlight w:val="none"/>
          <w:lang w:val="en-US" w:eastAsia="zh-CN"/>
        </w:rPr>
        <w:t>或盖章</w:t>
      </w:r>
      <w:r>
        <w:rPr>
          <w:rFonts w:ascii="宋体" w:hAnsi="宋体" w:eastAsia="宋体" w:cs="宋体"/>
          <w:sz w:val="24"/>
          <w:szCs w:val="24"/>
          <w:highlight w:val="none"/>
        </w:rPr>
        <w:t>）：</w:t>
      </w:r>
    </w:p>
    <w:p w14:paraId="7A1DA966">
      <w:pPr>
        <w:keepNext w:val="0"/>
        <w:keepLines w:val="0"/>
        <w:pageBreakBefore w:val="0"/>
        <w:kinsoku/>
        <w:wordWrap/>
        <w:overflowPunct w:val="0"/>
        <w:topLinePunct/>
        <w:bidi w:val="0"/>
        <w:spacing w:line="360" w:lineRule="auto"/>
        <w:rPr>
          <w:rFonts w:ascii="Arial"/>
          <w:sz w:val="21"/>
          <w:highlight w:val="none"/>
        </w:rPr>
      </w:pPr>
    </w:p>
    <w:p w14:paraId="348633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年   月   日</w:t>
      </w:r>
    </w:p>
    <w:p w14:paraId="712160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p>
    <w:p w14:paraId="23A8BB55">
      <w:pPr>
        <w:keepNext w:val="0"/>
        <w:keepLines w:val="0"/>
        <w:pageBreakBefore w:val="0"/>
        <w:kinsoku/>
        <w:wordWrap/>
        <w:overflowPunct w:val="0"/>
        <w:topLinePunct/>
        <w:bidi w:val="0"/>
        <w:spacing w:line="360" w:lineRule="auto"/>
        <w:rPr>
          <w:rFonts w:ascii="宋体" w:hAnsi="宋体" w:eastAsia="宋体" w:cs="宋体"/>
          <w:sz w:val="24"/>
          <w:szCs w:val="24"/>
          <w:highlight w:val="none"/>
        </w:rPr>
        <w:sectPr>
          <w:footerReference r:id="rId12" w:type="default"/>
          <w:pgSz w:w="11907" w:h="16839"/>
          <w:pgMar w:top="1417" w:right="1701" w:bottom="1417" w:left="1701" w:header="567" w:footer="567" w:gutter="0"/>
          <w:pgNumType w:fmt="decimal"/>
          <w:cols w:space="0" w:num="1"/>
          <w:rtlGutter w:val="0"/>
          <w:docGrid w:linePitch="0" w:charSpace="0"/>
        </w:sectPr>
      </w:pPr>
    </w:p>
    <w:p w14:paraId="185355A0">
      <w:pPr>
        <w:keepNext w:val="0"/>
        <w:keepLines w:val="0"/>
        <w:pageBreakBefore w:val="0"/>
        <w:kinsoku/>
        <w:wordWrap/>
        <w:overflowPunct w:val="0"/>
        <w:topLinePunct/>
        <w:bidi w:val="0"/>
        <w:spacing w:before="91" w:line="360" w:lineRule="auto"/>
        <w:outlineLvl w:val="1"/>
        <w:rPr>
          <w:rFonts w:ascii="宋体" w:hAnsi="宋体" w:eastAsia="宋体" w:cs="宋体"/>
          <w:b/>
          <w:bCs/>
          <w:spacing w:val="-13"/>
          <w:sz w:val="28"/>
          <w:szCs w:val="28"/>
          <w:highlight w:val="none"/>
        </w:rPr>
      </w:pPr>
      <w:bookmarkStart w:id="103" w:name="_Toc27668"/>
      <w:r>
        <w:rPr>
          <w:rFonts w:ascii="宋体" w:hAnsi="宋体" w:eastAsia="宋体" w:cs="宋体"/>
          <w:b/>
          <w:bCs/>
          <w:spacing w:val="-13"/>
          <w:sz w:val="28"/>
          <w:szCs w:val="28"/>
          <w:highlight w:val="none"/>
        </w:rPr>
        <w:t>附件4</w:t>
      </w:r>
      <w:bookmarkEnd w:id="103"/>
    </w:p>
    <w:p w14:paraId="079669AA">
      <w:pPr>
        <w:keepNext w:val="0"/>
        <w:keepLines w:val="0"/>
        <w:pageBreakBefore w:val="0"/>
        <w:kinsoku/>
        <w:wordWrap/>
        <w:overflowPunct w:val="0"/>
        <w:topLinePunct/>
        <w:bidi w:val="0"/>
        <w:spacing w:before="210" w:line="360" w:lineRule="auto"/>
        <w:ind w:left="2481"/>
        <w:outlineLvl w:val="0"/>
        <w:rPr>
          <w:rFonts w:ascii="宋体" w:hAnsi="宋体" w:eastAsia="宋体" w:cs="宋体"/>
          <w:sz w:val="28"/>
          <w:szCs w:val="28"/>
          <w:highlight w:val="none"/>
        </w:rPr>
      </w:pPr>
      <w:bookmarkStart w:id="104" w:name="_Toc3351"/>
      <w:r>
        <w:rPr>
          <w:rFonts w:ascii="宋体" w:hAnsi="宋体" w:eastAsia="宋体" w:cs="宋体"/>
          <w:b/>
          <w:bCs/>
          <w:spacing w:val="-3"/>
          <w:sz w:val="28"/>
          <w:szCs w:val="28"/>
          <w:highlight w:val="none"/>
        </w:rPr>
        <w:t>近三年无重大违法记录的书面声明</w:t>
      </w:r>
      <w:bookmarkEnd w:id="104"/>
    </w:p>
    <w:p w14:paraId="597A5B7C">
      <w:pPr>
        <w:keepNext w:val="0"/>
        <w:keepLines w:val="0"/>
        <w:pageBreakBefore w:val="0"/>
        <w:kinsoku/>
        <w:wordWrap/>
        <w:overflowPunct w:val="0"/>
        <w:topLinePunct/>
        <w:bidi w:val="0"/>
        <w:spacing w:line="360" w:lineRule="auto"/>
        <w:rPr>
          <w:rFonts w:ascii="Arial"/>
          <w:sz w:val="21"/>
          <w:highlight w:val="none"/>
        </w:rPr>
      </w:pPr>
    </w:p>
    <w:p w14:paraId="07659A1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right="0"/>
        <w:textAlignment w:val="baseline"/>
        <w:rPr>
          <w:rFonts w:ascii="宋体" w:hAnsi="宋体" w:eastAsia="宋体" w:cs="宋体"/>
          <w:sz w:val="24"/>
          <w:szCs w:val="24"/>
          <w:highlight w:val="none"/>
        </w:rPr>
      </w:pPr>
      <w:r>
        <w:rPr>
          <w:rFonts w:ascii="宋体" w:hAnsi="宋体" w:eastAsia="宋体" w:cs="宋体"/>
          <w:sz w:val="24"/>
          <w:szCs w:val="24"/>
          <w:highlight w:val="none"/>
          <w:u w:val="single"/>
        </w:rPr>
        <w:t>山东大学齐鲁医院</w:t>
      </w:r>
      <w:r>
        <w:rPr>
          <w:rFonts w:hint="eastAsia" w:eastAsia="宋体" w:cs="宋体"/>
          <w:sz w:val="24"/>
          <w:szCs w:val="24"/>
          <w:highlight w:val="none"/>
          <w:u w:val="single"/>
          <w:lang w:eastAsia="zh-CN"/>
        </w:rPr>
        <w:t>（</w:t>
      </w:r>
      <w:r>
        <w:rPr>
          <w:rFonts w:hint="eastAsia" w:eastAsia="宋体" w:cs="宋体"/>
          <w:sz w:val="24"/>
          <w:szCs w:val="24"/>
          <w:highlight w:val="none"/>
          <w:u w:val="single"/>
          <w:lang w:val="en-US" w:eastAsia="zh-CN"/>
        </w:rPr>
        <w:t>青岛</w:t>
      </w:r>
      <w:r>
        <w:rPr>
          <w:rFonts w:hint="eastAsia" w:eastAsia="宋体" w:cs="宋体"/>
          <w:sz w:val="24"/>
          <w:szCs w:val="24"/>
          <w:highlight w:val="none"/>
          <w:u w:val="single"/>
          <w:lang w:eastAsia="zh-CN"/>
        </w:rPr>
        <w:t>）、</w:t>
      </w:r>
      <w:r>
        <w:rPr>
          <w:rFonts w:hint="eastAsia" w:eastAsia="宋体" w:cs="宋体"/>
          <w:sz w:val="24"/>
          <w:szCs w:val="24"/>
          <w:highlight w:val="none"/>
          <w:u w:val="single"/>
          <w:lang w:val="en-US" w:eastAsia="zh-CN"/>
        </w:rPr>
        <w:t>海逸恒安项目管理有限公司</w:t>
      </w:r>
      <w:r>
        <w:rPr>
          <w:rFonts w:ascii="宋体" w:hAnsi="宋体" w:eastAsia="宋体" w:cs="宋体"/>
          <w:sz w:val="24"/>
          <w:szCs w:val="24"/>
          <w:highlight w:val="none"/>
        </w:rPr>
        <w:t>：</w:t>
      </w:r>
    </w:p>
    <w:p w14:paraId="22AFCEF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sz w:val="24"/>
          <w:szCs w:val="24"/>
          <w:highlight w:val="none"/>
          <w:lang w:eastAsia="zh-CN"/>
        </w:rPr>
      </w:pPr>
      <w:r>
        <w:rPr>
          <w:rFonts w:ascii="宋体" w:hAnsi="宋体" w:eastAsia="宋体" w:cs="宋体"/>
          <w:sz w:val="24"/>
          <w:szCs w:val="24"/>
          <w:highlight w:val="none"/>
        </w:rPr>
        <w:t>在参加本次遴选之日起前三年内，我公司未因违法经营受到刑事处罚或者责 令停产停业、吊销许可证或者执照、较大数额罚款等行政处罚。</w:t>
      </w:r>
      <w:r>
        <w:rPr>
          <w:rFonts w:hint="eastAsia" w:ascii="宋体" w:hAnsi="宋体" w:eastAsia="宋体" w:cs="宋体"/>
          <w:sz w:val="24"/>
          <w:szCs w:val="24"/>
          <w:highlight w:val="none"/>
        </w:rPr>
        <w:t>近三年内没有与采购代理业务相关的严重违法、违约行为</w:t>
      </w:r>
      <w:r>
        <w:rPr>
          <w:rFonts w:hint="eastAsia" w:eastAsia="宋体" w:cs="宋体"/>
          <w:sz w:val="24"/>
          <w:szCs w:val="24"/>
          <w:highlight w:val="none"/>
          <w:lang w:eastAsia="zh-CN"/>
        </w:rPr>
        <w:t>。</w:t>
      </w:r>
    </w:p>
    <w:p w14:paraId="1DAC8128">
      <w:pPr>
        <w:keepNext w:val="0"/>
        <w:keepLines w:val="0"/>
        <w:pageBreakBefore w:val="0"/>
        <w:kinsoku/>
        <w:wordWrap/>
        <w:overflowPunct w:val="0"/>
        <w:topLinePunct/>
        <w:bidi w:val="0"/>
        <w:spacing w:line="360" w:lineRule="auto"/>
        <w:rPr>
          <w:rFonts w:ascii="Arial"/>
          <w:sz w:val="21"/>
          <w:highlight w:val="none"/>
        </w:rPr>
      </w:pPr>
    </w:p>
    <w:p w14:paraId="3486F07A">
      <w:pPr>
        <w:keepNext w:val="0"/>
        <w:keepLines w:val="0"/>
        <w:pageBreakBefore w:val="0"/>
        <w:kinsoku/>
        <w:wordWrap/>
        <w:overflowPunct w:val="0"/>
        <w:topLinePunct/>
        <w:bidi w:val="0"/>
        <w:spacing w:before="78" w:line="360" w:lineRule="auto"/>
        <w:ind w:left="474"/>
        <w:rPr>
          <w:rFonts w:ascii="宋体" w:hAnsi="宋体" w:eastAsia="宋体" w:cs="宋体"/>
          <w:sz w:val="24"/>
          <w:szCs w:val="24"/>
          <w:highlight w:val="none"/>
        </w:rPr>
      </w:pPr>
      <w:r>
        <w:rPr>
          <w:rFonts w:hint="eastAsia" w:ascii="宋体" w:hAnsi="宋体" w:eastAsia="宋体" w:cs="宋体"/>
          <w:spacing w:val="-2"/>
          <w:sz w:val="24"/>
          <w:szCs w:val="24"/>
          <w:highlight w:val="none"/>
          <w:lang w:eastAsia="zh-CN"/>
        </w:rPr>
        <w:t>响应人</w:t>
      </w:r>
      <w:r>
        <w:rPr>
          <w:rFonts w:ascii="宋体" w:hAnsi="宋体" w:eastAsia="宋体" w:cs="宋体"/>
          <w:spacing w:val="-2"/>
          <w:sz w:val="24"/>
          <w:szCs w:val="24"/>
          <w:highlight w:val="none"/>
        </w:rPr>
        <w:t>（盖章</w:t>
      </w:r>
      <w:r>
        <w:rPr>
          <w:rFonts w:ascii="宋体" w:hAnsi="宋体" w:eastAsia="宋体" w:cs="宋体"/>
          <w:sz w:val="24"/>
          <w:szCs w:val="24"/>
          <w:highlight w:val="none"/>
        </w:rPr>
        <w:t>）：</w:t>
      </w:r>
    </w:p>
    <w:p w14:paraId="101DF90C">
      <w:pPr>
        <w:keepNext w:val="0"/>
        <w:keepLines w:val="0"/>
        <w:pageBreakBefore w:val="0"/>
        <w:kinsoku/>
        <w:wordWrap/>
        <w:overflowPunct w:val="0"/>
        <w:topLinePunct/>
        <w:bidi w:val="0"/>
        <w:spacing w:line="360" w:lineRule="auto"/>
        <w:rPr>
          <w:rFonts w:ascii="Arial"/>
          <w:sz w:val="21"/>
          <w:highlight w:val="none"/>
        </w:rPr>
      </w:pPr>
    </w:p>
    <w:p w14:paraId="069D0127">
      <w:pPr>
        <w:keepNext w:val="0"/>
        <w:keepLines w:val="0"/>
        <w:pageBreakBefore w:val="0"/>
        <w:kinsoku/>
        <w:wordWrap/>
        <w:overflowPunct w:val="0"/>
        <w:topLinePunct/>
        <w:bidi w:val="0"/>
        <w:spacing w:before="79" w:line="360" w:lineRule="auto"/>
        <w:ind w:left="473"/>
        <w:rPr>
          <w:rFonts w:ascii="宋体" w:hAnsi="宋体" w:eastAsia="宋体" w:cs="宋体"/>
          <w:sz w:val="24"/>
          <w:szCs w:val="24"/>
          <w:highlight w:val="none"/>
        </w:rPr>
      </w:pPr>
      <w:r>
        <w:rPr>
          <w:rFonts w:ascii="宋体" w:hAnsi="宋体" w:eastAsia="宋体" w:cs="宋体"/>
          <w:spacing w:val="-1"/>
          <w:sz w:val="24"/>
          <w:szCs w:val="24"/>
          <w:highlight w:val="none"/>
        </w:rPr>
        <w:t>法定代表人或授权代表（签字</w:t>
      </w:r>
      <w:r>
        <w:rPr>
          <w:rFonts w:hint="eastAsia" w:ascii="宋体" w:hAnsi="宋体" w:eastAsia="宋体" w:cs="宋体"/>
          <w:spacing w:val="-1"/>
          <w:sz w:val="24"/>
          <w:szCs w:val="24"/>
          <w:highlight w:val="none"/>
          <w:lang w:val="en-US" w:eastAsia="zh-CN"/>
        </w:rPr>
        <w:t>或盖章</w:t>
      </w:r>
      <w:r>
        <w:rPr>
          <w:rFonts w:ascii="宋体" w:hAnsi="宋体" w:eastAsia="宋体" w:cs="宋体"/>
          <w:sz w:val="24"/>
          <w:szCs w:val="24"/>
          <w:highlight w:val="none"/>
        </w:rPr>
        <w:t>）：</w:t>
      </w:r>
    </w:p>
    <w:p w14:paraId="22918E94">
      <w:pPr>
        <w:keepNext w:val="0"/>
        <w:keepLines w:val="0"/>
        <w:pageBreakBefore w:val="0"/>
        <w:kinsoku/>
        <w:wordWrap/>
        <w:overflowPunct w:val="0"/>
        <w:topLinePunct/>
        <w:bidi w:val="0"/>
        <w:spacing w:line="360" w:lineRule="auto"/>
        <w:rPr>
          <w:rFonts w:ascii="Arial"/>
          <w:sz w:val="21"/>
          <w:highlight w:val="none"/>
        </w:rPr>
      </w:pPr>
    </w:p>
    <w:p w14:paraId="44A35A6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年   月   日</w:t>
      </w:r>
    </w:p>
    <w:p w14:paraId="09FD5BCC">
      <w:pPr>
        <w:keepNext w:val="0"/>
        <w:keepLines w:val="0"/>
        <w:pageBreakBefore w:val="0"/>
        <w:kinsoku/>
        <w:wordWrap/>
        <w:overflowPunct w:val="0"/>
        <w:topLinePunct/>
        <w:bidi w:val="0"/>
        <w:spacing w:line="360" w:lineRule="auto"/>
        <w:rPr>
          <w:rFonts w:ascii="宋体" w:hAnsi="宋体" w:eastAsia="宋体" w:cs="宋体"/>
          <w:sz w:val="24"/>
          <w:szCs w:val="24"/>
          <w:highlight w:val="none"/>
        </w:rPr>
        <w:sectPr>
          <w:footerReference r:id="rId13" w:type="default"/>
          <w:pgSz w:w="11907" w:h="16839"/>
          <w:pgMar w:top="1417" w:right="1701" w:bottom="1417" w:left="1701" w:header="567" w:footer="567" w:gutter="0"/>
          <w:pgNumType w:fmt="decimal"/>
          <w:cols w:space="0" w:num="1"/>
          <w:rtlGutter w:val="0"/>
          <w:docGrid w:linePitch="0" w:charSpace="0"/>
        </w:sectPr>
      </w:pPr>
    </w:p>
    <w:p w14:paraId="43646FC3">
      <w:pPr>
        <w:keepNext w:val="0"/>
        <w:keepLines w:val="0"/>
        <w:pageBreakBefore w:val="0"/>
        <w:kinsoku/>
        <w:wordWrap/>
        <w:overflowPunct w:val="0"/>
        <w:topLinePunct/>
        <w:bidi w:val="0"/>
        <w:spacing w:before="91" w:line="360" w:lineRule="auto"/>
        <w:outlineLvl w:val="1"/>
        <w:rPr>
          <w:rFonts w:ascii="宋体" w:hAnsi="宋体" w:eastAsia="宋体" w:cs="宋体"/>
          <w:b/>
          <w:bCs/>
          <w:spacing w:val="-13"/>
          <w:sz w:val="28"/>
          <w:szCs w:val="28"/>
          <w:highlight w:val="none"/>
        </w:rPr>
      </w:pPr>
      <w:bookmarkStart w:id="105" w:name="_Toc8592"/>
      <w:r>
        <w:rPr>
          <w:rFonts w:ascii="宋体" w:hAnsi="宋体" w:eastAsia="宋体" w:cs="宋体"/>
          <w:b/>
          <w:bCs/>
          <w:spacing w:val="-13"/>
          <w:sz w:val="28"/>
          <w:szCs w:val="28"/>
          <w:highlight w:val="none"/>
        </w:rPr>
        <w:t>附件5-1</w:t>
      </w:r>
      <w:bookmarkEnd w:id="105"/>
    </w:p>
    <w:p w14:paraId="4B3576C0">
      <w:pPr>
        <w:keepNext w:val="0"/>
        <w:keepLines w:val="0"/>
        <w:pageBreakBefore w:val="0"/>
        <w:kinsoku/>
        <w:wordWrap/>
        <w:overflowPunct w:val="0"/>
        <w:topLinePunct/>
        <w:bidi w:val="0"/>
        <w:spacing w:before="188" w:line="360" w:lineRule="auto"/>
        <w:ind w:left="3331"/>
        <w:outlineLvl w:val="0"/>
        <w:rPr>
          <w:rFonts w:ascii="宋体" w:hAnsi="宋体" w:eastAsia="宋体" w:cs="宋体"/>
          <w:sz w:val="28"/>
          <w:szCs w:val="28"/>
          <w:highlight w:val="none"/>
        </w:rPr>
      </w:pPr>
      <w:bookmarkStart w:id="106" w:name="_Toc28874"/>
      <w:r>
        <w:rPr>
          <w:rFonts w:ascii="宋体" w:hAnsi="宋体" w:eastAsia="宋体" w:cs="宋体"/>
          <w:b/>
          <w:bCs/>
          <w:spacing w:val="-3"/>
          <w:sz w:val="28"/>
          <w:szCs w:val="28"/>
          <w:highlight w:val="none"/>
        </w:rPr>
        <w:t>拟派服务团队主要人员情况表</w:t>
      </w:r>
      <w:bookmarkEnd w:id="106"/>
    </w:p>
    <w:p w14:paraId="1A87F080">
      <w:pPr>
        <w:keepNext w:val="0"/>
        <w:keepLines w:val="0"/>
        <w:pageBreakBefore w:val="0"/>
        <w:kinsoku/>
        <w:wordWrap/>
        <w:overflowPunct w:val="0"/>
        <w:topLinePunct/>
        <w:bidi w:val="0"/>
        <w:spacing w:before="107" w:line="360" w:lineRule="auto"/>
        <w:rPr>
          <w:highlight w:val="none"/>
        </w:rPr>
      </w:pPr>
    </w:p>
    <w:tbl>
      <w:tblPr>
        <w:tblStyle w:val="11"/>
        <w:tblW w:w="5452"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07"/>
        <w:gridCol w:w="773"/>
        <w:gridCol w:w="774"/>
        <w:gridCol w:w="903"/>
        <w:gridCol w:w="1031"/>
        <w:gridCol w:w="1517"/>
        <w:gridCol w:w="1579"/>
        <w:gridCol w:w="1796"/>
      </w:tblGrid>
      <w:tr w14:paraId="48675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9" w:hRule="atLeast"/>
        </w:trPr>
        <w:tc>
          <w:tcPr>
            <w:tcW w:w="489" w:type="pct"/>
            <w:vAlign w:val="top"/>
          </w:tcPr>
          <w:p w14:paraId="7FD2ED49">
            <w:pPr>
              <w:keepNext w:val="0"/>
              <w:keepLines w:val="0"/>
              <w:pageBreakBefore w:val="0"/>
              <w:kinsoku/>
              <w:wordWrap/>
              <w:overflowPunct w:val="0"/>
              <w:topLinePunct/>
              <w:bidi w:val="0"/>
              <w:spacing w:line="360" w:lineRule="auto"/>
              <w:rPr>
                <w:rFonts w:ascii="Arial"/>
                <w:sz w:val="21"/>
                <w:highlight w:val="none"/>
              </w:rPr>
            </w:pPr>
          </w:p>
          <w:p w14:paraId="281C3626">
            <w:pPr>
              <w:pStyle w:val="12"/>
              <w:keepNext w:val="0"/>
              <w:keepLines w:val="0"/>
              <w:pageBreakBefore w:val="0"/>
              <w:kinsoku/>
              <w:wordWrap/>
              <w:overflowPunct w:val="0"/>
              <w:topLinePunct/>
              <w:bidi w:val="0"/>
              <w:spacing w:before="78" w:line="360" w:lineRule="auto"/>
              <w:ind w:left="263"/>
              <w:rPr>
                <w:highlight w:val="none"/>
              </w:rPr>
            </w:pPr>
            <w:r>
              <w:rPr>
                <w:spacing w:val="-5"/>
                <w:highlight w:val="none"/>
              </w:rPr>
              <w:t>序号</w:t>
            </w:r>
          </w:p>
        </w:tc>
        <w:tc>
          <w:tcPr>
            <w:tcW w:w="416" w:type="pct"/>
            <w:vAlign w:val="top"/>
          </w:tcPr>
          <w:p w14:paraId="275D5872">
            <w:pPr>
              <w:keepNext w:val="0"/>
              <w:keepLines w:val="0"/>
              <w:pageBreakBefore w:val="0"/>
              <w:kinsoku/>
              <w:wordWrap/>
              <w:overflowPunct w:val="0"/>
              <w:topLinePunct/>
              <w:bidi w:val="0"/>
              <w:spacing w:line="360" w:lineRule="auto"/>
              <w:rPr>
                <w:rFonts w:ascii="Arial"/>
                <w:sz w:val="21"/>
                <w:highlight w:val="none"/>
              </w:rPr>
            </w:pPr>
          </w:p>
          <w:p w14:paraId="76E954D6">
            <w:pPr>
              <w:pStyle w:val="12"/>
              <w:keepNext w:val="0"/>
              <w:keepLines w:val="0"/>
              <w:pageBreakBefore w:val="0"/>
              <w:kinsoku/>
              <w:wordWrap/>
              <w:overflowPunct w:val="0"/>
              <w:topLinePunct/>
              <w:bidi w:val="0"/>
              <w:spacing w:before="78" w:line="360" w:lineRule="auto"/>
              <w:ind w:left="189"/>
              <w:rPr>
                <w:highlight w:val="none"/>
              </w:rPr>
            </w:pPr>
            <w:r>
              <w:rPr>
                <w:spacing w:val="-5"/>
                <w:highlight w:val="none"/>
              </w:rPr>
              <w:t>姓名</w:t>
            </w:r>
          </w:p>
        </w:tc>
        <w:tc>
          <w:tcPr>
            <w:tcW w:w="417" w:type="pct"/>
            <w:vAlign w:val="top"/>
          </w:tcPr>
          <w:p w14:paraId="6A871447">
            <w:pPr>
              <w:keepNext w:val="0"/>
              <w:keepLines w:val="0"/>
              <w:pageBreakBefore w:val="0"/>
              <w:kinsoku/>
              <w:wordWrap/>
              <w:overflowPunct w:val="0"/>
              <w:topLinePunct/>
              <w:bidi w:val="0"/>
              <w:spacing w:line="360" w:lineRule="auto"/>
              <w:rPr>
                <w:rFonts w:ascii="Arial"/>
                <w:sz w:val="21"/>
                <w:highlight w:val="none"/>
              </w:rPr>
            </w:pPr>
          </w:p>
          <w:p w14:paraId="03558A3B">
            <w:pPr>
              <w:pStyle w:val="12"/>
              <w:keepNext w:val="0"/>
              <w:keepLines w:val="0"/>
              <w:pageBreakBefore w:val="0"/>
              <w:kinsoku/>
              <w:wordWrap/>
              <w:overflowPunct w:val="0"/>
              <w:topLinePunct/>
              <w:bidi w:val="0"/>
              <w:spacing w:before="78" w:line="360" w:lineRule="auto"/>
              <w:ind w:left="192"/>
              <w:rPr>
                <w:highlight w:val="none"/>
              </w:rPr>
            </w:pPr>
            <w:r>
              <w:rPr>
                <w:spacing w:val="-6"/>
                <w:highlight w:val="none"/>
              </w:rPr>
              <w:t>年龄</w:t>
            </w:r>
          </w:p>
        </w:tc>
        <w:tc>
          <w:tcPr>
            <w:tcW w:w="486" w:type="pct"/>
            <w:vAlign w:val="top"/>
          </w:tcPr>
          <w:p w14:paraId="2BE940D1">
            <w:pPr>
              <w:keepNext w:val="0"/>
              <w:keepLines w:val="0"/>
              <w:pageBreakBefore w:val="0"/>
              <w:kinsoku/>
              <w:wordWrap/>
              <w:overflowPunct w:val="0"/>
              <w:topLinePunct/>
              <w:bidi w:val="0"/>
              <w:spacing w:line="360" w:lineRule="auto"/>
              <w:rPr>
                <w:rFonts w:ascii="Arial"/>
                <w:sz w:val="21"/>
                <w:highlight w:val="none"/>
              </w:rPr>
            </w:pPr>
          </w:p>
          <w:p w14:paraId="2624A542">
            <w:pPr>
              <w:pStyle w:val="12"/>
              <w:keepNext w:val="0"/>
              <w:keepLines w:val="0"/>
              <w:pageBreakBefore w:val="0"/>
              <w:kinsoku/>
              <w:wordWrap/>
              <w:overflowPunct w:val="0"/>
              <w:topLinePunct/>
              <w:bidi w:val="0"/>
              <w:spacing w:before="78" w:line="360" w:lineRule="auto"/>
              <w:ind w:left="266"/>
              <w:rPr>
                <w:highlight w:val="none"/>
              </w:rPr>
            </w:pPr>
            <w:r>
              <w:rPr>
                <w:spacing w:val="-8"/>
                <w:highlight w:val="none"/>
              </w:rPr>
              <w:t>学历</w:t>
            </w:r>
          </w:p>
        </w:tc>
        <w:tc>
          <w:tcPr>
            <w:tcW w:w="555" w:type="pct"/>
            <w:vAlign w:val="top"/>
          </w:tcPr>
          <w:p w14:paraId="55E207F2">
            <w:pPr>
              <w:keepNext w:val="0"/>
              <w:keepLines w:val="0"/>
              <w:pageBreakBefore w:val="0"/>
              <w:kinsoku/>
              <w:wordWrap/>
              <w:overflowPunct w:val="0"/>
              <w:topLinePunct/>
              <w:bidi w:val="0"/>
              <w:spacing w:line="360" w:lineRule="auto"/>
              <w:rPr>
                <w:rFonts w:ascii="Arial"/>
                <w:sz w:val="21"/>
                <w:highlight w:val="none"/>
              </w:rPr>
            </w:pPr>
          </w:p>
          <w:p w14:paraId="1783F730">
            <w:pPr>
              <w:pStyle w:val="12"/>
              <w:keepNext w:val="0"/>
              <w:keepLines w:val="0"/>
              <w:pageBreakBefore w:val="0"/>
              <w:kinsoku/>
              <w:wordWrap/>
              <w:overflowPunct w:val="0"/>
              <w:topLinePunct/>
              <w:bidi w:val="0"/>
              <w:spacing w:before="78" w:line="360" w:lineRule="auto"/>
              <w:ind w:left="334"/>
              <w:rPr>
                <w:highlight w:val="none"/>
              </w:rPr>
            </w:pPr>
            <w:r>
              <w:rPr>
                <w:spacing w:val="-6"/>
                <w:highlight w:val="none"/>
              </w:rPr>
              <w:t>专业</w:t>
            </w:r>
          </w:p>
        </w:tc>
        <w:tc>
          <w:tcPr>
            <w:tcW w:w="817" w:type="pct"/>
            <w:vAlign w:val="top"/>
          </w:tcPr>
          <w:p w14:paraId="579D5A8D">
            <w:pPr>
              <w:pStyle w:val="12"/>
              <w:keepNext w:val="0"/>
              <w:keepLines w:val="0"/>
              <w:pageBreakBefore w:val="0"/>
              <w:kinsoku/>
              <w:wordWrap/>
              <w:overflowPunct w:val="0"/>
              <w:topLinePunct/>
              <w:bidi w:val="0"/>
              <w:spacing w:before="186" w:line="360" w:lineRule="auto"/>
              <w:ind w:left="359" w:right="110" w:hanging="236"/>
              <w:rPr>
                <w:highlight w:val="none"/>
              </w:rPr>
            </w:pPr>
            <w:r>
              <w:rPr>
                <w:spacing w:val="-3"/>
                <w:highlight w:val="none"/>
              </w:rPr>
              <w:t>从事招标代理业务年限</w:t>
            </w:r>
          </w:p>
        </w:tc>
        <w:tc>
          <w:tcPr>
            <w:tcW w:w="850" w:type="pct"/>
            <w:vAlign w:val="top"/>
          </w:tcPr>
          <w:p w14:paraId="40D77932">
            <w:pPr>
              <w:pStyle w:val="12"/>
              <w:keepNext w:val="0"/>
              <w:keepLines w:val="0"/>
              <w:pageBreakBefore w:val="0"/>
              <w:kinsoku/>
              <w:wordWrap/>
              <w:overflowPunct w:val="0"/>
              <w:topLinePunct/>
              <w:bidi w:val="0"/>
              <w:spacing w:before="186" w:line="360" w:lineRule="auto"/>
              <w:ind w:left="514" w:right="202" w:hanging="299"/>
              <w:rPr>
                <w:highlight w:val="none"/>
              </w:rPr>
            </w:pPr>
            <w:r>
              <w:rPr>
                <w:spacing w:val="-2"/>
                <w:highlight w:val="none"/>
              </w:rPr>
              <w:t>执业资格/专</w:t>
            </w:r>
            <w:r>
              <w:rPr>
                <w:spacing w:val="-3"/>
                <w:highlight w:val="none"/>
              </w:rPr>
              <w:t>业证书</w:t>
            </w:r>
          </w:p>
        </w:tc>
        <w:tc>
          <w:tcPr>
            <w:tcW w:w="967" w:type="pct"/>
            <w:vAlign w:val="top"/>
          </w:tcPr>
          <w:p w14:paraId="68EFC500">
            <w:pPr>
              <w:keepNext w:val="0"/>
              <w:keepLines w:val="0"/>
              <w:pageBreakBefore w:val="0"/>
              <w:kinsoku/>
              <w:wordWrap/>
              <w:overflowPunct w:val="0"/>
              <w:topLinePunct/>
              <w:bidi w:val="0"/>
              <w:spacing w:line="360" w:lineRule="auto"/>
              <w:rPr>
                <w:rFonts w:ascii="Arial"/>
                <w:sz w:val="21"/>
                <w:highlight w:val="none"/>
              </w:rPr>
            </w:pPr>
          </w:p>
          <w:p w14:paraId="4710D6B4">
            <w:pPr>
              <w:pStyle w:val="12"/>
              <w:keepNext w:val="0"/>
              <w:keepLines w:val="0"/>
              <w:pageBreakBefore w:val="0"/>
              <w:kinsoku/>
              <w:wordWrap/>
              <w:overflowPunct w:val="0"/>
              <w:topLinePunct/>
              <w:bidi w:val="0"/>
              <w:spacing w:before="78" w:line="360" w:lineRule="auto"/>
              <w:jc w:val="center"/>
              <w:rPr>
                <w:rFonts w:hint="eastAsia" w:eastAsia="宋体"/>
                <w:highlight w:val="none"/>
                <w:lang w:eastAsia="zh-CN"/>
              </w:rPr>
            </w:pPr>
            <w:r>
              <w:rPr>
                <w:rFonts w:hint="eastAsia"/>
                <w:spacing w:val="-7"/>
                <w:highlight w:val="none"/>
                <w:lang w:val="en-US" w:eastAsia="zh-CN"/>
              </w:rPr>
              <w:t>在本项目中岗位</w:t>
            </w:r>
          </w:p>
        </w:tc>
      </w:tr>
      <w:tr w14:paraId="49721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489" w:type="pct"/>
            <w:vAlign w:val="top"/>
          </w:tcPr>
          <w:p w14:paraId="38492844">
            <w:pPr>
              <w:keepNext w:val="0"/>
              <w:keepLines w:val="0"/>
              <w:pageBreakBefore w:val="0"/>
              <w:kinsoku/>
              <w:wordWrap/>
              <w:overflowPunct w:val="0"/>
              <w:topLinePunct/>
              <w:bidi w:val="0"/>
              <w:spacing w:line="360" w:lineRule="auto"/>
              <w:rPr>
                <w:rFonts w:ascii="Arial"/>
                <w:sz w:val="21"/>
                <w:highlight w:val="none"/>
              </w:rPr>
            </w:pPr>
          </w:p>
        </w:tc>
        <w:tc>
          <w:tcPr>
            <w:tcW w:w="416" w:type="pct"/>
            <w:vAlign w:val="top"/>
          </w:tcPr>
          <w:p w14:paraId="7AA7C673">
            <w:pPr>
              <w:keepNext w:val="0"/>
              <w:keepLines w:val="0"/>
              <w:pageBreakBefore w:val="0"/>
              <w:kinsoku/>
              <w:wordWrap/>
              <w:overflowPunct w:val="0"/>
              <w:topLinePunct/>
              <w:bidi w:val="0"/>
              <w:spacing w:line="360" w:lineRule="auto"/>
              <w:rPr>
                <w:rFonts w:ascii="Arial"/>
                <w:sz w:val="21"/>
                <w:highlight w:val="none"/>
              </w:rPr>
            </w:pPr>
          </w:p>
        </w:tc>
        <w:tc>
          <w:tcPr>
            <w:tcW w:w="417" w:type="pct"/>
            <w:vAlign w:val="top"/>
          </w:tcPr>
          <w:p w14:paraId="6B981B41">
            <w:pPr>
              <w:keepNext w:val="0"/>
              <w:keepLines w:val="0"/>
              <w:pageBreakBefore w:val="0"/>
              <w:kinsoku/>
              <w:wordWrap/>
              <w:overflowPunct w:val="0"/>
              <w:topLinePunct/>
              <w:bidi w:val="0"/>
              <w:spacing w:line="360" w:lineRule="auto"/>
              <w:rPr>
                <w:rFonts w:ascii="Arial"/>
                <w:sz w:val="21"/>
                <w:highlight w:val="none"/>
              </w:rPr>
            </w:pPr>
          </w:p>
        </w:tc>
        <w:tc>
          <w:tcPr>
            <w:tcW w:w="486" w:type="pct"/>
            <w:vAlign w:val="top"/>
          </w:tcPr>
          <w:p w14:paraId="2CF93A7E">
            <w:pPr>
              <w:keepNext w:val="0"/>
              <w:keepLines w:val="0"/>
              <w:pageBreakBefore w:val="0"/>
              <w:kinsoku/>
              <w:wordWrap/>
              <w:overflowPunct w:val="0"/>
              <w:topLinePunct/>
              <w:bidi w:val="0"/>
              <w:spacing w:line="360" w:lineRule="auto"/>
              <w:rPr>
                <w:rFonts w:ascii="Arial"/>
                <w:sz w:val="21"/>
                <w:highlight w:val="none"/>
              </w:rPr>
            </w:pPr>
          </w:p>
        </w:tc>
        <w:tc>
          <w:tcPr>
            <w:tcW w:w="555" w:type="pct"/>
            <w:vAlign w:val="top"/>
          </w:tcPr>
          <w:p w14:paraId="19C55C56">
            <w:pPr>
              <w:keepNext w:val="0"/>
              <w:keepLines w:val="0"/>
              <w:pageBreakBefore w:val="0"/>
              <w:kinsoku/>
              <w:wordWrap/>
              <w:overflowPunct w:val="0"/>
              <w:topLinePunct/>
              <w:bidi w:val="0"/>
              <w:spacing w:line="360" w:lineRule="auto"/>
              <w:rPr>
                <w:rFonts w:ascii="Arial"/>
                <w:sz w:val="21"/>
                <w:highlight w:val="none"/>
              </w:rPr>
            </w:pPr>
          </w:p>
        </w:tc>
        <w:tc>
          <w:tcPr>
            <w:tcW w:w="817" w:type="pct"/>
            <w:vAlign w:val="top"/>
          </w:tcPr>
          <w:p w14:paraId="00BFA2F1">
            <w:pPr>
              <w:keepNext w:val="0"/>
              <w:keepLines w:val="0"/>
              <w:pageBreakBefore w:val="0"/>
              <w:kinsoku/>
              <w:wordWrap/>
              <w:overflowPunct w:val="0"/>
              <w:topLinePunct/>
              <w:bidi w:val="0"/>
              <w:spacing w:line="360" w:lineRule="auto"/>
              <w:rPr>
                <w:rFonts w:ascii="Arial"/>
                <w:sz w:val="21"/>
                <w:highlight w:val="none"/>
              </w:rPr>
            </w:pPr>
          </w:p>
        </w:tc>
        <w:tc>
          <w:tcPr>
            <w:tcW w:w="850" w:type="pct"/>
            <w:vAlign w:val="top"/>
          </w:tcPr>
          <w:p w14:paraId="7ECB5CB1">
            <w:pPr>
              <w:keepNext w:val="0"/>
              <w:keepLines w:val="0"/>
              <w:pageBreakBefore w:val="0"/>
              <w:kinsoku/>
              <w:wordWrap/>
              <w:overflowPunct w:val="0"/>
              <w:topLinePunct/>
              <w:bidi w:val="0"/>
              <w:spacing w:line="360" w:lineRule="auto"/>
              <w:rPr>
                <w:rFonts w:ascii="Arial"/>
                <w:sz w:val="21"/>
                <w:highlight w:val="none"/>
              </w:rPr>
            </w:pPr>
          </w:p>
        </w:tc>
        <w:tc>
          <w:tcPr>
            <w:tcW w:w="967" w:type="pct"/>
            <w:vAlign w:val="top"/>
          </w:tcPr>
          <w:p w14:paraId="76465A32">
            <w:pPr>
              <w:pStyle w:val="12"/>
              <w:keepNext w:val="0"/>
              <w:keepLines w:val="0"/>
              <w:pageBreakBefore w:val="0"/>
              <w:kinsoku/>
              <w:wordWrap/>
              <w:overflowPunct w:val="0"/>
              <w:topLinePunct/>
              <w:bidi w:val="0"/>
              <w:spacing w:before="210" w:line="360" w:lineRule="auto"/>
              <w:ind w:left="119"/>
              <w:rPr>
                <w:highlight w:val="none"/>
              </w:rPr>
            </w:pPr>
          </w:p>
        </w:tc>
      </w:tr>
      <w:tr w14:paraId="640D64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489" w:type="pct"/>
            <w:vAlign w:val="top"/>
          </w:tcPr>
          <w:p w14:paraId="77DCF3C1">
            <w:pPr>
              <w:keepNext w:val="0"/>
              <w:keepLines w:val="0"/>
              <w:pageBreakBefore w:val="0"/>
              <w:kinsoku/>
              <w:wordWrap/>
              <w:overflowPunct w:val="0"/>
              <w:topLinePunct/>
              <w:bidi w:val="0"/>
              <w:spacing w:line="360" w:lineRule="auto"/>
              <w:rPr>
                <w:rFonts w:ascii="Arial"/>
                <w:sz w:val="21"/>
                <w:highlight w:val="none"/>
              </w:rPr>
            </w:pPr>
          </w:p>
        </w:tc>
        <w:tc>
          <w:tcPr>
            <w:tcW w:w="416" w:type="pct"/>
            <w:vAlign w:val="top"/>
          </w:tcPr>
          <w:p w14:paraId="5E50A3E0">
            <w:pPr>
              <w:keepNext w:val="0"/>
              <w:keepLines w:val="0"/>
              <w:pageBreakBefore w:val="0"/>
              <w:kinsoku/>
              <w:wordWrap/>
              <w:overflowPunct w:val="0"/>
              <w:topLinePunct/>
              <w:bidi w:val="0"/>
              <w:spacing w:line="360" w:lineRule="auto"/>
              <w:rPr>
                <w:rFonts w:ascii="Arial"/>
                <w:sz w:val="21"/>
                <w:highlight w:val="none"/>
              </w:rPr>
            </w:pPr>
          </w:p>
        </w:tc>
        <w:tc>
          <w:tcPr>
            <w:tcW w:w="417" w:type="pct"/>
            <w:vAlign w:val="top"/>
          </w:tcPr>
          <w:p w14:paraId="36210C4B">
            <w:pPr>
              <w:keepNext w:val="0"/>
              <w:keepLines w:val="0"/>
              <w:pageBreakBefore w:val="0"/>
              <w:kinsoku/>
              <w:wordWrap/>
              <w:overflowPunct w:val="0"/>
              <w:topLinePunct/>
              <w:bidi w:val="0"/>
              <w:spacing w:line="360" w:lineRule="auto"/>
              <w:rPr>
                <w:rFonts w:ascii="Arial"/>
                <w:sz w:val="21"/>
                <w:highlight w:val="none"/>
              </w:rPr>
            </w:pPr>
          </w:p>
        </w:tc>
        <w:tc>
          <w:tcPr>
            <w:tcW w:w="486" w:type="pct"/>
            <w:vAlign w:val="top"/>
          </w:tcPr>
          <w:p w14:paraId="35813CD2">
            <w:pPr>
              <w:keepNext w:val="0"/>
              <w:keepLines w:val="0"/>
              <w:pageBreakBefore w:val="0"/>
              <w:kinsoku/>
              <w:wordWrap/>
              <w:overflowPunct w:val="0"/>
              <w:topLinePunct/>
              <w:bidi w:val="0"/>
              <w:spacing w:line="360" w:lineRule="auto"/>
              <w:rPr>
                <w:rFonts w:ascii="Arial"/>
                <w:sz w:val="21"/>
                <w:highlight w:val="none"/>
              </w:rPr>
            </w:pPr>
          </w:p>
        </w:tc>
        <w:tc>
          <w:tcPr>
            <w:tcW w:w="555" w:type="pct"/>
            <w:vAlign w:val="top"/>
          </w:tcPr>
          <w:p w14:paraId="7FA21B66">
            <w:pPr>
              <w:keepNext w:val="0"/>
              <w:keepLines w:val="0"/>
              <w:pageBreakBefore w:val="0"/>
              <w:kinsoku/>
              <w:wordWrap/>
              <w:overflowPunct w:val="0"/>
              <w:topLinePunct/>
              <w:bidi w:val="0"/>
              <w:spacing w:line="360" w:lineRule="auto"/>
              <w:rPr>
                <w:rFonts w:ascii="Arial"/>
                <w:sz w:val="21"/>
                <w:highlight w:val="none"/>
              </w:rPr>
            </w:pPr>
          </w:p>
        </w:tc>
        <w:tc>
          <w:tcPr>
            <w:tcW w:w="817" w:type="pct"/>
            <w:vAlign w:val="top"/>
          </w:tcPr>
          <w:p w14:paraId="3A490FD8">
            <w:pPr>
              <w:keepNext w:val="0"/>
              <w:keepLines w:val="0"/>
              <w:pageBreakBefore w:val="0"/>
              <w:kinsoku/>
              <w:wordWrap/>
              <w:overflowPunct w:val="0"/>
              <w:topLinePunct/>
              <w:bidi w:val="0"/>
              <w:spacing w:line="360" w:lineRule="auto"/>
              <w:rPr>
                <w:rFonts w:ascii="Arial"/>
                <w:sz w:val="21"/>
                <w:highlight w:val="none"/>
              </w:rPr>
            </w:pPr>
          </w:p>
        </w:tc>
        <w:tc>
          <w:tcPr>
            <w:tcW w:w="850" w:type="pct"/>
            <w:vAlign w:val="top"/>
          </w:tcPr>
          <w:p w14:paraId="276C4AF4">
            <w:pPr>
              <w:keepNext w:val="0"/>
              <w:keepLines w:val="0"/>
              <w:pageBreakBefore w:val="0"/>
              <w:kinsoku/>
              <w:wordWrap/>
              <w:overflowPunct w:val="0"/>
              <w:topLinePunct/>
              <w:bidi w:val="0"/>
              <w:spacing w:line="360" w:lineRule="auto"/>
              <w:rPr>
                <w:rFonts w:ascii="Arial"/>
                <w:sz w:val="21"/>
                <w:highlight w:val="none"/>
              </w:rPr>
            </w:pPr>
          </w:p>
        </w:tc>
        <w:tc>
          <w:tcPr>
            <w:tcW w:w="967" w:type="pct"/>
            <w:vAlign w:val="top"/>
          </w:tcPr>
          <w:p w14:paraId="330E48A0">
            <w:pPr>
              <w:pStyle w:val="12"/>
              <w:keepNext w:val="0"/>
              <w:keepLines w:val="0"/>
              <w:pageBreakBefore w:val="0"/>
              <w:kinsoku/>
              <w:wordWrap/>
              <w:overflowPunct w:val="0"/>
              <w:topLinePunct/>
              <w:bidi w:val="0"/>
              <w:spacing w:before="211" w:line="360" w:lineRule="auto"/>
              <w:ind w:left="116"/>
              <w:rPr>
                <w:highlight w:val="none"/>
              </w:rPr>
            </w:pPr>
          </w:p>
        </w:tc>
      </w:tr>
      <w:tr w14:paraId="20773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489" w:type="pct"/>
            <w:vAlign w:val="top"/>
          </w:tcPr>
          <w:p w14:paraId="261C3209">
            <w:pPr>
              <w:keepNext w:val="0"/>
              <w:keepLines w:val="0"/>
              <w:pageBreakBefore w:val="0"/>
              <w:kinsoku/>
              <w:wordWrap/>
              <w:overflowPunct w:val="0"/>
              <w:topLinePunct/>
              <w:bidi w:val="0"/>
              <w:spacing w:line="360" w:lineRule="auto"/>
              <w:rPr>
                <w:rFonts w:ascii="Arial"/>
                <w:sz w:val="21"/>
                <w:highlight w:val="none"/>
              </w:rPr>
            </w:pPr>
          </w:p>
        </w:tc>
        <w:tc>
          <w:tcPr>
            <w:tcW w:w="416" w:type="pct"/>
            <w:vAlign w:val="top"/>
          </w:tcPr>
          <w:p w14:paraId="5061FC49">
            <w:pPr>
              <w:keepNext w:val="0"/>
              <w:keepLines w:val="0"/>
              <w:pageBreakBefore w:val="0"/>
              <w:kinsoku/>
              <w:wordWrap/>
              <w:overflowPunct w:val="0"/>
              <w:topLinePunct/>
              <w:bidi w:val="0"/>
              <w:spacing w:line="360" w:lineRule="auto"/>
              <w:rPr>
                <w:rFonts w:ascii="Arial"/>
                <w:sz w:val="21"/>
                <w:highlight w:val="none"/>
              </w:rPr>
            </w:pPr>
          </w:p>
        </w:tc>
        <w:tc>
          <w:tcPr>
            <w:tcW w:w="417" w:type="pct"/>
            <w:vAlign w:val="top"/>
          </w:tcPr>
          <w:p w14:paraId="2CE7D75F">
            <w:pPr>
              <w:keepNext w:val="0"/>
              <w:keepLines w:val="0"/>
              <w:pageBreakBefore w:val="0"/>
              <w:kinsoku/>
              <w:wordWrap/>
              <w:overflowPunct w:val="0"/>
              <w:topLinePunct/>
              <w:bidi w:val="0"/>
              <w:spacing w:line="360" w:lineRule="auto"/>
              <w:rPr>
                <w:rFonts w:ascii="Arial"/>
                <w:sz w:val="21"/>
                <w:highlight w:val="none"/>
              </w:rPr>
            </w:pPr>
          </w:p>
        </w:tc>
        <w:tc>
          <w:tcPr>
            <w:tcW w:w="486" w:type="pct"/>
            <w:vAlign w:val="top"/>
          </w:tcPr>
          <w:p w14:paraId="7ACC3FA0">
            <w:pPr>
              <w:keepNext w:val="0"/>
              <w:keepLines w:val="0"/>
              <w:pageBreakBefore w:val="0"/>
              <w:kinsoku/>
              <w:wordWrap/>
              <w:overflowPunct w:val="0"/>
              <w:topLinePunct/>
              <w:bidi w:val="0"/>
              <w:spacing w:line="360" w:lineRule="auto"/>
              <w:rPr>
                <w:rFonts w:ascii="Arial"/>
                <w:sz w:val="21"/>
                <w:highlight w:val="none"/>
              </w:rPr>
            </w:pPr>
          </w:p>
        </w:tc>
        <w:tc>
          <w:tcPr>
            <w:tcW w:w="555" w:type="pct"/>
            <w:vAlign w:val="top"/>
          </w:tcPr>
          <w:p w14:paraId="29AF0A72">
            <w:pPr>
              <w:keepNext w:val="0"/>
              <w:keepLines w:val="0"/>
              <w:pageBreakBefore w:val="0"/>
              <w:kinsoku/>
              <w:wordWrap/>
              <w:overflowPunct w:val="0"/>
              <w:topLinePunct/>
              <w:bidi w:val="0"/>
              <w:spacing w:line="360" w:lineRule="auto"/>
              <w:rPr>
                <w:rFonts w:ascii="Arial"/>
                <w:sz w:val="21"/>
                <w:highlight w:val="none"/>
              </w:rPr>
            </w:pPr>
          </w:p>
        </w:tc>
        <w:tc>
          <w:tcPr>
            <w:tcW w:w="817" w:type="pct"/>
            <w:vAlign w:val="top"/>
          </w:tcPr>
          <w:p w14:paraId="5D04FF0B">
            <w:pPr>
              <w:keepNext w:val="0"/>
              <w:keepLines w:val="0"/>
              <w:pageBreakBefore w:val="0"/>
              <w:kinsoku/>
              <w:wordWrap/>
              <w:overflowPunct w:val="0"/>
              <w:topLinePunct/>
              <w:bidi w:val="0"/>
              <w:spacing w:line="360" w:lineRule="auto"/>
              <w:rPr>
                <w:rFonts w:ascii="Arial"/>
                <w:sz w:val="21"/>
                <w:highlight w:val="none"/>
              </w:rPr>
            </w:pPr>
          </w:p>
        </w:tc>
        <w:tc>
          <w:tcPr>
            <w:tcW w:w="850" w:type="pct"/>
            <w:vAlign w:val="top"/>
          </w:tcPr>
          <w:p w14:paraId="47F7B70D">
            <w:pPr>
              <w:keepNext w:val="0"/>
              <w:keepLines w:val="0"/>
              <w:pageBreakBefore w:val="0"/>
              <w:kinsoku/>
              <w:wordWrap/>
              <w:overflowPunct w:val="0"/>
              <w:topLinePunct/>
              <w:bidi w:val="0"/>
              <w:spacing w:line="360" w:lineRule="auto"/>
              <w:rPr>
                <w:rFonts w:ascii="Arial"/>
                <w:sz w:val="21"/>
                <w:highlight w:val="none"/>
              </w:rPr>
            </w:pPr>
          </w:p>
        </w:tc>
        <w:tc>
          <w:tcPr>
            <w:tcW w:w="967" w:type="pct"/>
            <w:vAlign w:val="top"/>
          </w:tcPr>
          <w:p w14:paraId="08A196AD">
            <w:pPr>
              <w:pStyle w:val="12"/>
              <w:keepNext w:val="0"/>
              <w:keepLines w:val="0"/>
              <w:pageBreakBefore w:val="0"/>
              <w:kinsoku/>
              <w:wordWrap/>
              <w:overflowPunct w:val="0"/>
              <w:topLinePunct/>
              <w:bidi w:val="0"/>
              <w:spacing w:before="210" w:line="360" w:lineRule="auto"/>
              <w:ind w:left="116"/>
              <w:rPr>
                <w:highlight w:val="none"/>
              </w:rPr>
            </w:pPr>
          </w:p>
        </w:tc>
      </w:tr>
      <w:tr w14:paraId="6831D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489" w:type="pct"/>
            <w:vAlign w:val="top"/>
          </w:tcPr>
          <w:p w14:paraId="59620FD2">
            <w:pPr>
              <w:keepNext w:val="0"/>
              <w:keepLines w:val="0"/>
              <w:pageBreakBefore w:val="0"/>
              <w:kinsoku/>
              <w:wordWrap/>
              <w:overflowPunct w:val="0"/>
              <w:topLinePunct/>
              <w:bidi w:val="0"/>
              <w:spacing w:line="360" w:lineRule="auto"/>
              <w:rPr>
                <w:rFonts w:ascii="Arial"/>
                <w:sz w:val="21"/>
                <w:highlight w:val="none"/>
              </w:rPr>
            </w:pPr>
          </w:p>
        </w:tc>
        <w:tc>
          <w:tcPr>
            <w:tcW w:w="416" w:type="pct"/>
            <w:vAlign w:val="top"/>
          </w:tcPr>
          <w:p w14:paraId="41C6B822">
            <w:pPr>
              <w:keepNext w:val="0"/>
              <w:keepLines w:val="0"/>
              <w:pageBreakBefore w:val="0"/>
              <w:kinsoku/>
              <w:wordWrap/>
              <w:overflowPunct w:val="0"/>
              <w:topLinePunct/>
              <w:bidi w:val="0"/>
              <w:spacing w:line="360" w:lineRule="auto"/>
              <w:rPr>
                <w:rFonts w:ascii="Arial"/>
                <w:sz w:val="21"/>
                <w:highlight w:val="none"/>
              </w:rPr>
            </w:pPr>
          </w:p>
        </w:tc>
        <w:tc>
          <w:tcPr>
            <w:tcW w:w="417" w:type="pct"/>
            <w:vAlign w:val="top"/>
          </w:tcPr>
          <w:p w14:paraId="76DB83C4">
            <w:pPr>
              <w:keepNext w:val="0"/>
              <w:keepLines w:val="0"/>
              <w:pageBreakBefore w:val="0"/>
              <w:kinsoku/>
              <w:wordWrap/>
              <w:overflowPunct w:val="0"/>
              <w:topLinePunct/>
              <w:bidi w:val="0"/>
              <w:spacing w:line="360" w:lineRule="auto"/>
              <w:rPr>
                <w:rFonts w:ascii="Arial"/>
                <w:sz w:val="21"/>
                <w:highlight w:val="none"/>
              </w:rPr>
            </w:pPr>
          </w:p>
        </w:tc>
        <w:tc>
          <w:tcPr>
            <w:tcW w:w="486" w:type="pct"/>
            <w:vAlign w:val="top"/>
          </w:tcPr>
          <w:p w14:paraId="28703B69">
            <w:pPr>
              <w:keepNext w:val="0"/>
              <w:keepLines w:val="0"/>
              <w:pageBreakBefore w:val="0"/>
              <w:kinsoku/>
              <w:wordWrap/>
              <w:overflowPunct w:val="0"/>
              <w:topLinePunct/>
              <w:bidi w:val="0"/>
              <w:spacing w:line="360" w:lineRule="auto"/>
              <w:rPr>
                <w:rFonts w:ascii="Arial"/>
                <w:sz w:val="21"/>
                <w:highlight w:val="none"/>
              </w:rPr>
            </w:pPr>
          </w:p>
        </w:tc>
        <w:tc>
          <w:tcPr>
            <w:tcW w:w="555" w:type="pct"/>
            <w:vAlign w:val="top"/>
          </w:tcPr>
          <w:p w14:paraId="608F821C">
            <w:pPr>
              <w:keepNext w:val="0"/>
              <w:keepLines w:val="0"/>
              <w:pageBreakBefore w:val="0"/>
              <w:kinsoku/>
              <w:wordWrap/>
              <w:overflowPunct w:val="0"/>
              <w:topLinePunct/>
              <w:bidi w:val="0"/>
              <w:spacing w:line="360" w:lineRule="auto"/>
              <w:rPr>
                <w:rFonts w:ascii="Arial"/>
                <w:sz w:val="21"/>
                <w:highlight w:val="none"/>
              </w:rPr>
            </w:pPr>
          </w:p>
        </w:tc>
        <w:tc>
          <w:tcPr>
            <w:tcW w:w="817" w:type="pct"/>
            <w:vAlign w:val="top"/>
          </w:tcPr>
          <w:p w14:paraId="63B50376">
            <w:pPr>
              <w:keepNext w:val="0"/>
              <w:keepLines w:val="0"/>
              <w:pageBreakBefore w:val="0"/>
              <w:kinsoku/>
              <w:wordWrap/>
              <w:overflowPunct w:val="0"/>
              <w:topLinePunct/>
              <w:bidi w:val="0"/>
              <w:spacing w:line="360" w:lineRule="auto"/>
              <w:rPr>
                <w:rFonts w:ascii="Arial"/>
                <w:sz w:val="21"/>
                <w:highlight w:val="none"/>
              </w:rPr>
            </w:pPr>
          </w:p>
        </w:tc>
        <w:tc>
          <w:tcPr>
            <w:tcW w:w="850" w:type="pct"/>
            <w:vAlign w:val="top"/>
          </w:tcPr>
          <w:p w14:paraId="2B0F21AE">
            <w:pPr>
              <w:keepNext w:val="0"/>
              <w:keepLines w:val="0"/>
              <w:pageBreakBefore w:val="0"/>
              <w:kinsoku/>
              <w:wordWrap/>
              <w:overflowPunct w:val="0"/>
              <w:topLinePunct/>
              <w:bidi w:val="0"/>
              <w:spacing w:line="360" w:lineRule="auto"/>
              <w:rPr>
                <w:rFonts w:ascii="Arial"/>
                <w:sz w:val="21"/>
                <w:highlight w:val="none"/>
              </w:rPr>
            </w:pPr>
          </w:p>
        </w:tc>
        <w:tc>
          <w:tcPr>
            <w:tcW w:w="967" w:type="pct"/>
            <w:vAlign w:val="top"/>
          </w:tcPr>
          <w:p w14:paraId="1A4D330A">
            <w:pPr>
              <w:pStyle w:val="12"/>
              <w:keepNext w:val="0"/>
              <w:keepLines w:val="0"/>
              <w:pageBreakBefore w:val="0"/>
              <w:kinsoku/>
              <w:wordWrap/>
              <w:overflowPunct w:val="0"/>
              <w:topLinePunct/>
              <w:bidi w:val="0"/>
              <w:spacing w:before="148" w:line="360" w:lineRule="auto"/>
              <w:ind w:left="134" w:right="107" w:hanging="19"/>
              <w:rPr>
                <w:highlight w:val="none"/>
              </w:rPr>
            </w:pPr>
          </w:p>
        </w:tc>
      </w:tr>
      <w:tr w14:paraId="2AE69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489" w:type="pct"/>
            <w:vAlign w:val="top"/>
          </w:tcPr>
          <w:p w14:paraId="365F5E3B">
            <w:pPr>
              <w:keepNext w:val="0"/>
              <w:keepLines w:val="0"/>
              <w:pageBreakBefore w:val="0"/>
              <w:kinsoku/>
              <w:wordWrap/>
              <w:overflowPunct w:val="0"/>
              <w:topLinePunct/>
              <w:bidi w:val="0"/>
              <w:spacing w:line="360" w:lineRule="auto"/>
              <w:rPr>
                <w:rFonts w:ascii="Arial"/>
                <w:sz w:val="21"/>
                <w:highlight w:val="none"/>
              </w:rPr>
            </w:pPr>
          </w:p>
        </w:tc>
        <w:tc>
          <w:tcPr>
            <w:tcW w:w="416" w:type="pct"/>
            <w:vAlign w:val="top"/>
          </w:tcPr>
          <w:p w14:paraId="60AE18FA">
            <w:pPr>
              <w:keepNext w:val="0"/>
              <w:keepLines w:val="0"/>
              <w:pageBreakBefore w:val="0"/>
              <w:kinsoku/>
              <w:wordWrap/>
              <w:overflowPunct w:val="0"/>
              <w:topLinePunct/>
              <w:bidi w:val="0"/>
              <w:spacing w:line="360" w:lineRule="auto"/>
              <w:rPr>
                <w:rFonts w:ascii="Arial"/>
                <w:sz w:val="21"/>
                <w:highlight w:val="none"/>
              </w:rPr>
            </w:pPr>
          </w:p>
        </w:tc>
        <w:tc>
          <w:tcPr>
            <w:tcW w:w="417" w:type="pct"/>
            <w:vAlign w:val="top"/>
          </w:tcPr>
          <w:p w14:paraId="015BB662">
            <w:pPr>
              <w:keepNext w:val="0"/>
              <w:keepLines w:val="0"/>
              <w:pageBreakBefore w:val="0"/>
              <w:kinsoku/>
              <w:wordWrap/>
              <w:overflowPunct w:val="0"/>
              <w:topLinePunct/>
              <w:bidi w:val="0"/>
              <w:spacing w:line="360" w:lineRule="auto"/>
              <w:rPr>
                <w:rFonts w:ascii="Arial"/>
                <w:sz w:val="21"/>
                <w:highlight w:val="none"/>
              </w:rPr>
            </w:pPr>
          </w:p>
        </w:tc>
        <w:tc>
          <w:tcPr>
            <w:tcW w:w="486" w:type="pct"/>
            <w:vAlign w:val="top"/>
          </w:tcPr>
          <w:p w14:paraId="5979C685">
            <w:pPr>
              <w:keepNext w:val="0"/>
              <w:keepLines w:val="0"/>
              <w:pageBreakBefore w:val="0"/>
              <w:kinsoku/>
              <w:wordWrap/>
              <w:overflowPunct w:val="0"/>
              <w:topLinePunct/>
              <w:bidi w:val="0"/>
              <w:spacing w:line="360" w:lineRule="auto"/>
              <w:rPr>
                <w:rFonts w:ascii="Arial"/>
                <w:sz w:val="21"/>
                <w:highlight w:val="none"/>
              </w:rPr>
            </w:pPr>
          </w:p>
        </w:tc>
        <w:tc>
          <w:tcPr>
            <w:tcW w:w="555" w:type="pct"/>
            <w:vAlign w:val="top"/>
          </w:tcPr>
          <w:p w14:paraId="0CB08C71">
            <w:pPr>
              <w:keepNext w:val="0"/>
              <w:keepLines w:val="0"/>
              <w:pageBreakBefore w:val="0"/>
              <w:kinsoku/>
              <w:wordWrap/>
              <w:overflowPunct w:val="0"/>
              <w:topLinePunct/>
              <w:bidi w:val="0"/>
              <w:spacing w:line="360" w:lineRule="auto"/>
              <w:rPr>
                <w:rFonts w:ascii="Arial"/>
                <w:sz w:val="21"/>
                <w:highlight w:val="none"/>
              </w:rPr>
            </w:pPr>
          </w:p>
        </w:tc>
        <w:tc>
          <w:tcPr>
            <w:tcW w:w="817" w:type="pct"/>
            <w:vAlign w:val="top"/>
          </w:tcPr>
          <w:p w14:paraId="07F473FB">
            <w:pPr>
              <w:keepNext w:val="0"/>
              <w:keepLines w:val="0"/>
              <w:pageBreakBefore w:val="0"/>
              <w:kinsoku/>
              <w:wordWrap/>
              <w:overflowPunct w:val="0"/>
              <w:topLinePunct/>
              <w:bidi w:val="0"/>
              <w:spacing w:line="360" w:lineRule="auto"/>
              <w:rPr>
                <w:rFonts w:ascii="Arial"/>
                <w:sz w:val="21"/>
                <w:highlight w:val="none"/>
              </w:rPr>
            </w:pPr>
          </w:p>
        </w:tc>
        <w:tc>
          <w:tcPr>
            <w:tcW w:w="850" w:type="pct"/>
            <w:vAlign w:val="top"/>
          </w:tcPr>
          <w:p w14:paraId="55FB61A9">
            <w:pPr>
              <w:keepNext w:val="0"/>
              <w:keepLines w:val="0"/>
              <w:pageBreakBefore w:val="0"/>
              <w:kinsoku/>
              <w:wordWrap/>
              <w:overflowPunct w:val="0"/>
              <w:topLinePunct/>
              <w:bidi w:val="0"/>
              <w:spacing w:line="360" w:lineRule="auto"/>
              <w:rPr>
                <w:rFonts w:ascii="Arial"/>
                <w:sz w:val="21"/>
                <w:highlight w:val="none"/>
              </w:rPr>
            </w:pPr>
          </w:p>
        </w:tc>
        <w:tc>
          <w:tcPr>
            <w:tcW w:w="967" w:type="pct"/>
            <w:vAlign w:val="top"/>
          </w:tcPr>
          <w:p w14:paraId="6CE07410">
            <w:pPr>
              <w:pStyle w:val="12"/>
              <w:keepNext w:val="0"/>
              <w:keepLines w:val="0"/>
              <w:pageBreakBefore w:val="0"/>
              <w:kinsoku/>
              <w:wordWrap/>
              <w:overflowPunct w:val="0"/>
              <w:topLinePunct/>
              <w:bidi w:val="0"/>
              <w:spacing w:before="211" w:line="360" w:lineRule="auto"/>
              <w:ind w:left="611"/>
              <w:rPr>
                <w:highlight w:val="none"/>
              </w:rPr>
            </w:pPr>
          </w:p>
        </w:tc>
      </w:tr>
      <w:tr w14:paraId="2C8FC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489" w:type="pct"/>
            <w:vAlign w:val="top"/>
          </w:tcPr>
          <w:p w14:paraId="7CCF4D1F">
            <w:pPr>
              <w:keepNext w:val="0"/>
              <w:keepLines w:val="0"/>
              <w:pageBreakBefore w:val="0"/>
              <w:kinsoku/>
              <w:wordWrap/>
              <w:overflowPunct w:val="0"/>
              <w:topLinePunct/>
              <w:bidi w:val="0"/>
              <w:spacing w:line="360" w:lineRule="auto"/>
              <w:rPr>
                <w:rFonts w:ascii="Arial"/>
                <w:sz w:val="21"/>
                <w:highlight w:val="none"/>
              </w:rPr>
            </w:pPr>
          </w:p>
        </w:tc>
        <w:tc>
          <w:tcPr>
            <w:tcW w:w="416" w:type="pct"/>
            <w:vAlign w:val="top"/>
          </w:tcPr>
          <w:p w14:paraId="3CC1CA66">
            <w:pPr>
              <w:keepNext w:val="0"/>
              <w:keepLines w:val="0"/>
              <w:pageBreakBefore w:val="0"/>
              <w:kinsoku/>
              <w:wordWrap/>
              <w:overflowPunct w:val="0"/>
              <w:topLinePunct/>
              <w:bidi w:val="0"/>
              <w:spacing w:line="360" w:lineRule="auto"/>
              <w:rPr>
                <w:rFonts w:ascii="Arial"/>
                <w:sz w:val="21"/>
                <w:highlight w:val="none"/>
              </w:rPr>
            </w:pPr>
          </w:p>
        </w:tc>
        <w:tc>
          <w:tcPr>
            <w:tcW w:w="417" w:type="pct"/>
            <w:vAlign w:val="top"/>
          </w:tcPr>
          <w:p w14:paraId="4D9E35EE">
            <w:pPr>
              <w:keepNext w:val="0"/>
              <w:keepLines w:val="0"/>
              <w:pageBreakBefore w:val="0"/>
              <w:kinsoku/>
              <w:wordWrap/>
              <w:overflowPunct w:val="0"/>
              <w:topLinePunct/>
              <w:bidi w:val="0"/>
              <w:spacing w:line="360" w:lineRule="auto"/>
              <w:rPr>
                <w:rFonts w:ascii="Arial"/>
                <w:sz w:val="21"/>
                <w:highlight w:val="none"/>
              </w:rPr>
            </w:pPr>
          </w:p>
        </w:tc>
        <w:tc>
          <w:tcPr>
            <w:tcW w:w="486" w:type="pct"/>
            <w:vAlign w:val="top"/>
          </w:tcPr>
          <w:p w14:paraId="3F5DDB77">
            <w:pPr>
              <w:keepNext w:val="0"/>
              <w:keepLines w:val="0"/>
              <w:pageBreakBefore w:val="0"/>
              <w:kinsoku/>
              <w:wordWrap/>
              <w:overflowPunct w:val="0"/>
              <w:topLinePunct/>
              <w:bidi w:val="0"/>
              <w:spacing w:line="360" w:lineRule="auto"/>
              <w:rPr>
                <w:rFonts w:ascii="Arial"/>
                <w:sz w:val="21"/>
                <w:highlight w:val="none"/>
              </w:rPr>
            </w:pPr>
          </w:p>
        </w:tc>
        <w:tc>
          <w:tcPr>
            <w:tcW w:w="555" w:type="pct"/>
            <w:vAlign w:val="top"/>
          </w:tcPr>
          <w:p w14:paraId="01894D2C">
            <w:pPr>
              <w:keepNext w:val="0"/>
              <w:keepLines w:val="0"/>
              <w:pageBreakBefore w:val="0"/>
              <w:kinsoku/>
              <w:wordWrap/>
              <w:overflowPunct w:val="0"/>
              <w:topLinePunct/>
              <w:bidi w:val="0"/>
              <w:spacing w:line="360" w:lineRule="auto"/>
              <w:rPr>
                <w:rFonts w:ascii="Arial"/>
                <w:sz w:val="21"/>
                <w:highlight w:val="none"/>
              </w:rPr>
            </w:pPr>
          </w:p>
        </w:tc>
        <w:tc>
          <w:tcPr>
            <w:tcW w:w="817" w:type="pct"/>
            <w:vAlign w:val="top"/>
          </w:tcPr>
          <w:p w14:paraId="001D9DD7">
            <w:pPr>
              <w:keepNext w:val="0"/>
              <w:keepLines w:val="0"/>
              <w:pageBreakBefore w:val="0"/>
              <w:kinsoku/>
              <w:wordWrap/>
              <w:overflowPunct w:val="0"/>
              <w:topLinePunct/>
              <w:bidi w:val="0"/>
              <w:spacing w:line="360" w:lineRule="auto"/>
              <w:rPr>
                <w:rFonts w:ascii="Arial"/>
                <w:sz w:val="21"/>
                <w:highlight w:val="none"/>
              </w:rPr>
            </w:pPr>
          </w:p>
        </w:tc>
        <w:tc>
          <w:tcPr>
            <w:tcW w:w="850" w:type="pct"/>
            <w:vAlign w:val="top"/>
          </w:tcPr>
          <w:p w14:paraId="5A436AAD">
            <w:pPr>
              <w:keepNext w:val="0"/>
              <w:keepLines w:val="0"/>
              <w:pageBreakBefore w:val="0"/>
              <w:kinsoku/>
              <w:wordWrap/>
              <w:overflowPunct w:val="0"/>
              <w:topLinePunct/>
              <w:bidi w:val="0"/>
              <w:spacing w:line="360" w:lineRule="auto"/>
              <w:rPr>
                <w:rFonts w:ascii="Arial"/>
                <w:sz w:val="21"/>
                <w:highlight w:val="none"/>
              </w:rPr>
            </w:pPr>
          </w:p>
        </w:tc>
        <w:tc>
          <w:tcPr>
            <w:tcW w:w="967" w:type="pct"/>
            <w:vAlign w:val="top"/>
          </w:tcPr>
          <w:p w14:paraId="7216041F">
            <w:pPr>
              <w:keepNext w:val="0"/>
              <w:keepLines w:val="0"/>
              <w:pageBreakBefore w:val="0"/>
              <w:kinsoku/>
              <w:wordWrap/>
              <w:overflowPunct w:val="0"/>
              <w:topLinePunct/>
              <w:bidi w:val="0"/>
              <w:spacing w:line="360" w:lineRule="auto"/>
              <w:rPr>
                <w:rFonts w:ascii="Arial"/>
                <w:sz w:val="21"/>
                <w:highlight w:val="none"/>
              </w:rPr>
            </w:pPr>
          </w:p>
        </w:tc>
      </w:tr>
      <w:tr w14:paraId="49603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489" w:type="pct"/>
            <w:vAlign w:val="top"/>
          </w:tcPr>
          <w:p w14:paraId="71BB9CD9">
            <w:pPr>
              <w:keepNext w:val="0"/>
              <w:keepLines w:val="0"/>
              <w:pageBreakBefore w:val="0"/>
              <w:kinsoku/>
              <w:wordWrap/>
              <w:overflowPunct w:val="0"/>
              <w:topLinePunct/>
              <w:bidi w:val="0"/>
              <w:spacing w:line="360" w:lineRule="auto"/>
              <w:rPr>
                <w:rFonts w:ascii="Arial"/>
                <w:sz w:val="21"/>
                <w:highlight w:val="none"/>
              </w:rPr>
            </w:pPr>
          </w:p>
        </w:tc>
        <w:tc>
          <w:tcPr>
            <w:tcW w:w="416" w:type="pct"/>
            <w:vAlign w:val="top"/>
          </w:tcPr>
          <w:p w14:paraId="1F841930">
            <w:pPr>
              <w:keepNext w:val="0"/>
              <w:keepLines w:val="0"/>
              <w:pageBreakBefore w:val="0"/>
              <w:kinsoku/>
              <w:wordWrap/>
              <w:overflowPunct w:val="0"/>
              <w:topLinePunct/>
              <w:bidi w:val="0"/>
              <w:spacing w:line="360" w:lineRule="auto"/>
              <w:rPr>
                <w:rFonts w:ascii="Arial"/>
                <w:sz w:val="21"/>
                <w:highlight w:val="none"/>
              </w:rPr>
            </w:pPr>
          </w:p>
        </w:tc>
        <w:tc>
          <w:tcPr>
            <w:tcW w:w="417" w:type="pct"/>
            <w:vAlign w:val="top"/>
          </w:tcPr>
          <w:p w14:paraId="6434EDEB">
            <w:pPr>
              <w:keepNext w:val="0"/>
              <w:keepLines w:val="0"/>
              <w:pageBreakBefore w:val="0"/>
              <w:kinsoku/>
              <w:wordWrap/>
              <w:overflowPunct w:val="0"/>
              <w:topLinePunct/>
              <w:bidi w:val="0"/>
              <w:spacing w:line="360" w:lineRule="auto"/>
              <w:rPr>
                <w:rFonts w:ascii="Arial"/>
                <w:sz w:val="21"/>
                <w:highlight w:val="none"/>
              </w:rPr>
            </w:pPr>
          </w:p>
        </w:tc>
        <w:tc>
          <w:tcPr>
            <w:tcW w:w="486" w:type="pct"/>
            <w:vAlign w:val="top"/>
          </w:tcPr>
          <w:p w14:paraId="3B928BF7">
            <w:pPr>
              <w:keepNext w:val="0"/>
              <w:keepLines w:val="0"/>
              <w:pageBreakBefore w:val="0"/>
              <w:kinsoku/>
              <w:wordWrap/>
              <w:overflowPunct w:val="0"/>
              <w:topLinePunct/>
              <w:bidi w:val="0"/>
              <w:spacing w:line="360" w:lineRule="auto"/>
              <w:rPr>
                <w:rFonts w:ascii="Arial"/>
                <w:sz w:val="21"/>
                <w:highlight w:val="none"/>
              </w:rPr>
            </w:pPr>
          </w:p>
        </w:tc>
        <w:tc>
          <w:tcPr>
            <w:tcW w:w="555" w:type="pct"/>
            <w:vAlign w:val="top"/>
          </w:tcPr>
          <w:p w14:paraId="2729E612">
            <w:pPr>
              <w:keepNext w:val="0"/>
              <w:keepLines w:val="0"/>
              <w:pageBreakBefore w:val="0"/>
              <w:kinsoku/>
              <w:wordWrap/>
              <w:overflowPunct w:val="0"/>
              <w:topLinePunct/>
              <w:bidi w:val="0"/>
              <w:spacing w:line="360" w:lineRule="auto"/>
              <w:rPr>
                <w:rFonts w:ascii="Arial"/>
                <w:sz w:val="21"/>
                <w:highlight w:val="none"/>
              </w:rPr>
            </w:pPr>
          </w:p>
        </w:tc>
        <w:tc>
          <w:tcPr>
            <w:tcW w:w="817" w:type="pct"/>
            <w:vAlign w:val="top"/>
          </w:tcPr>
          <w:p w14:paraId="136FAE37">
            <w:pPr>
              <w:keepNext w:val="0"/>
              <w:keepLines w:val="0"/>
              <w:pageBreakBefore w:val="0"/>
              <w:kinsoku/>
              <w:wordWrap/>
              <w:overflowPunct w:val="0"/>
              <w:topLinePunct/>
              <w:bidi w:val="0"/>
              <w:spacing w:line="360" w:lineRule="auto"/>
              <w:rPr>
                <w:rFonts w:ascii="Arial"/>
                <w:sz w:val="21"/>
                <w:highlight w:val="none"/>
              </w:rPr>
            </w:pPr>
          </w:p>
        </w:tc>
        <w:tc>
          <w:tcPr>
            <w:tcW w:w="850" w:type="pct"/>
            <w:vAlign w:val="top"/>
          </w:tcPr>
          <w:p w14:paraId="49B88D98">
            <w:pPr>
              <w:keepNext w:val="0"/>
              <w:keepLines w:val="0"/>
              <w:pageBreakBefore w:val="0"/>
              <w:kinsoku/>
              <w:wordWrap/>
              <w:overflowPunct w:val="0"/>
              <w:topLinePunct/>
              <w:bidi w:val="0"/>
              <w:spacing w:line="360" w:lineRule="auto"/>
              <w:rPr>
                <w:rFonts w:ascii="Arial"/>
                <w:sz w:val="21"/>
                <w:highlight w:val="none"/>
              </w:rPr>
            </w:pPr>
          </w:p>
        </w:tc>
        <w:tc>
          <w:tcPr>
            <w:tcW w:w="967" w:type="pct"/>
            <w:vAlign w:val="top"/>
          </w:tcPr>
          <w:p w14:paraId="3436C888">
            <w:pPr>
              <w:keepNext w:val="0"/>
              <w:keepLines w:val="0"/>
              <w:pageBreakBefore w:val="0"/>
              <w:kinsoku/>
              <w:wordWrap/>
              <w:overflowPunct w:val="0"/>
              <w:topLinePunct/>
              <w:bidi w:val="0"/>
              <w:spacing w:line="360" w:lineRule="auto"/>
              <w:rPr>
                <w:rFonts w:ascii="Arial"/>
                <w:sz w:val="21"/>
                <w:highlight w:val="none"/>
              </w:rPr>
            </w:pPr>
          </w:p>
        </w:tc>
      </w:tr>
      <w:tr w14:paraId="5729F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489" w:type="pct"/>
            <w:vAlign w:val="top"/>
          </w:tcPr>
          <w:p w14:paraId="16CD344B">
            <w:pPr>
              <w:keepNext w:val="0"/>
              <w:keepLines w:val="0"/>
              <w:pageBreakBefore w:val="0"/>
              <w:kinsoku/>
              <w:wordWrap/>
              <w:overflowPunct w:val="0"/>
              <w:topLinePunct/>
              <w:bidi w:val="0"/>
              <w:spacing w:line="360" w:lineRule="auto"/>
              <w:rPr>
                <w:rFonts w:ascii="Arial"/>
                <w:sz w:val="21"/>
                <w:highlight w:val="none"/>
              </w:rPr>
            </w:pPr>
          </w:p>
        </w:tc>
        <w:tc>
          <w:tcPr>
            <w:tcW w:w="416" w:type="pct"/>
            <w:vAlign w:val="top"/>
          </w:tcPr>
          <w:p w14:paraId="56D59D6E">
            <w:pPr>
              <w:keepNext w:val="0"/>
              <w:keepLines w:val="0"/>
              <w:pageBreakBefore w:val="0"/>
              <w:kinsoku/>
              <w:wordWrap/>
              <w:overflowPunct w:val="0"/>
              <w:topLinePunct/>
              <w:bidi w:val="0"/>
              <w:spacing w:line="360" w:lineRule="auto"/>
              <w:rPr>
                <w:rFonts w:ascii="Arial"/>
                <w:sz w:val="21"/>
                <w:highlight w:val="none"/>
              </w:rPr>
            </w:pPr>
          </w:p>
        </w:tc>
        <w:tc>
          <w:tcPr>
            <w:tcW w:w="417" w:type="pct"/>
            <w:vAlign w:val="top"/>
          </w:tcPr>
          <w:p w14:paraId="37361779">
            <w:pPr>
              <w:keepNext w:val="0"/>
              <w:keepLines w:val="0"/>
              <w:pageBreakBefore w:val="0"/>
              <w:kinsoku/>
              <w:wordWrap/>
              <w:overflowPunct w:val="0"/>
              <w:topLinePunct/>
              <w:bidi w:val="0"/>
              <w:spacing w:line="360" w:lineRule="auto"/>
              <w:rPr>
                <w:rFonts w:ascii="Arial"/>
                <w:sz w:val="21"/>
                <w:highlight w:val="none"/>
              </w:rPr>
            </w:pPr>
          </w:p>
        </w:tc>
        <w:tc>
          <w:tcPr>
            <w:tcW w:w="486" w:type="pct"/>
            <w:vAlign w:val="top"/>
          </w:tcPr>
          <w:p w14:paraId="63108B2B">
            <w:pPr>
              <w:keepNext w:val="0"/>
              <w:keepLines w:val="0"/>
              <w:pageBreakBefore w:val="0"/>
              <w:kinsoku/>
              <w:wordWrap/>
              <w:overflowPunct w:val="0"/>
              <w:topLinePunct/>
              <w:bidi w:val="0"/>
              <w:spacing w:line="360" w:lineRule="auto"/>
              <w:rPr>
                <w:rFonts w:ascii="Arial"/>
                <w:sz w:val="21"/>
                <w:highlight w:val="none"/>
              </w:rPr>
            </w:pPr>
          </w:p>
        </w:tc>
        <w:tc>
          <w:tcPr>
            <w:tcW w:w="555" w:type="pct"/>
            <w:vAlign w:val="top"/>
          </w:tcPr>
          <w:p w14:paraId="2AA86F4E">
            <w:pPr>
              <w:keepNext w:val="0"/>
              <w:keepLines w:val="0"/>
              <w:pageBreakBefore w:val="0"/>
              <w:kinsoku/>
              <w:wordWrap/>
              <w:overflowPunct w:val="0"/>
              <w:topLinePunct/>
              <w:bidi w:val="0"/>
              <w:spacing w:line="360" w:lineRule="auto"/>
              <w:rPr>
                <w:rFonts w:ascii="Arial"/>
                <w:sz w:val="21"/>
                <w:highlight w:val="none"/>
              </w:rPr>
            </w:pPr>
          </w:p>
        </w:tc>
        <w:tc>
          <w:tcPr>
            <w:tcW w:w="817" w:type="pct"/>
            <w:vAlign w:val="top"/>
          </w:tcPr>
          <w:p w14:paraId="3F82EBE6">
            <w:pPr>
              <w:keepNext w:val="0"/>
              <w:keepLines w:val="0"/>
              <w:pageBreakBefore w:val="0"/>
              <w:kinsoku/>
              <w:wordWrap/>
              <w:overflowPunct w:val="0"/>
              <w:topLinePunct/>
              <w:bidi w:val="0"/>
              <w:spacing w:line="360" w:lineRule="auto"/>
              <w:rPr>
                <w:rFonts w:ascii="Arial"/>
                <w:sz w:val="21"/>
                <w:highlight w:val="none"/>
              </w:rPr>
            </w:pPr>
          </w:p>
        </w:tc>
        <w:tc>
          <w:tcPr>
            <w:tcW w:w="850" w:type="pct"/>
            <w:vAlign w:val="top"/>
          </w:tcPr>
          <w:p w14:paraId="3786E284">
            <w:pPr>
              <w:keepNext w:val="0"/>
              <w:keepLines w:val="0"/>
              <w:pageBreakBefore w:val="0"/>
              <w:kinsoku/>
              <w:wordWrap/>
              <w:overflowPunct w:val="0"/>
              <w:topLinePunct/>
              <w:bidi w:val="0"/>
              <w:spacing w:line="360" w:lineRule="auto"/>
              <w:rPr>
                <w:rFonts w:ascii="Arial"/>
                <w:sz w:val="21"/>
                <w:highlight w:val="none"/>
              </w:rPr>
            </w:pPr>
          </w:p>
        </w:tc>
        <w:tc>
          <w:tcPr>
            <w:tcW w:w="967" w:type="pct"/>
            <w:vAlign w:val="top"/>
          </w:tcPr>
          <w:p w14:paraId="548A8545">
            <w:pPr>
              <w:keepNext w:val="0"/>
              <w:keepLines w:val="0"/>
              <w:pageBreakBefore w:val="0"/>
              <w:kinsoku/>
              <w:wordWrap/>
              <w:overflowPunct w:val="0"/>
              <w:topLinePunct/>
              <w:bidi w:val="0"/>
              <w:spacing w:line="360" w:lineRule="auto"/>
              <w:rPr>
                <w:rFonts w:ascii="Arial"/>
                <w:sz w:val="21"/>
                <w:highlight w:val="none"/>
              </w:rPr>
            </w:pPr>
          </w:p>
        </w:tc>
      </w:tr>
      <w:tr w14:paraId="1EB5B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489" w:type="pct"/>
            <w:vAlign w:val="top"/>
          </w:tcPr>
          <w:p w14:paraId="4B1099A6">
            <w:pPr>
              <w:keepNext w:val="0"/>
              <w:keepLines w:val="0"/>
              <w:pageBreakBefore w:val="0"/>
              <w:kinsoku/>
              <w:wordWrap/>
              <w:overflowPunct w:val="0"/>
              <w:topLinePunct/>
              <w:bidi w:val="0"/>
              <w:spacing w:line="360" w:lineRule="auto"/>
              <w:rPr>
                <w:rFonts w:ascii="Arial"/>
                <w:sz w:val="21"/>
                <w:highlight w:val="none"/>
              </w:rPr>
            </w:pPr>
          </w:p>
        </w:tc>
        <w:tc>
          <w:tcPr>
            <w:tcW w:w="416" w:type="pct"/>
            <w:vAlign w:val="top"/>
          </w:tcPr>
          <w:p w14:paraId="6D51F201">
            <w:pPr>
              <w:keepNext w:val="0"/>
              <w:keepLines w:val="0"/>
              <w:pageBreakBefore w:val="0"/>
              <w:kinsoku/>
              <w:wordWrap/>
              <w:overflowPunct w:val="0"/>
              <w:topLinePunct/>
              <w:bidi w:val="0"/>
              <w:spacing w:line="360" w:lineRule="auto"/>
              <w:rPr>
                <w:rFonts w:ascii="Arial"/>
                <w:sz w:val="21"/>
                <w:highlight w:val="none"/>
              </w:rPr>
            </w:pPr>
          </w:p>
        </w:tc>
        <w:tc>
          <w:tcPr>
            <w:tcW w:w="417" w:type="pct"/>
            <w:vAlign w:val="top"/>
          </w:tcPr>
          <w:p w14:paraId="6C184AAA">
            <w:pPr>
              <w:keepNext w:val="0"/>
              <w:keepLines w:val="0"/>
              <w:pageBreakBefore w:val="0"/>
              <w:kinsoku/>
              <w:wordWrap/>
              <w:overflowPunct w:val="0"/>
              <w:topLinePunct/>
              <w:bidi w:val="0"/>
              <w:spacing w:line="360" w:lineRule="auto"/>
              <w:rPr>
                <w:rFonts w:ascii="Arial"/>
                <w:sz w:val="21"/>
                <w:highlight w:val="none"/>
              </w:rPr>
            </w:pPr>
          </w:p>
        </w:tc>
        <w:tc>
          <w:tcPr>
            <w:tcW w:w="486" w:type="pct"/>
            <w:vAlign w:val="top"/>
          </w:tcPr>
          <w:p w14:paraId="5A08564D">
            <w:pPr>
              <w:keepNext w:val="0"/>
              <w:keepLines w:val="0"/>
              <w:pageBreakBefore w:val="0"/>
              <w:kinsoku/>
              <w:wordWrap/>
              <w:overflowPunct w:val="0"/>
              <w:topLinePunct/>
              <w:bidi w:val="0"/>
              <w:spacing w:line="360" w:lineRule="auto"/>
              <w:rPr>
                <w:rFonts w:ascii="Arial"/>
                <w:sz w:val="21"/>
                <w:highlight w:val="none"/>
              </w:rPr>
            </w:pPr>
          </w:p>
        </w:tc>
        <w:tc>
          <w:tcPr>
            <w:tcW w:w="555" w:type="pct"/>
            <w:vAlign w:val="top"/>
          </w:tcPr>
          <w:p w14:paraId="46367F02">
            <w:pPr>
              <w:keepNext w:val="0"/>
              <w:keepLines w:val="0"/>
              <w:pageBreakBefore w:val="0"/>
              <w:kinsoku/>
              <w:wordWrap/>
              <w:overflowPunct w:val="0"/>
              <w:topLinePunct/>
              <w:bidi w:val="0"/>
              <w:spacing w:line="360" w:lineRule="auto"/>
              <w:rPr>
                <w:rFonts w:ascii="Arial"/>
                <w:sz w:val="21"/>
                <w:highlight w:val="none"/>
              </w:rPr>
            </w:pPr>
          </w:p>
        </w:tc>
        <w:tc>
          <w:tcPr>
            <w:tcW w:w="817" w:type="pct"/>
            <w:vAlign w:val="top"/>
          </w:tcPr>
          <w:p w14:paraId="446D1F3B">
            <w:pPr>
              <w:keepNext w:val="0"/>
              <w:keepLines w:val="0"/>
              <w:pageBreakBefore w:val="0"/>
              <w:kinsoku/>
              <w:wordWrap/>
              <w:overflowPunct w:val="0"/>
              <w:topLinePunct/>
              <w:bidi w:val="0"/>
              <w:spacing w:line="360" w:lineRule="auto"/>
              <w:rPr>
                <w:rFonts w:ascii="Arial"/>
                <w:sz w:val="21"/>
                <w:highlight w:val="none"/>
              </w:rPr>
            </w:pPr>
          </w:p>
        </w:tc>
        <w:tc>
          <w:tcPr>
            <w:tcW w:w="850" w:type="pct"/>
            <w:vAlign w:val="top"/>
          </w:tcPr>
          <w:p w14:paraId="386D4775">
            <w:pPr>
              <w:keepNext w:val="0"/>
              <w:keepLines w:val="0"/>
              <w:pageBreakBefore w:val="0"/>
              <w:kinsoku/>
              <w:wordWrap/>
              <w:overflowPunct w:val="0"/>
              <w:topLinePunct/>
              <w:bidi w:val="0"/>
              <w:spacing w:line="360" w:lineRule="auto"/>
              <w:rPr>
                <w:rFonts w:ascii="Arial"/>
                <w:sz w:val="21"/>
                <w:highlight w:val="none"/>
              </w:rPr>
            </w:pPr>
          </w:p>
        </w:tc>
        <w:tc>
          <w:tcPr>
            <w:tcW w:w="967" w:type="pct"/>
            <w:vAlign w:val="top"/>
          </w:tcPr>
          <w:p w14:paraId="6ED1B396">
            <w:pPr>
              <w:keepNext w:val="0"/>
              <w:keepLines w:val="0"/>
              <w:pageBreakBefore w:val="0"/>
              <w:kinsoku/>
              <w:wordWrap/>
              <w:overflowPunct w:val="0"/>
              <w:topLinePunct/>
              <w:bidi w:val="0"/>
              <w:spacing w:line="360" w:lineRule="auto"/>
              <w:rPr>
                <w:rFonts w:ascii="Arial"/>
                <w:sz w:val="21"/>
                <w:highlight w:val="none"/>
              </w:rPr>
            </w:pPr>
          </w:p>
        </w:tc>
      </w:tr>
      <w:tr w14:paraId="3785C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489" w:type="pct"/>
            <w:vAlign w:val="top"/>
          </w:tcPr>
          <w:p w14:paraId="0565B81B">
            <w:pPr>
              <w:keepNext w:val="0"/>
              <w:keepLines w:val="0"/>
              <w:pageBreakBefore w:val="0"/>
              <w:kinsoku/>
              <w:wordWrap/>
              <w:overflowPunct w:val="0"/>
              <w:topLinePunct/>
              <w:bidi w:val="0"/>
              <w:spacing w:line="360" w:lineRule="auto"/>
              <w:rPr>
                <w:rFonts w:ascii="Arial"/>
                <w:sz w:val="21"/>
                <w:highlight w:val="none"/>
              </w:rPr>
            </w:pPr>
          </w:p>
        </w:tc>
        <w:tc>
          <w:tcPr>
            <w:tcW w:w="416" w:type="pct"/>
            <w:vAlign w:val="top"/>
          </w:tcPr>
          <w:p w14:paraId="2395509C">
            <w:pPr>
              <w:keepNext w:val="0"/>
              <w:keepLines w:val="0"/>
              <w:pageBreakBefore w:val="0"/>
              <w:kinsoku/>
              <w:wordWrap/>
              <w:overflowPunct w:val="0"/>
              <w:topLinePunct/>
              <w:bidi w:val="0"/>
              <w:spacing w:line="360" w:lineRule="auto"/>
              <w:rPr>
                <w:rFonts w:ascii="Arial"/>
                <w:sz w:val="21"/>
                <w:highlight w:val="none"/>
              </w:rPr>
            </w:pPr>
          </w:p>
        </w:tc>
        <w:tc>
          <w:tcPr>
            <w:tcW w:w="417" w:type="pct"/>
            <w:vAlign w:val="top"/>
          </w:tcPr>
          <w:p w14:paraId="63F10E7C">
            <w:pPr>
              <w:keepNext w:val="0"/>
              <w:keepLines w:val="0"/>
              <w:pageBreakBefore w:val="0"/>
              <w:kinsoku/>
              <w:wordWrap/>
              <w:overflowPunct w:val="0"/>
              <w:topLinePunct/>
              <w:bidi w:val="0"/>
              <w:spacing w:line="360" w:lineRule="auto"/>
              <w:rPr>
                <w:rFonts w:ascii="Arial"/>
                <w:sz w:val="21"/>
                <w:highlight w:val="none"/>
              </w:rPr>
            </w:pPr>
          </w:p>
        </w:tc>
        <w:tc>
          <w:tcPr>
            <w:tcW w:w="486" w:type="pct"/>
            <w:vAlign w:val="top"/>
          </w:tcPr>
          <w:p w14:paraId="7F996C2A">
            <w:pPr>
              <w:keepNext w:val="0"/>
              <w:keepLines w:val="0"/>
              <w:pageBreakBefore w:val="0"/>
              <w:kinsoku/>
              <w:wordWrap/>
              <w:overflowPunct w:val="0"/>
              <w:topLinePunct/>
              <w:bidi w:val="0"/>
              <w:spacing w:line="360" w:lineRule="auto"/>
              <w:rPr>
                <w:rFonts w:ascii="Arial"/>
                <w:sz w:val="21"/>
                <w:highlight w:val="none"/>
              </w:rPr>
            </w:pPr>
          </w:p>
        </w:tc>
        <w:tc>
          <w:tcPr>
            <w:tcW w:w="555" w:type="pct"/>
            <w:vAlign w:val="top"/>
          </w:tcPr>
          <w:p w14:paraId="12981F25">
            <w:pPr>
              <w:keepNext w:val="0"/>
              <w:keepLines w:val="0"/>
              <w:pageBreakBefore w:val="0"/>
              <w:kinsoku/>
              <w:wordWrap/>
              <w:overflowPunct w:val="0"/>
              <w:topLinePunct/>
              <w:bidi w:val="0"/>
              <w:spacing w:line="360" w:lineRule="auto"/>
              <w:rPr>
                <w:rFonts w:ascii="Arial"/>
                <w:sz w:val="21"/>
                <w:highlight w:val="none"/>
              </w:rPr>
            </w:pPr>
          </w:p>
        </w:tc>
        <w:tc>
          <w:tcPr>
            <w:tcW w:w="817" w:type="pct"/>
            <w:vAlign w:val="top"/>
          </w:tcPr>
          <w:p w14:paraId="3335C62E">
            <w:pPr>
              <w:keepNext w:val="0"/>
              <w:keepLines w:val="0"/>
              <w:pageBreakBefore w:val="0"/>
              <w:kinsoku/>
              <w:wordWrap/>
              <w:overflowPunct w:val="0"/>
              <w:topLinePunct/>
              <w:bidi w:val="0"/>
              <w:spacing w:line="360" w:lineRule="auto"/>
              <w:rPr>
                <w:rFonts w:ascii="Arial"/>
                <w:sz w:val="21"/>
                <w:highlight w:val="none"/>
              </w:rPr>
            </w:pPr>
          </w:p>
        </w:tc>
        <w:tc>
          <w:tcPr>
            <w:tcW w:w="850" w:type="pct"/>
            <w:vAlign w:val="top"/>
          </w:tcPr>
          <w:p w14:paraId="7ADA48FE">
            <w:pPr>
              <w:keepNext w:val="0"/>
              <w:keepLines w:val="0"/>
              <w:pageBreakBefore w:val="0"/>
              <w:kinsoku/>
              <w:wordWrap/>
              <w:overflowPunct w:val="0"/>
              <w:topLinePunct/>
              <w:bidi w:val="0"/>
              <w:spacing w:line="360" w:lineRule="auto"/>
              <w:rPr>
                <w:rFonts w:ascii="Arial"/>
                <w:sz w:val="21"/>
                <w:highlight w:val="none"/>
              </w:rPr>
            </w:pPr>
          </w:p>
        </w:tc>
        <w:tc>
          <w:tcPr>
            <w:tcW w:w="967" w:type="pct"/>
            <w:vAlign w:val="top"/>
          </w:tcPr>
          <w:p w14:paraId="7DE74712">
            <w:pPr>
              <w:keepNext w:val="0"/>
              <w:keepLines w:val="0"/>
              <w:pageBreakBefore w:val="0"/>
              <w:kinsoku/>
              <w:wordWrap/>
              <w:overflowPunct w:val="0"/>
              <w:topLinePunct/>
              <w:bidi w:val="0"/>
              <w:spacing w:line="360" w:lineRule="auto"/>
              <w:rPr>
                <w:rFonts w:ascii="Arial"/>
                <w:sz w:val="21"/>
                <w:highlight w:val="none"/>
              </w:rPr>
            </w:pPr>
          </w:p>
        </w:tc>
      </w:tr>
      <w:tr w14:paraId="5674D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489" w:type="pct"/>
            <w:vAlign w:val="top"/>
          </w:tcPr>
          <w:p w14:paraId="1A18262A">
            <w:pPr>
              <w:keepNext w:val="0"/>
              <w:keepLines w:val="0"/>
              <w:pageBreakBefore w:val="0"/>
              <w:kinsoku/>
              <w:wordWrap/>
              <w:overflowPunct w:val="0"/>
              <w:topLinePunct/>
              <w:bidi w:val="0"/>
              <w:spacing w:line="360" w:lineRule="auto"/>
              <w:rPr>
                <w:rFonts w:ascii="Arial"/>
                <w:sz w:val="21"/>
                <w:highlight w:val="none"/>
              </w:rPr>
            </w:pPr>
          </w:p>
        </w:tc>
        <w:tc>
          <w:tcPr>
            <w:tcW w:w="416" w:type="pct"/>
            <w:vAlign w:val="top"/>
          </w:tcPr>
          <w:p w14:paraId="2547FA7C">
            <w:pPr>
              <w:keepNext w:val="0"/>
              <w:keepLines w:val="0"/>
              <w:pageBreakBefore w:val="0"/>
              <w:kinsoku/>
              <w:wordWrap/>
              <w:overflowPunct w:val="0"/>
              <w:topLinePunct/>
              <w:bidi w:val="0"/>
              <w:spacing w:line="360" w:lineRule="auto"/>
              <w:rPr>
                <w:rFonts w:ascii="Arial"/>
                <w:sz w:val="21"/>
                <w:highlight w:val="none"/>
              </w:rPr>
            </w:pPr>
          </w:p>
        </w:tc>
        <w:tc>
          <w:tcPr>
            <w:tcW w:w="417" w:type="pct"/>
            <w:vAlign w:val="top"/>
          </w:tcPr>
          <w:p w14:paraId="20871BC6">
            <w:pPr>
              <w:keepNext w:val="0"/>
              <w:keepLines w:val="0"/>
              <w:pageBreakBefore w:val="0"/>
              <w:kinsoku/>
              <w:wordWrap/>
              <w:overflowPunct w:val="0"/>
              <w:topLinePunct/>
              <w:bidi w:val="0"/>
              <w:spacing w:line="360" w:lineRule="auto"/>
              <w:rPr>
                <w:rFonts w:ascii="Arial"/>
                <w:sz w:val="21"/>
                <w:highlight w:val="none"/>
              </w:rPr>
            </w:pPr>
          </w:p>
        </w:tc>
        <w:tc>
          <w:tcPr>
            <w:tcW w:w="486" w:type="pct"/>
            <w:vAlign w:val="top"/>
          </w:tcPr>
          <w:p w14:paraId="675FEE97">
            <w:pPr>
              <w:keepNext w:val="0"/>
              <w:keepLines w:val="0"/>
              <w:pageBreakBefore w:val="0"/>
              <w:kinsoku/>
              <w:wordWrap/>
              <w:overflowPunct w:val="0"/>
              <w:topLinePunct/>
              <w:bidi w:val="0"/>
              <w:spacing w:line="360" w:lineRule="auto"/>
              <w:rPr>
                <w:rFonts w:ascii="Arial"/>
                <w:sz w:val="21"/>
                <w:highlight w:val="none"/>
              </w:rPr>
            </w:pPr>
          </w:p>
        </w:tc>
        <w:tc>
          <w:tcPr>
            <w:tcW w:w="555" w:type="pct"/>
            <w:vAlign w:val="top"/>
          </w:tcPr>
          <w:p w14:paraId="03E8BFC9">
            <w:pPr>
              <w:keepNext w:val="0"/>
              <w:keepLines w:val="0"/>
              <w:pageBreakBefore w:val="0"/>
              <w:kinsoku/>
              <w:wordWrap/>
              <w:overflowPunct w:val="0"/>
              <w:topLinePunct/>
              <w:bidi w:val="0"/>
              <w:spacing w:line="360" w:lineRule="auto"/>
              <w:rPr>
                <w:rFonts w:ascii="Arial"/>
                <w:sz w:val="21"/>
                <w:highlight w:val="none"/>
              </w:rPr>
            </w:pPr>
          </w:p>
        </w:tc>
        <w:tc>
          <w:tcPr>
            <w:tcW w:w="817" w:type="pct"/>
            <w:vAlign w:val="top"/>
          </w:tcPr>
          <w:p w14:paraId="59D03424">
            <w:pPr>
              <w:keepNext w:val="0"/>
              <w:keepLines w:val="0"/>
              <w:pageBreakBefore w:val="0"/>
              <w:kinsoku/>
              <w:wordWrap/>
              <w:overflowPunct w:val="0"/>
              <w:topLinePunct/>
              <w:bidi w:val="0"/>
              <w:spacing w:line="360" w:lineRule="auto"/>
              <w:rPr>
                <w:rFonts w:ascii="Arial"/>
                <w:sz w:val="21"/>
                <w:highlight w:val="none"/>
              </w:rPr>
            </w:pPr>
          </w:p>
        </w:tc>
        <w:tc>
          <w:tcPr>
            <w:tcW w:w="850" w:type="pct"/>
            <w:vAlign w:val="top"/>
          </w:tcPr>
          <w:p w14:paraId="1F7C0F04">
            <w:pPr>
              <w:keepNext w:val="0"/>
              <w:keepLines w:val="0"/>
              <w:pageBreakBefore w:val="0"/>
              <w:kinsoku/>
              <w:wordWrap/>
              <w:overflowPunct w:val="0"/>
              <w:topLinePunct/>
              <w:bidi w:val="0"/>
              <w:spacing w:line="360" w:lineRule="auto"/>
              <w:rPr>
                <w:rFonts w:ascii="Arial"/>
                <w:sz w:val="21"/>
                <w:highlight w:val="none"/>
              </w:rPr>
            </w:pPr>
          </w:p>
        </w:tc>
        <w:tc>
          <w:tcPr>
            <w:tcW w:w="967" w:type="pct"/>
            <w:vAlign w:val="top"/>
          </w:tcPr>
          <w:p w14:paraId="448F009B">
            <w:pPr>
              <w:keepNext w:val="0"/>
              <w:keepLines w:val="0"/>
              <w:pageBreakBefore w:val="0"/>
              <w:kinsoku/>
              <w:wordWrap/>
              <w:overflowPunct w:val="0"/>
              <w:topLinePunct/>
              <w:bidi w:val="0"/>
              <w:spacing w:line="360" w:lineRule="auto"/>
              <w:rPr>
                <w:rFonts w:ascii="Arial"/>
                <w:sz w:val="21"/>
                <w:highlight w:val="none"/>
              </w:rPr>
            </w:pPr>
          </w:p>
        </w:tc>
      </w:tr>
      <w:tr w14:paraId="1F425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489" w:type="pct"/>
            <w:vAlign w:val="top"/>
          </w:tcPr>
          <w:p w14:paraId="139634D2">
            <w:pPr>
              <w:keepNext w:val="0"/>
              <w:keepLines w:val="0"/>
              <w:pageBreakBefore w:val="0"/>
              <w:kinsoku/>
              <w:wordWrap/>
              <w:overflowPunct w:val="0"/>
              <w:topLinePunct/>
              <w:bidi w:val="0"/>
              <w:spacing w:line="360" w:lineRule="auto"/>
              <w:rPr>
                <w:rFonts w:ascii="Arial"/>
                <w:sz w:val="21"/>
                <w:highlight w:val="none"/>
              </w:rPr>
            </w:pPr>
          </w:p>
        </w:tc>
        <w:tc>
          <w:tcPr>
            <w:tcW w:w="416" w:type="pct"/>
            <w:vAlign w:val="top"/>
          </w:tcPr>
          <w:p w14:paraId="7BF96586">
            <w:pPr>
              <w:keepNext w:val="0"/>
              <w:keepLines w:val="0"/>
              <w:pageBreakBefore w:val="0"/>
              <w:kinsoku/>
              <w:wordWrap/>
              <w:overflowPunct w:val="0"/>
              <w:topLinePunct/>
              <w:bidi w:val="0"/>
              <w:spacing w:line="360" w:lineRule="auto"/>
              <w:rPr>
                <w:rFonts w:ascii="Arial"/>
                <w:sz w:val="21"/>
                <w:highlight w:val="none"/>
              </w:rPr>
            </w:pPr>
          </w:p>
        </w:tc>
        <w:tc>
          <w:tcPr>
            <w:tcW w:w="417" w:type="pct"/>
            <w:vAlign w:val="top"/>
          </w:tcPr>
          <w:p w14:paraId="4FFA55A9">
            <w:pPr>
              <w:keepNext w:val="0"/>
              <w:keepLines w:val="0"/>
              <w:pageBreakBefore w:val="0"/>
              <w:kinsoku/>
              <w:wordWrap/>
              <w:overflowPunct w:val="0"/>
              <w:topLinePunct/>
              <w:bidi w:val="0"/>
              <w:spacing w:line="360" w:lineRule="auto"/>
              <w:rPr>
                <w:rFonts w:ascii="Arial"/>
                <w:sz w:val="21"/>
                <w:highlight w:val="none"/>
              </w:rPr>
            </w:pPr>
          </w:p>
        </w:tc>
        <w:tc>
          <w:tcPr>
            <w:tcW w:w="486" w:type="pct"/>
            <w:vAlign w:val="top"/>
          </w:tcPr>
          <w:p w14:paraId="6E2650DF">
            <w:pPr>
              <w:keepNext w:val="0"/>
              <w:keepLines w:val="0"/>
              <w:pageBreakBefore w:val="0"/>
              <w:kinsoku/>
              <w:wordWrap/>
              <w:overflowPunct w:val="0"/>
              <w:topLinePunct/>
              <w:bidi w:val="0"/>
              <w:spacing w:line="360" w:lineRule="auto"/>
              <w:rPr>
                <w:rFonts w:ascii="Arial"/>
                <w:sz w:val="21"/>
                <w:highlight w:val="none"/>
              </w:rPr>
            </w:pPr>
          </w:p>
        </w:tc>
        <w:tc>
          <w:tcPr>
            <w:tcW w:w="555" w:type="pct"/>
            <w:vAlign w:val="top"/>
          </w:tcPr>
          <w:p w14:paraId="10CF3B8B">
            <w:pPr>
              <w:keepNext w:val="0"/>
              <w:keepLines w:val="0"/>
              <w:pageBreakBefore w:val="0"/>
              <w:kinsoku/>
              <w:wordWrap/>
              <w:overflowPunct w:val="0"/>
              <w:topLinePunct/>
              <w:bidi w:val="0"/>
              <w:spacing w:line="360" w:lineRule="auto"/>
              <w:rPr>
                <w:rFonts w:ascii="Arial"/>
                <w:sz w:val="21"/>
                <w:highlight w:val="none"/>
              </w:rPr>
            </w:pPr>
          </w:p>
        </w:tc>
        <w:tc>
          <w:tcPr>
            <w:tcW w:w="817" w:type="pct"/>
            <w:vAlign w:val="top"/>
          </w:tcPr>
          <w:p w14:paraId="3B438BEC">
            <w:pPr>
              <w:keepNext w:val="0"/>
              <w:keepLines w:val="0"/>
              <w:pageBreakBefore w:val="0"/>
              <w:kinsoku/>
              <w:wordWrap/>
              <w:overflowPunct w:val="0"/>
              <w:topLinePunct/>
              <w:bidi w:val="0"/>
              <w:spacing w:line="360" w:lineRule="auto"/>
              <w:rPr>
                <w:rFonts w:ascii="Arial"/>
                <w:sz w:val="21"/>
                <w:highlight w:val="none"/>
              </w:rPr>
            </w:pPr>
          </w:p>
        </w:tc>
        <w:tc>
          <w:tcPr>
            <w:tcW w:w="850" w:type="pct"/>
            <w:vAlign w:val="top"/>
          </w:tcPr>
          <w:p w14:paraId="425AFE28">
            <w:pPr>
              <w:keepNext w:val="0"/>
              <w:keepLines w:val="0"/>
              <w:pageBreakBefore w:val="0"/>
              <w:kinsoku/>
              <w:wordWrap/>
              <w:overflowPunct w:val="0"/>
              <w:topLinePunct/>
              <w:bidi w:val="0"/>
              <w:spacing w:line="360" w:lineRule="auto"/>
              <w:rPr>
                <w:rFonts w:ascii="Arial"/>
                <w:sz w:val="21"/>
                <w:highlight w:val="none"/>
              </w:rPr>
            </w:pPr>
          </w:p>
        </w:tc>
        <w:tc>
          <w:tcPr>
            <w:tcW w:w="967" w:type="pct"/>
            <w:vAlign w:val="top"/>
          </w:tcPr>
          <w:p w14:paraId="29974927">
            <w:pPr>
              <w:keepNext w:val="0"/>
              <w:keepLines w:val="0"/>
              <w:pageBreakBefore w:val="0"/>
              <w:kinsoku/>
              <w:wordWrap/>
              <w:overflowPunct w:val="0"/>
              <w:topLinePunct/>
              <w:bidi w:val="0"/>
              <w:spacing w:line="360" w:lineRule="auto"/>
              <w:rPr>
                <w:rFonts w:ascii="Arial"/>
                <w:sz w:val="21"/>
                <w:highlight w:val="none"/>
              </w:rPr>
            </w:pPr>
          </w:p>
        </w:tc>
      </w:tr>
      <w:tr w14:paraId="4EA0A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489" w:type="pct"/>
            <w:vAlign w:val="top"/>
          </w:tcPr>
          <w:p w14:paraId="4DECDF03">
            <w:pPr>
              <w:keepNext w:val="0"/>
              <w:keepLines w:val="0"/>
              <w:pageBreakBefore w:val="0"/>
              <w:kinsoku/>
              <w:wordWrap/>
              <w:overflowPunct w:val="0"/>
              <w:topLinePunct/>
              <w:bidi w:val="0"/>
              <w:spacing w:line="360" w:lineRule="auto"/>
              <w:rPr>
                <w:rFonts w:ascii="Arial"/>
                <w:sz w:val="21"/>
                <w:highlight w:val="none"/>
              </w:rPr>
            </w:pPr>
          </w:p>
        </w:tc>
        <w:tc>
          <w:tcPr>
            <w:tcW w:w="416" w:type="pct"/>
            <w:vAlign w:val="top"/>
          </w:tcPr>
          <w:p w14:paraId="5FFCF8A1">
            <w:pPr>
              <w:keepNext w:val="0"/>
              <w:keepLines w:val="0"/>
              <w:pageBreakBefore w:val="0"/>
              <w:kinsoku/>
              <w:wordWrap/>
              <w:overflowPunct w:val="0"/>
              <w:topLinePunct/>
              <w:bidi w:val="0"/>
              <w:spacing w:line="360" w:lineRule="auto"/>
              <w:rPr>
                <w:rFonts w:ascii="Arial"/>
                <w:sz w:val="21"/>
                <w:highlight w:val="none"/>
              </w:rPr>
            </w:pPr>
          </w:p>
        </w:tc>
        <w:tc>
          <w:tcPr>
            <w:tcW w:w="417" w:type="pct"/>
            <w:vAlign w:val="top"/>
          </w:tcPr>
          <w:p w14:paraId="1177FB14">
            <w:pPr>
              <w:keepNext w:val="0"/>
              <w:keepLines w:val="0"/>
              <w:pageBreakBefore w:val="0"/>
              <w:kinsoku/>
              <w:wordWrap/>
              <w:overflowPunct w:val="0"/>
              <w:topLinePunct/>
              <w:bidi w:val="0"/>
              <w:spacing w:line="360" w:lineRule="auto"/>
              <w:rPr>
                <w:rFonts w:ascii="Arial"/>
                <w:sz w:val="21"/>
                <w:highlight w:val="none"/>
              </w:rPr>
            </w:pPr>
          </w:p>
        </w:tc>
        <w:tc>
          <w:tcPr>
            <w:tcW w:w="486" w:type="pct"/>
            <w:vAlign w:val="top"/>
          </w:tcPr>
          <w:p w14:paraId="79E5A4DC">
            <w:pPr>
              <w:keepNext w:val="0"/>
              <w:keepLines w:val="0"/>
              <w:pageBreakBefore w:val="0"/>
              <w:kinsoku/>
              <w:wordWrap/>
              <w:overflowPunct w:val="0"/>
              <w:topLinePunct/>
              <w:bidi w:val="0"/>
              <w:spacing w:line="360" w:lineRule="auto"/>
              <w:rPr>
                <w:rFonts w:ascii="Arial"/>
                <w:sz w:val="21"/>
                <w:highlight w:val="none"/>
              </w:rPr>
            </w:pPr>
          </w:p>
        </w:tc>
        <w:tc>
          <w:tcPr>
            <w:tcW w:w="555" w:type="pct"/>
            <w:vAlign w:val="top"/>
          </w:tcPr>
          <w:p w14:paraId="392A3834">
            <w:pPr>
              <w:keepNext w:val="0"/>
              <w:keepLines w:val="0"/>
              <w:pageBreakBefore w:val="0"/>
              <w:kinsoku/>
              <w:wordWrap/>
              <w:overflowPunct w:val="0"/>
              <w:topLinePunct/>
              <w:bidi w:val="0"/>
              <w:spacing w:line="360" w:lineRule="auto"/>
              <w:rPr>
                <w:rFonts w:ascii="Arial"/>
                <w:sz w:val="21"/>
                <w:highlight w:val="none"/>
              </w:rPr>
            </w:pPr>
          </w:p>
        </w:tc>
        <w:tc>
          <w:tcPr>
            <w:tcW w:w="817" w:type="pct"/>
            <w:vAlign w:val="top"/>
          </w:tcPr>
          <w:p w14:paraId="4E21182F">
            <w:pPr>
              <w:keepNext w:val="0"/>
              <w:keepLines w:val="0"/>
              <w:pageBreakBefore w:val="0"/>
              <w:kinsoku/>
              <w:wordWrap/>
              <w:overflowPunct w:val="0"/>
              <w:topLinePunct/>
              <w:bidi w:val="0"/>
              <w:spacing w:line="360" w:lineRule="auto"/>
              <w:rPr>
                <w:rFonts w:ascii="Arial"/>
                <w:sz w:val="21"/>
                <w:highlight w:val="none"/>
              </w:rPr>
            </w:pPr>
          </w:p>
        </w:tc>
        <w:tc>
          <w:tcPr>
            <w:tcW w:w="850" w:type="pct"/>
            <w:vAlign w:val="top"/>
          </w:tcPr>
          <w:p w14:paraId="15478439">
            <w:pPr>
              <w:keepNext w:val="0"/>
              <w:keepLines w:val="0"/>
              <w:pageBreakBefore w:val="0"/>
              <w:kinsoku/>
              <w:wordWrap/>
              <w:overflowPunct w:val="0"/>
              <w:topLinePunct/>
              <w:bidi w:val="0"/>
              <w:spacing w:line="360" w:lineRule="auto"/>
              <w:rPr>
                <w:rFonts w:ascii="Arial"/>
                <w:sz w:val="21"/>
                <w:highlight w:val="none"/>
              </w:rPr>
            </w:pPr>
          </w:p>
        </w:tc>
        <w:tc>
          <w:tcPr>
            <w:tcW w:w="967" w:type="pct"/>
            <w:vAlign w:val="top"/>
          </w:tcPr>
          <w:p w14:paraId="387413A5">
            <w:pPr>
              <w:keepNext w:val="0"/>
              <w:keepLines w:val="0"/>
              <w:pageBreakBefore w:val="0"/>
              <w:kinsoku/>
              <w:wordWrap/>
              <w:overflowPunct w:val="0"/>
              <w:topLinePunct/>
              <w:bidi w:val="0"/>
              <w:spacing w:line="360" w:lineRule="auto"/>
              <w:rPr>
                <w:rFonts w:ascii="Arial"/>
                <w:sz w:val="21"/>
                <w:highlight w:val="none"/>
              </w:rPr>
            </w:pPr>
          </w:p>
        </w:tc>
      </w:tr>
      <w:tr w14:paraId="0C103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489" w:type="pct"/>
            <w:vAlign w:val="top"/>
          </w:tcPr>
          <w:p w14:paraId="137423EE">
            <w:pPr>
              <w:keepNext w:val="0"/>
              <w:keepLines w:val="0"/>
              <w:pageBreakBefore w:val="0"/>
              <w:kinsoku/>
              <w:wordWrap/>
              <w:overflowPunct w:val="0"/>
              <w:topLinePunct/>
              <w:bidi w:val="0"/>
              <w:spacing w:line="360" w:lineRule="auto"/>
              <w:rPr>
                <w:rFonts w:ascii="Arial"/>
                <w:sz w:val="21"/>
                <w:highlight w:val="none"/>
              </w:rPr>
            </w:pPr>
          </w:p>
        </w:tc>
        <w:tc>
          <w:tcPr>
            <w:tcW w:w="416" w:type="pct"/>
            <w:vAlign w:val="top"/>
          </w:tcPr>
          <w:p w14:paraId="178036DE">
            <w:pPr>
              <w:keepNext w:val="0"/>
              <w:keepLines w:val="0"/>
              <w:pageBreakBefore w:val="0"/>
              <w:kinsoku/>
              <w:wordWrap/>
              <w:overflowPunct w:val="0"/>
              <w:topLinePunct/>
              <w:bidi w:val="0"/>
              <w:spacing w:line="360" w:lineRule="auto"/>
              <w:rPr>
                <w:rFonts w:ascii="Arial"/>
                <w:sz w:val="21"/>
                <w:highlight w:val="none"/>
              </w:rPr>
            </w:pPr>
          </w:p>
        </w:tc>
        <w:tc>
          <w:tcPr>
            <w:tcW w:w="417" w:type="pct"/>
            <w:vAlign w:val="top"/>
          </w:tcPr>
          <w:p w14:paraId="3FF677DB">
            <w:pPr>
              <w:keepNext w:val="0"/>
              <w:keepLines w:val="0"/>
              <w:pageBreakBefore w:val="0"/>
              <w:kinsoku/>
              <w:wordWrap/>
              <w:overflowPunct w:val="0"/>
              <w:topLinePunct/>
              <w:bidi w:val="0"/>
              <w:spacing w:line="360" w:lineRule="auto"/>
              <w:rPr>
                <w:rFonts w:ascii="Arial"/>
                <w:sz w:val="21"/>
                <w:highlight w:val="none"/>
              </w:rPr>
            </w:pPr>
          </w:p>
        </w:tc>
        <w:tc>
          <w:tcPr>
            <w:tcW w:w="486" w:type="pct"/>
            <w:vAlign w:val="top"/>
          </w:tcPr>
          <w:p w14:paraId="68F3BFB0">
            <w:pPr>
              <w:keepNext w:val="0"/>
              <w:keepLines w:val="0"/>
              <w:pageBreakBefore w:val="0"/>
              <w:kinsoku/>
              <w:wordWrap/>
              <w:overflowPunct w:val="0"/>
              <w:topLinePunct/>
              <w:bidi w:val="0"/>
              <w:spacing w:line="360" w:lineRule="auto"/>
              <w:rPr>
                <w:rFonts w:ascii="Arial"/>
                <w:sz w:val="21"/>
                <w:highlight w:val="none"/>
              </w:rPr>
            </w:pPr>
          </w:p>
        </w:tc>
        <w:tc>
          <w:tcPr>
            <w:tcW w:w="555" w:type="pct"/>
            <w:vAlign w:val="top"/>
          </w:tcPr>
          <w:p w14:paraId="0E6B8E01">
            <w:pPr>
              <w:keepNext w:val="0"/>
              <w:keepLines w:val="0"/>
              <w:pageBreakBefore w:val="0"/>
              <w:kinsoku/>
              <w:wordWrap/>
              <w:overflowPunct w:val="0"/>
              <w:topLinePunct/>
              <w:bidi w:val="0"/>
              <w:spacing w:line="360" w:lineRule="auto"/>
              <w:rPr>
                <w:rFonts w:ascii="Arial"/>
                <w:sz w:val="21"/>
                <w:highlight w:val="none"/>
              </w:rPr>
            </w:pPr>
          </w:p>
        </w:tc>
        <w:tc>
          <w:tcPr>
            <w:tcW w:w="817" w:type="pct"/>
            <w:vAlign w:val="top"/>
          </w:tcPr>
          <w:p w14:paraId="48A0FDBA">
            <w:pPr>
              <w:keepNext w:val="0"/>
              <w:keepLines w:val="0"/>
              <w:pageBreakBefore w:val="0"/>
              <w:kinsoku/>
              <w:wordWrap/>
              <w:overflowPunct w:val="0"/>
              <w:topLinePunct/>
              <w:bidi w:val="0"/>
              <w:spacing w:line="360" w:lineRule="auto"/>
              <w:rPr>
                <w:rFonts w:ascii="Arial"/>
                <w:sz w:val="21"/>
                <w:highlight w:val="none"/>
              </w:rPr>
            </w:pPr>
          </w:p>
        </w:tc>
        <w:tc>
          <w:tcPr>
            <w:tcW w:w="850" w:type="pct"/>
            <w:vAlign w:val="top"/>
          </w:tcPr>
          <w:p w14:paraId="1BD44540">
            <w:pPr>
              <w:keepNext w:val="0"/>
              <w:keepLines w:val="0"/>
              <w:pageBreakBefore w:val="0"/>
              <w:kinsoku/>
              <w:wordWrap/>
              <w:overflowPunct w:val="0"/>
              <w:topLinePunct/>
              <w:bidi w:val="0"/>
              <w:spacing w:line="360" w:lineRule="auto"/>
              <w:rPr>
                <w:rFonts w:ascii="Arial"/>
                <w:sz w:val="21"/>
                <w:highlight w:val="none"/>
              </w:rPr>
            </w:pPr>
          </w:p>
        </w:tc>
        <w:tc>
          <w:tcPr>
            <w:tcW w:w="967" w:type="pct"/>
            <w:vAlign w:val="top"/>
          </w:tcPr>
          <w:p w14:paraId="10421E79">
            <w:pPr>
              <w:keepNext w:val="0"/>
              <w:keepLines w:val="0"/>
              <w:pageBreakBefore w:val="0"/>
              <w:kinsoku/>
              <w:wordWrap/>
              <w:overflowPunct w:val="0"/>
              <w:topLinePunct/>
              <w:bidi w:val="0"/>
              <w:spacing w:line="360" w:lineRule="auto"/>
              <w:rPr>
                <w:rFonts w:ascii="Arial"/>
                <w:sz w:val="21"/>
                <w:highlight w:val="none"/>
              </w:rPr>
            </w:pPr>
          </w:p>
        </w:tc>
      </w:tr>
      <w:tr w14:paraId="5A4E5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489" w:type="pct"/>
            <w:vAlign w:val="top"/>
          </w:tcPr>
          <w:p w14:paraId="3CE8D025">
            <w:pPr>
              <w:keepNext w:val="0"/>
              <w:keepLines w:val="0"/>
              <w:pageBreakBefore w:val="0"/>
              <w:kinsoku/>
              <w:wordWrap/>
              <w:overflowPunct w:val="0"/>
              <w:topLinePunct/>
              <w:bidi w:val="0"/>
              <w:spacing w:line="360" w:lineRule="auto"/>
              <w:rPr>
                <w:rFonts w:ascii="Arial"/>
                <w:sz w:val="21"/>
                <w:highlight w:val="none"/>
              </w:rPr>
            </w:pPr>
          </w:p>
        </w:tc>
        <w:tc>
          <w:tcPr>
            <w:tcW w:w="416" w:type="pct"/>
            <w:vAlign w:val="top"/>
          </w:tcPr>
          <w:p w14:paraId="16912622">
            <w:pPr>
              <w:keepNext w:val="0"/>
              <w:keepLines w:val="0"/>
              <w:pageBreakBefore w:val="0"/>
              <w:kinsoku/>
              <w:wordWrap/>
              <w:overflowPunct w:val="0"/>
              <w:topLinePunct/>
              <w:bidi w:val="0"/>
              <w:spacing w:line="360" w:lineRule="auto"/>
              <w:rPr>
                <w:rFonts w:ascii="Arial"/>
                <w:sz w:val="21"/>
                <w:highlight w:val="none"/>
              </w:rPr>
            </w:pPr>
          </w:p>
        </w:tc>
        <w:tc>
          <w:tcPr>
            <w:tcW w:w="417" w:type="pct"/>
            <w:vAlign w:val="top"/>
          </w:tcPr>
          <w:p w14:paraId="3305F539">
            <w:pPr>
              <w:keepNext w:val="0"/>
              <w:keepLines w:val="0"/>
              <w:pageBreakBefore w:val="0"/>
              <w:kinsoku/>
              <w:wordWrap/>
              <w:overflowPunct w:val="0"/>
              <w:topLinePunct/>
              <w:bidi w:val="0"/>
              <w:spacing w:line="360" w:lineRule="auto"/>
              <w:rPr>
                <w:rFonts w:ascii="Arial"/>
                <w:sz w:val="21"/>
                <w:highlight w:val="none"/>
              </w:rPr>
            </w:pPr>
          </w:p>
        </w:tc>
        <w:tc>
          <w:tcPr>
            <w:tcW w:w="486" w:type="pct"/>
            <w:vAlign w:val="top"/>
          </w:tcPr>
          <w:p w14:paraId="726E98B9">
            <w:pPr>
              <w:keepNext w:val="0"/>
              <w:keepLines w:val="0"/>
              <w:pageBreakBefore w:val="0"/>
              <w:kinsoku/>
              <w:wordWrap/>
              <w:overflowPunct w:val="0"/>
              <w:topLinePunct/>
              <w:bidi w:val="0"/>
              <w:spacing w:line="360" w:lineRule="auto"/>
              <w:rPr>
                <w:rFonts w:ascii="Arial"/>
                <w:sz w:val="21"/>
                <w:highlight w:val="none"/>
              </w:rPr>
            </w:pPr>
          </w:p>
        </w:tc>
        <w:tc>
          <w:tcPr>
            <w:tcW w:w="555" w:type="pct"/>
            <w:vAlign w:val="top"/>
          </w:tcPr>
          <w:p w14:paraId="12DE436F">
            <w:pPr>
              <w:keepNext w:val="0"/>
              <w:keepLines w:val="0"/>
              <w:pageBreakBefore w:val="0"/>
              <w:kinsoku/>
              <w:wordWrap/>
              <w:overflowPunct w:val="0"/>
              <w:topLinePunct/>
              <w:bidi w:val="0"/>
              <w:spacing w:line="360" w:lineRule="auto"/>
              <w:rPr>
                <w:rFonts w:ascii="Arial"/>
                <w:sz w:val="21"/>
                <w:highlight w:val="none"/>
              </w:rPr>
            </w:pPr>
          </w:p>
        </w:tc>
        <w:tc>
          <w:tcPr>
            <w:tcW w:w="817" w:type="pct"/>
            <w:vAlign w:val="top"/>
          </w:tcPr>
          <w:p w14:paraId="4F94B9D7">
            <w:pPr>
              <w:keepNext w:val="0"/>
              <w:keepLines w:val="0"/>
              <w:pageBreakBefore w:val="0"/>
              <w:kinsoku/>
              <w:wordWrap/>
              <w:overflowPunct w:val="0"/>
              <w:topLinePunct/>
              <w:bidi w:val="0"/>
              <w:spacing w:line="360" w:lineRule="auto"/>
              <w:rPr>
                <w:rFonts w:ascii="Arial"/>
                <w:sz w:val="21"/>
                <w:highlight w:val="none"/>
              </w:rPr>
            </w:pPr>
          </w:p>
        </w:tc>
        <w:tc>
          <w:tcPr>
            <w:tcW w:w="850" w:type="pct"/>
            <w:vAlign w:val="top"/>
          </w:tcPr>
          <w:p w14:paraId="78B661A6">
            <w:pPr>
              <w:keepNext w:val="0"/>
              <w:keepLines w:val="0"/>
              <w:pageBreakBefore w:val="0"/>
              <w:kinsoku/>
              <w:wordWrap/>
              <w:overflowPunct w:val="0"/>
              <w:topLinePunct/>
              <w:bidi w:val="0"/>
              <w:spacing w:line="360" w:lineRule="auto"/>
              <w:rPr>
                <w:rFonts w:ascii="Arial"/>
                <w:sz w:val="21"/>
                <w:highlight w:val="none"/>
              </w:rPr>
            </w:pPr>
          </w:p>
        </w:tc>
        <w:tc>
          <w:tcPr>
            <w:tcW w:w="967" w:type="pct"/>
            <w:vAlign w:val="top"/>
          </w:tcPr>
          <w:p w14:paraId="79014D64">
            <w:pPr>
              <w:keepNext w:val="0"/>
              <w:keepLines w:val="0"/>
              <w:pageBreakBefore w:val="0"/>
              <w:kinsoku/>
              <w:wordWrap/>
              <w:overflowPunct w:val="0"/>
              <w:topLinePunct/>
              <w:bidi w:val="0"/>
              <w:spacing w:line="360" w:lineRule="auto"/>
              <w:rPr>
                <w:rFonts w:ascii="Arial"/>
                <w:sz w:val="21"/>
                <w:highlight w:val="none"/>
              </w:rPr>
            </w:pPr>
          </w:p>
        </w:tc>
      </w:tr>
    </w:tbl>
    <w:p w14:paraId="41CB5D1A">
      <w:pPr>
        <w:keepNext w:val="0"/>
        <w:keepLines w:val="0"/>
        <w:pageBreakBefore w:val="0"/>
        <w:kinsoku/>
        <w:wordWrap/>
        <w:overflowPunct w:val="0"/>
        <w:topLinePunct/>
        <w:bidi w:val="0"/>
        <w:spacing w:before="147" w:line="360" w:lineRule="auto"/>
        <w:ind w:right="1022" w:firstLine="488" w:firstLineChars="200"/>
        <w:rPr>
          <w:rFonts w:ascii="宋体" w:hAnsi="宋体" w:eastAsia="宋体" w:cs="宋体"/>
          <w:spacing w:val="-6"/>
          <w:sz w:val="24"/>
          <w:szCs w:val="24"/>
          <w:highlight w:val="none"/>
        </w:rPr>
      </w:pPr>
      <w:r>
        <w:rPr>
          <w:rFonts w:ascii="宋体" w:hAnsi="宋体" w:eastAsia="宋体" w:cs="宋体"/>
          <w:spacing w:val="2"/>
          <w:sz w:val="24"/>
          <w:szCs w:val="24"/>
          <w:highlight w:val="none"/>
        </w:rPr>
        <w:t>注：</w:t>
      </w:r>
      <w:r>
        <w:rPr>
          <w:rFonts w:hint="eastAsia" w:ascii="宋体" w:hAnsi="宋体" w:eastAsia="宋体" w:cs="宋体"/>
          <w:spacing w:val="-1"/>
          <w:sz w:val="24"/>
          <w:szCs w:val="24"/>
          <w:highlight w:val="none"/>
          <w:lang w:val="en-US" w:eastAsia="zh-CN"/>
        </w:rPr>
        <w:t>本表后附</w:t>
      </w:r>
      <w:r>
        <w:rPr>
          <w:rFonts w:ascii="宋体" w:hAnsi="宋体" w:eastAsia="宋体" w:cs="宋体"/>
          <w:spacing w:val="2"/>
          <w:sz w:val="24"/>
          <w:szCs w:val="24"/>
          <w:highlight w:val="none"/>
        </w:rPr>
        <w:t>身份证、有效社保证明、</w:t>
      </w:r>
      <w:r>
        <w:rPr>
          <w:rFonts w:hint="eastAsia" w:ascii="宋体" w:hAnsi="宋体" w:eastAsia="宋体" w:cs="宋体"/>
          <w:spacing w:val="2"/>
          <w:sz w:val="24"/>
          <w:szCs w:val="24"/>
          <w:highlight w:val="none"/>
          <w:lang w:val="en-US" w:eastAsia="zh-CN"/>
        </w:rPr>
        <w:t>毕业证书、从业证书（如有）、</w:t>
      </w:r>
      <w:r>
        <w:rPr>
          <w:rFonts w:hint="eastAsia" w:ascii="宋体" w:hAnsi="宋体" w:eastAsia="宋体" w:cs="宋体"/>
          <w:spacing w:val="-1"/>
          <w:sz w:val="24"/>
          <w:szCs w:val="24"/>
          <w:highlight w:val="none"/>
          <w:lang w:val="en-US" w:eastAsia="zh-CN"/>
        </w:rPr>
        <w:t>职称证书（</w:t>
      </w:r>
      <w:r>
        <w:rPr>
          <w:rFonts w:hint="eastAsia" w:ascii="宋体" w:hAnsi="宋体" w:eastAsia="宋体" w:cs="宋体"/>
          <w:spacing w:val="2"/>
          <w:sz w:val="24"/>
          <w:szCs w:val="24"/>
          <w:highlight w:val="none"/>
          <w:lang w:val="en-US" w:eastAsia="zh-CN"/>
        </w:rPr>
        <w:t>如有</w:t>
      </w:r>
      <w:r>
        <w:rPr>
          <w:rFonts w:hint="eastAsia" w:ascii="宋体" w:hAnsi="宋体" w:eastAsia="宋体" w:cs="宋体"/>
          <w:spacing w:val="-1"/>
          <w:sz w:val="24"/>
          <w:szCs w:val="24"/>
          <w:highlight w:val="none"/>
          <w:lang w:val="en-US" w:eastAsia="zh-CN"/>
        </w:rPr>
        <w:t>）、执业证书</w:t>
      </w:r>
      <w:r>
        <w:rPr>
          <w:rFonts w:hint="eastAsia" w:ascii="宋体" w:hAnsi="宋体" w:eastAsia="宋体" w:cs="宋体"/>
          <w:spacing w:val="2"/>
          <w:sz w:val="24"/>
          <w:szCs w:val="24"/>
          <w:highlight w:val="none"/>
          <w:lang w:val="en-US" w:eastAsia="zh-CN"/>
        </w:rPr>
        <w:t>（如有）等</w:t>
      </w:r>
      <w:r>
        <w:rPr>
          <w:rFonts w:ascii="宋体" w:hAnsi="宋体" w:eastAsia="宋体" w:cs="宋体"/>
          <w:spacing w:val="-6"/>
          <w:sz w:val="24"/>
          <w:szCs w:val="24"/>
          <w:highlight w:val="none"/>
        </w:rPr>
        <w:t>。</w:t>
      </w:r>
    </w:p>
    <w:p w14:paraId="29F8DC36">
      <w:pPr>
        <w:keepNext w:val="0"/>
        <w:keepLines w:val="0"/>
        <w:pageBreakBefore w:val="0"/>
        <w:kinsoku/>
        <w:wordWrap/>
        <w:overflowPunct w:val="0"/>
        <w:topLinePunct/>
        <w:bidi w:val="0"/>
        <w:spacing w:before="91" w:line="360" w:lineRule="auto"/>
        <w:outlineLvl w:val="1"/>
        <w:rPr>
          <w:rFonts w:ascii="宋体" w:hAnsi="宋体" w:eastAsia="宋体" w:cs="宋体"/>
          <w:b/>
          <w:bCs/>
          <w:spacing w:val="-13"/>
          <w:sz w:val="28"/>
          <w:szCs w:val="28"/>
          <w:highlight w:val="none"/>
        </w:rPr>
      </w:pPr>
      <w:bookmarkStart w:id="107" w:name="_Toc17305"/>
      <w:r>
        <w:rPr>
          <w:rFonts w:ascii="宋体" w:hAnsi="宋体" w:eastAsia="宋体" w:cs="宋体"/>
          <w:b/>
          <w:bCs/>
          <w:spacing w:val="-13"/>
          <w:sz w:val="28"/>
          <w:szCs w:val="28"/>
          <w:highlight w:val="none"/>
        </w:rPr>
        <w:t>附件5-2</w:t>
      </w:r>
      <w:bookmarkEnd w:id="107"/>
    </w:p>
    <w:p w14:paraId="023C87F1">
      <w:pPr>
        <w:keepNext w:val="0"/>
        <w:keepLines w:val="0"/>
        <w:pageBreakBefore w:val="0"/>
        <w:kinsoku/>
        <w:wordWrap/>
        <w:overflowPunct w:val="0"/>
        <w:topLinePunct/>
        <w:bidi w:val="0"/>
        <w:spacing w:before="185" w:line="360" w:lineRule="auto"/>
        <w:ind w:left="3593"/>
        <w:outlineLvl w:val="0"/>
        <w:rPr>
          <w:rFonts w:ascii="宋体" w:hAnsi="宋体" w:eastAsia="宋体" w:cs="宋体"/>
          <w:sz w:val="28"/>
          <w:szCs w:val="28"/>
          <w:highlight w:val="none"/>
        </w:rPr>
      </w:pPr>
      <w:bookmarkStart w:id="108" w:name="_Toc5736"/>
      <w:r>
        <w:rPr>
          <w:rFonts w:hint="eastAsia" w:ascii="宋体" w:hAnsi="宋体" w:eastAsia="宋体" w:cs="宋体"/>
          <w:b/>
          <w:bCs/>
          <w:spacing w:val="-4"/>
          <w:sz w:val="28"/>
          <w:szCs w:val="28"/>
          <w:highlight w:val="none"/>
          <w:lang w:eastAsia="zh-CN"/>
        </w:rPr>
        <w:t>项目经理</w:t>
      </w:r>
      <w:r>
        <w:rPr>
          <w:rFonts w:ascii="宋体" w:hAnsi="宋体" w:eastAsia="宋体" w:cs="宋体"/>
          <w:b/>
          <w:bCs/>
          <w:spacing w:val="-4"/>
          <w:sz w:val="28"/>
          <w:szCs w:val="28"/>
          <w:highlight w:val="none"/>
        </w:rPr>
        <w:t>情况表</w:t>
      </w:r>
      <w:bookmarkEnd w:id="108"/>
    </w:p>
    <w:tbl>
      <w:tblPr>
        <w:tblStyle w:val="11"/>
        <w:tblW w:w="5112"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505"/>
        <w:gridCol w:w="1368"/>
        <w:gridCol w:w="858"/>
        <w:gridCol w:w="421"/>
        <w:gridCol w:w="559"/>
        <w:gridCol w:w="660"/>
        <w:gridCol w:w="1011"/>
        <w:gridCol w:w="980"/>
        <w:gridCol w:w="1340"/>
      </w:tblGrid>
      <w:tr w14:paraId="4834D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865" w:type="pct"/>
            <w:vAlign w:val="top"/>
          </w:tcPr>
          <w:p w14:paraId="24BF2040">
            <w:pPr>
              <w:keepNext w:val="0"/>
              <w:keepLines w:val="0"/>
              <w:pageBreakBefore w:val="0"/>
              <w:kinsoku/>
              <w:wordWrap/>
              <w:overflowPunct w:val="0"/>
              <w:topLinePunct/>
              <w:bidi w:val="0"/>
              <w:spacing w:line="360" w:lineRule="auto"/>
              <w:rPr>
                <w:rFonts w:ascii="Arial"/>
                <w:sz w:val="21"/>
                <w:highlight w:val="none"/>
              </w:rPr>
            </w:pPr>
          </w:p>
          <w:p w14:paraId="643DD077">
            <w:pPr>
              <w:pStyle w:val="12"/>
              <w:keepNext w:val="0"/>
              <w:keepLines w:val="0"/>
              <w:pageBreakBefore w:val="0"/>
              <w:kinsoku/>
              <w:wordWrap/>
              <w:overflowPunct w:val="0"/>
              <w:topLinePunct/>
              <w:bidi w:val="0"/>
              <w:spacing w:before="78" w:line="360" w:lineRule="auto"/>
              <w:ind w:left="532"/>
              <w:rPr>
                <w:highlight w:val="none"/>
              </w:rPr>
            </w:pPr>
            <w:r>
              <w:rPr>
                <w:spacing w:val="-5"/>
                <w:highlight w:val="none"/>
              </w:rPr>
              <w:t>姓名</w:t>
            </w:r>
          </w:p>
        </w:tc>
        <w:tc>
          <w:tcPr>
            <w:tcW w:w="786" w:type="pct"/>
            <w:vAlign w:val="top"/>
          </w:tcPr>
          <w:p w14:paraId="0E7E1F55">
            <w:pPr>
              <w:keepNext w:val="0"/>
              <w:keepLines w:val="0"/>
              <w:pageBreakBefore w:val="0"/>
              <w:kinsoku/>
              <w:wordWrap/>
              <w:overflowPunct w:val="0"/>
              <w:topLinePunct/>
              <w:bidi w:val="0"/>
              <w:spacing w:line="360" w:lineRule="auto"/>
              <w:rPr>
                <w:rFonts w:ascii="Arial"/>
                <w:sz w:val="21"/>
                <w:highlight w:val="none"/>
              </w:rPr>
            </w:pPr>
          </w:p>
        </w:tc>
        <w:tc>
          <w:tcPr>
            <w:tcW w:w="493" w:type="pct"/>
            <w:vAlign w:val="top"/>
          </w:tcPr>
          <w:p w14:paraId="23E8622F">
            <w:pPr>
              <w:keepNext w:val="0"/>
              <w:keepLines w:val="0"/>
              <w:pageBreakBefore w:val="0"/>
              <w:kinsoku/>
              <w:wordWrap/>
              <w:overflowPunct w:val="0"/>
              <w:topLinePunct/>
              <w:bidi w:val="0"/>
              <w:spacing w:line="360" w:lineRule="auto"/>
              <w:rPr>
                <w:rFonts w:ascii="Arial"/>
                <w:sz w:val="21"/>
                <w:highlight w:val="none"/>
              </w:rPr>
            </w:pPr>
          </w:p>
          <w:p w14:paraId="35E81DC9">
            <w:pPr>
              <w:pStyle w:val="12"/>
              <w:keepNext w:val="0"/>
              <w:keepLines w:val="0"/>
              <w:pageBreakBefore w:val="0"/>
              <w:kinsoku/>
              <w:wordWrap/>
              <w:overflowPunct w:val="0"/>
              <w:topLinePunct/>
              <w:bidi w:val="0"/>
              <w:spacing w:before="78" w:line="360" w:lineRule="auto"/>
              <w:ind w:left="206"/>
              <w:rPr>
                <w:highlight w:val="none"/>
              </w:rPr>
            </w:pPr>
            <w:r>
              <w:rPr>
                <w:spacing w:val="-7"/>
                <w:highlight w:val="none"/>
              </w:rPr>
              <w:t>性别</w:t>
            </w:r>
          </w:p>
        </w:tc>
        <w:tc>
          <w:tcPr>
            <w:tcW w:w="561" w:type="pct"/>
            <w:gridSpan w:val="2"/>
            <w:vAlign w:val="top"/>
          </w:tcPr>
          <w:p w14:paraId="0C73B004">
            <w:pPr>
              <w:keepNext w:val="0"/>
              <w:keepLines w:val="0"/>
              <w:pageBreakBefore w:val="0"/>
              <w:kinsoku/>
              <w:wordWrap/>
              <w:overflowPunct w:val="0"/>
              <w:topLinePunct/>
              <w:bidi w:val="0"/>
              <w:spacing w:line="360" w:lineRule="auto"/>
              <w:rPr>
                <w:rFonts w:ascii="Arial"/>
                <w:sz w:val="21"/>
                <w:highlight w:val="none"/>
              </w:rPr>
            </w:pPr>
          </w:p>
        </w:tc>
        <w:tc>
          <w:tcPr>
            <w:tcW w:w="960" w:type="pct"/>
            <w:gridSpan w:val="2"/>
            <w:vAlign w:val="top"/>
          </w:tcPr>
          <w:p w14:paraId="46B4FF5F">
            <w:pPr>
              <w:keepNext w:val="0"/>
              <w:keepLines w:val="0"/>
              <w:pageBreakBefore w:val="0"/>
              <w:kinsoku/>
              <w:wordWrap/>
              <w:overflowPunct w:val="0"/>
              <w:topLinePunct/>
              <w:bidi w:val="0"/>
              <w:spacing w:line="360" w:lineRule="auto"/>
              <w:rPr>
                <w:rFonts w:ascii="Arial"/>
                <w:sz w:val="21"/>
                <w:highlight w:val="none"/>
              </w:rPr>
            </w:pPr>
          </w:p>
          <w:p w14:paraId="301A0964">
            <w:pPr>
              <w:pStyle w:val="12"/>
              <w:keepNext w:val="0"/>
              <w:keepLines w:val="0"/>
              <w:pageBreakBefore w:val="0"/>
              <w:kinsoku/>
              <w:wordWrap/>
              <w:overflowPunct w:val="0"/>
              <w:topLinePunct/>
              <w:bidi w:val="0"/>
              <w:spacing w:before="78" w:line="360" w:lineRule="auto"/>
              <w:ind w:left="396"/>
              <w:rPr>
                <w:highlight w:val="none"/>
              </w:rPr>
            </w:pPr>
            <w:r>
              <w:rPr>
                <w:spacing w:val="-8"/>
                <w:highlight w:val="none"/>
              </w:rPr>
              <w:t>出生日期</w:t>
            </w:r>
          </w:p>
        </w:tc>
        <w:tc>
          <w:tcPr>
            <w:tcW w:w="1332" w:type="pct"/>
            <w:gridSpan w:val="2"/>
            <w:vAlign w:val="top"/>
          </w:tcPr>
          <w:p w14:paraId="222E4E11">
            <w:pPr>
              <w:keepNext w:val="0"/>
              <w:keepLines w:val="0"/>
              <w:pageBreakBefore w:val="0"/>
              <w:kinsoku/>
              <w:wordWrap/>
              <w:overflowPunct w:val="0"/>
              <w:topLinePunct/>
              <w:bidi w:val="0"/>
              <w:spacing w:line="360" w:lineRule="auto"/>
              <w:rPr>
                <w:rFonts w:ascii="Arial"/>
                <w:sz w:val="21"/>
                <w:highlight w:val="none"/>
              </w:rPr>
            </w:pPr>
          </w:p>
          <w:p w14:paraId="6A82DE57">
            <w:pPr>
              <w:pStyle w:val="12"/>
              <w:keepNext w:val="0"/>
              <w:keepLines w:val="0"/>
              <w:pageBreakBefore w:val="0"/>
              <w:kinsoku/>
              <w:wordWrap/>
              <w:overflowPunct w:val="0"/>
              <w:topLinePunct/>
              <w:bidi w:val="0"/>
              <w:spacing w:before="78" w:line="360" w:lineRule="auto"/>
              <w:ind w:left="702"/>
              <w:rPr>
                <w:highlight w:val="none"/>
              </w:rPr>
            </w:pPr>
            <w:r>
              <w:rPr>
                <w:spacing w:val="-9"/>
                <w:highlight w:val="none"/>
              </w:rPr>
              <w:t>年</w:t>
            </w:r>
            <w:r>
              <w:rPr>
                <w:spacing w:val="15"/>
                <w:highlight w:val="none"/>
              </w:rPr>
              <w:t xml:space="preserve"> </w:t>
            </w:r>
            <w:r>
              <w:rPr>
                <w:spacing w:val="-9"/>
                <w:highlight w:val="none"/>
              </w:rPr>
              <w:t>月</w:t>
            </w:r>
            <w:r>
              <w:rPr>
                <w:spacing w:val="51"/>
                <w:highlight w:val="none"/>
              </w:rPr>
              <w:t xml:space="preserve"> </w:t>
            </w:r>
            <w:r>
              <w:rPr>
                <w:spacing w:val="-9"/>
                <w:highlight w:val="none"/>
              </w:rPr>
              <w:t>日</w:t>
            </w:r>
          </w:p>
        </w:tc>
      </w:tr>
      <w:tr w14:paraId="69388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865" w:type="pct"/>
            <w:vAlign w:val="top"/>
          </w:tcPr>
          <w:p w14:paraId="64E22677">
            <w:pPr>
              <w:keepNext w:val="0"/>
              <w:keepLines w:val="0"/>
              <w:pageBreakBefore w:val="0"/>
              <w:kinsoku/>
              <w:wordWrap/>
              <w:overflowPunct w:val="0"/>
              <w:topLinePunct/>
              <w:bidi w:val="0"/>
              <w:spacing w:line="360" w:lineRule="auto"/>
              <w:rPr>
                <w:rFonts w:ascii="Arial"/>
                <w:sz w:val="21"/>
                <w:highlight w:val="none"/>
              </w:rPr>
            </w:pPr>
          </w:p>
          <w:p w14:paraId="6A87B63E">
            <w:pPr>
              <w:pStyle w:val="12"/>
              <w:keepNext w:val="0"/>
              <w:keepLines w:val="0"/>
              <w:pageBreakBefore w:val="0"/>
              <w:kinsoku/>
              <w:wordWrap/>
              <w:overflowPunct w:val="0"/>
              <w:topLinePunct/>
              <w:bidi w:val="0"/>
              <w:spacing w:before="78" w:line="360" w:lineRule="auto"/>
              <w:ind w:left="297"/>
              <w:rPr>
                <w:highlight w:val="none"/>
              </w:rPr>
            </w:pPr>
            <w:r>
              <w:rPr>
                <w:spacing w:val="-4"/>
                <w:highlight w:val="none"/>
              </w:rPr>
              <w:t>毕业院校</w:t>
            </w:r>
          </w:p>
        </w:tc>
        <w:tc>
          <w:tcPr>
            <w:tcW w:w="1842" w:type="pct"/>
            <w:gridSpan w:val="4"/>
            <w:vAlign w:val="top"/>
          </w:tcPr>
          <w:p w14:paraId="08D23AFE">
            <w:pPr>
              <w:keepNext w:val="0"/>
              <w:keepLines w:val="0"/>
              <w:pageBreakBefore w:val="0"/>
              <w:kinsoku/>
              <w:wordWrap/>
              <w:overflowPunct w:val="0"/>
              <w:topLinePunct/>
              <w:bidi w:val="0"/>
              <w:spacing w:line="360" w:lineRule="auto"/>
              <w:rPr>
                <w:rFonts w:ascii="Arial"/>
                <w:sz w:val="21"/>
                <w:highlight w:val="none"/>
              </w:rPr>
            </w:pPr>
          </w:p>
        </w:tc>
        <w:tc>
          <w:tcPr>
            <w:tcW w:w="960" w:type="pct"/>
            <w:gridSpan w:val="2"/>
            <w:vAlign w:val="top"/>
          </w:tcPr>
          <w:p w14:paraId="5DF175C1">
            <w:pPr>
              <w:keepNext w:val="0"/>
              <w:keepLines w:val="0"/>
              <w:pageBreakBefore w:val="0"/>
              <w:kinsoku/>
              <w:wordWrap/>
              <w:overflowPunct w:val="0"/>
              <w:topLinePunct/>
              <w:bidi w:val="0"/>
              <w:spacing w:line="360" w:lineRule="auto"/>
              <w:rPr>
                <w:rFonts w:ascii="Arial"/>
                <w:sz w:val="21"/>
                <w:highlight w:val="none"/>
              </w:rPr>
            </w:pPr>
          </w:p>
          <w:p w14:paraId="799F36E0">
            <w:pPr>
              <w:pStyle w:val="12"/>
              <w:keepNext w:val="0"/>
              <w:keepLines w:val="0"/>
              <w:pageBreakBefore w:val="0"/>
              <w:kinsoku/>
              <w:wordWrap/>
              <w:overflowPunct w:val="0"/>
              <w:topLinePunct/>
              <w:bidi w:val="0"/>
              <w:spacing w:before="78" w:line="360" w:lineRule="auto"/>
              <w:ind w:left="617"/>
              <w:rPr>
                <w:highlight w:val="none"/>
              </w:rPr>
            </w:pPr>
            <w:r>
              <w:rPr>
                <w:spacing w:val="-6"/>
                <w:highlight w:val="none"/>
              </w:rPr>
              <w:t>专业</w:t>
            </w:r>
          </w:p>
        </w:tc>
        <w:tc>
          <w:tcPr>
            <w:tcW w:w="1332" w:type="pct"/>
            <w:gridSpan w:val="2"/>
            <w:vAlign w:val="top"/>
          </w:tcPr>
          <w:p w14:paraId="13E9C70A">
            <w:pPr>
              <w:keepNext w:val="0"/>
              <w:keepLines w:val="0"/>
              <w:pageBreakBefore w:val="0"/>
              <w:kinsoku/>
              <w:wordWrap/>
              <w:overflowPunct w:val="0"/>
              <w:topLinePunct/>
              <w:bidi w:val="0"/>
              <w:spacing w:line="360" w:lineRule="auto"/>
              <w:rPr>
                <w:rFonts w:ascii="Arial"/>
                <w:sz w:val="21"/>
                <w:highlight w:val="none"/>
              </w:rPr>
            </w:pPr>
          </w:p>
        </w:tc>
      </w:tr>
      <w:tr w14:paraId="3321F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trPr>
        <w:tc>
          <w:tcPr>
            <w:tcW w:w="865" w:type="pct"/>
            <w:vAlign w:val="top"/>
          </w:tcPr>
          <w:p w14:paraId="04FA86D5">
            <w:pPr>
              <w:keepNext w:val="0"/>
              <w:keepLines w:val="0"/>
              <w:pageBreakBefore w:val="0"/>
              <w:kinsoku/>
              <w:wordWrap/>
              <w:overflowPunct w:val="0"/>
              <w:topLinePunct/>
              <w:bidi w:val="0"/>
              <w:spacing w:line="360" w:lineRule="auto"/>
              <w:rPr>
                <w:rFonts w:ascii="Arial"/>
                <w:sz w:val="21"/>
                <w:highlight w:val="none"/>
              </w:rPr>
            </w:pPr>
          </w:p>
          <w:p w14:paraId="4684E8BA">
            <w:pPr>
              <w:pStyle w:val="12"/>
              <w:keepNext w:val="0"/>
              <w:keepLines w:val="0"/>
              <w:pageBreakBefore w:val="0"/>
              <w:kinsoku/>
              <w:wordWrap/>
              <w:overflowPunct w:val="0"/>
              <w:topLinePunct/>
              <w:bidi w:val="0"/>
              <w:spacing w:before="78" w:line="360" w:lineRule="auto"/>
              <w:ind w:left="297"/>
              <w:rPr>
                <w:highlight w:val="none"/>
              </w:rPr>
            </w:pPr>
            <w:r>
              <w:rPr>
                <w:spacing w:val="-4"/>
                <w:highlight w:val="none"/>
              </w:rPr>
              <w:t>学历学位</w:t>
            </w:r>
          </w:p>
        </w:tc>
        <w:tc>
          <w:tcPr>
            <w:tcW w:w="1842" w:type="pct"/>
            <w:gridSpan w:val="4"/>
            <w:vAlign w:val="top"/>
          </w:tcPr>
          <w:p w14:paraId="54729EA1">
            <w:pPr>
              <w:keepNext w:val="0"/>
              <w:keepLines w:val="0"/>
              <w:pageBreakBefore w:val="0"/>
              <w:kinsoku/>
              <w:wordWrap/>
              <w:overflowPunct w:val="0"/>
              <w:topLinePunct/>
              <w:bidi w:val="0"/>
              <w:spacing w:line="360" w:lineRule="auto"/>
              <w:rPr>
                <w:rFonts w:ascii="Arial"/>
                <w:sz w:val="21"/>
                <w:highlight w:val="none"/>
              </w:rPr>
            </w:pPr>
          </w:p>
        </w:tc>
        <w:tc>
          <w:tcPr>
            <w:tcW w:w="960" w:type="pct"/>
            <w:gridSpan w:val="2"/>
            <w:vAlign w:val="top"/>
          </w:tcPr>
          <w:p w14:paraId="6D5291CB">
            <w:pPr>
              <w:keepNext w:val="0"/>
              <w:keepLines w:val="0"/>
              <w:pageBreakBefore w:val="0"/>
              <w:kinsoku/>
              <w:wordWrap/>
              <w:overflowPunct w:val="0"/>
              <w:topLinePunct/>
              <w:bidi w:val="0"/>
              <w:spacing w:line="360" w:lineRule="auto"/>
              <w:rPr>
                <w:rFonts w:ascii="Arial"/>
                <w:sz w:val="21"/>
                <w:highlight w:val="none"/>
              </w:rPr>
            </w:pPr>
          </w:p>
          <w:p w14:paraId="6DDA71BC">
            <w:pPr>
              <w:pStyle w:val="12"/>
              <w:keepNext w:val="0"/>
              <w:keepLines w:val="0"/>
              <w:pageBreakBefore w:val="0"/>
              <w:kinsoku/>
              <w:wordWrap/>
              <w:overflowPunct w:val="0"/>
              <w:topLinePunct/>
              <w:bidi w:val="0"/>
              <w:spacing w:before="78" w:line="360" w:lineRule="auto"/>
              <w:ind w:left="617"/>
              <w:rPr>
                <w:highlight w:val="none"/>
              </w:rPr>
            </w:pPr>
            <w:r>
              <w:rPr>
                <w:spacing w:val="-6"/>
                <w:highlight w:val="none"/>
              </w:rPr>
              <w:t>职称</w:t>
            </w:r>
          </w:p>
        </w:tc>
        <w:tc>
          <w:tcPr>
            <w:tcW w:w="1332" w:type="pct"/>
            <w:gridSpan w:val="2"/>
            <w:vAlign w:val="top"/>
          </w:tcPr>
          <w:p w14:paraId="06617D44">
            <w:pPr>
              <w:keepNext w:val="0"/>
              <w:keepLines w:val="0"/>
              <w:pageBreakBefore w:val="0"/>
              <w:kinsoku/>
              <w:wordWrap/>
              <w:overflowPunct w:val="0"/>
              <w:topLinePunct/>
              <w:bidi w:val="0"/>
              <w:spacing w:line="360" w:lineRule="auto"/>
              <w:rPr>
                <w:rFonts w:ascii="Arial"/>
                <w:sz w:val="21"/>
                <w:highlight w:val="none"/>
              </w:rPr>
            </w:pPr>
          </w:p>
        </w:tc>
      </w:tr>
      <w:tr w14:paraId="5C340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trPr>
        <w:tc>
          <w:tcPr>
            <w:tcW w:w="865" w:type="pct"/>
            <w:vAlign w:val="top"/>
          </w:tcPr>
          <w:p w14:paraId="7F0FBD50">
            <w:pPr>
              <w:pStyle w:val="12"/>
              <w:keepNext w:val="0"/>
              <w:keepLines w:val="0"/>
              <w:pageBreakBefore w:val="0"/>
              <w:kinsoku/>
              <w:wordWrap/>
              <w:overflowPunct w:val="0"/>
              <w:topLinePunct/>
              <w:bidi w:val="0"/>
              <w:spacing w:before="146" w:line="360" w:lineRule="auto"/>
              <w:ind w:left="292" w:right="222" w:hanging="60"/>
              <w:rPr>
                <w:highlight w:val="none"/>
              </w:rPr>
            </w:pPr>
            <w:r>
              <w:rPr>
                <w:spacing w:val="-2"/>
                <w:highlight w:val="none"/>
              </w:rPr>
              <w:t>执业资格/</w:t>
            </w:r>
            <w:r>
              <w:rPr>
                <w:highlight w:val="none"/>
              </w:rPr>
              <w:t xml:space="preserve"> </w:t>
            </w:r>
            <w:r>
              <w:rPr>
                <w:spacing w:val="-3"/>
                <w:highlight w:val="none"/>
              </w:rPr>
              <w:t>专业证书</w:t>
            </w:r>
          </w:p>
        </w:tc>
        <w:tc>
          <w:tcPr>
            <w:tcW w:w="1842" w:type="pct"/>
            <w:gridSpan w:val="4"/>
            <w:vAlign w:val="top"/>
          </w:tcPr>
          <w:p w14:paraId="1F5D28CF">
            <w:pPr>
              <w:keepNext w:val="0"/>
              <w:keepLines w:val="0"/>
              <w:pageBreakBefore w:val="0"/>
              <w:kinsoku/>
              <w:wordWrap/>
              <w:overflowPunct w:val="0"/>
              <w:topLinePunct/>
              <w:bidi w:val="0"/>
              <w:spacing w:line="360" w:lineRule="auto"/>
              <w:rPr>
                <w:rFonts w:ascii="Arial"/>
                <w:sz w:val="21"/>
                <w:highlight w:val="none"/>
              </w:rPr>
            </w:pPr>
          </w:p>
        </w:tc>
        <w:tc>
          <w:tcPr>
            <w:tcW w:w="960" w:type="pct"/>
            <w:gridSpan w:val="2"/>
            <w:vAlign w:val="top"/>
          </w:tcPr>
          <w:p w14:paraId="62FFEC33">
            <w:pPr>
              <w:pStyle w:val="12"/>
              <w:keepNext w:val="0"/>
              <w:keepLines w:val="0"/>
              <w:pageBreakBefore w:val="0"/>
              <w:kinsoku/>
              <w:wordWrap/>
              <w:overflowPunct w:val="0"/>
              <w:topLinePunct/>
              <w:bidi w:val="0"/>
              <w:spacing w:before="146" w:line="360" w:lineRule="auto"/>
              <w:ind w:left="379" w:right="128" w:hanging="240"/>
              <w:rPr>
                <w:highlight w:val="none"/>
              </w:rPr>
            </w:pPr>
            <w:r>
              <w:rPr>
                <w:spacing w:val="-3"/>
                <w:highlight w:val="none"/>
              </w:rPr>
              <w:t>从事招标采购</w:t>
            </w:r>
            <w:r>
              <w:rPr>
                <w:spacing w:val="4"/>
                <w:highlight w:val="none"/>
              </w:rPr>
              <w:t xml:space="preserve"> </w:t>
            </w:r>
            <w:r>
              <w:rPr>
                <w:spacing w:val="-4"/>
                <w:highlight w:val="none"/>
              </w:rPr>
              <w:t>工作年限</w:t>
            </w:r>
          </w:p>
        </w:tc>
        <w:tc>
          <w:tcPr>
            <w:tcW w:w="1332" w:type="pct"/>
            <w:gridSpan w:val="2"/>
            <w:vAlign w:val="top"/>
          </w:tcPr>
          <w:p w14:paraId="0B6E5041">
            <w:pPr>
              <w:keepNext w:val="0"/>
              <w:keepLines w:val="0"/>
              <w:pageBreakBefore w:val="0"/>
              <w:kinsoku/>
              <w:wordWrap/>
              <w:overflowPunct w:val="0"/>
              <w:topLinePunct/>
              <w:bidi w:val="0"/>
              <w:spacing w:line="360" w:lineRule="auto"/>
              <w:rPr>
                <w:rFonts w:ascii="Arial"/>
                <w:sz w:val="21"/>
                <w:highlight w:val="none"/>
              </w:rPr>
            </w:pPr>
          </w:p>
        </w:tc>
      </w:tr>
      <w:tr w14:paraId="7C83D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5000" w:type="pct"/>
            <w:gridSpan w:val="9"/>
            <w:vAlign w:val="top"/>
          </w:tcPr>
          <w:p w14:paraId="4321631F">
            <w:pPr>
              <w:keepNext w:val="0"/>
              <w:keepLines w:val="0"/>
              <w:pageBreakBefore w:val="0"/>
              <w:kinsoku/>
              <w:wordWrap/>
              <w:overflowPunct w:val="0"/>
              <w:topLinePunct/>
              <w:bidi w:val="0"/>
              <w:spacing w:line="360" w:lineRule="auto"/>
              <w:rPr>
                <w:rFonts w:ascii="Arial"/>
                <w:sz w:val="21"/>
                <w:highlight w:val="none"/>
              </w:rPr>
            </w:pPr>
          </w:p>
          <w:p w14:paraId="67BB91BD">
            <w:pPr>
              <w:pStyle w:val="12"/>
              <w:keepNext w:val="0"/>
              <w:keepLines w:val="0"/>
              <w:pageBreakBefore w:val="0"/>
              <w:kinsoku/>
              <w:wordWrap/>
              <w:overflowPunct w:val="0"/>
              <w:topLinePunct/>
              <w:bidi w:val="0"/>
              <w:spacing w:before="78" w:line="360" w:lineRule="auto"/>
              <w:ind w:left="3944"/>
              <w:rPr>
                <w:highlight w:val="none"/>
              </w:rPr>
            </w:pPr>
            <w:r>
              <w:rPr>
                <w:spacing w:val="-3"/>
                <w:highlight w:val="none"/>
              </w:rPr>
              <w:t>业绩情况</w:t>
            </w:r>
          </w:p>
        </w:tc>
      </w:tr>
      <w:tr w14:paraId="30459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7" w:hRule="atLeast"/>
        </w:trPr>
        <w:tc>
          <w:tcPr>
            <w:tcW w:w="865" w:type="pct"/>
            <w:vAlign w:val="top"/>
          </w:tcPr>
          <w:p w14:paraId="43247B4E">
            <w:pPr>
              <w:pStyle w:val="12"/>
              <w:keepNext w:val="0"/>
              <w:keepLines w:val="0"/>
              <w:pageBreakBefore w:val="0"/>
              <w:kinsoku/>
              <w:wordWrap/>
              <w:overflowPunct w:val="0"/>
              <w:topLinePunct/>
              <w:bidi w:val="0"/>
              <w:spacing w:before="271" w:line="360" w:lineRule="auto"/>
              <w:ind w:left="183" w:right="182" w:firstLine="229"/>
              <w:rPr>
                <w:highlight w:val="none"/>
              </w:rPr>
            </w:pPr>
            <w:r>
              <w:rPr>
                <w:spacing w:val="-10"/>
                <w:highlight w:val="none"/>
              </w:rPr>
              <w:t>年度</w:t>
            </w:r>
          </w:p>
        </w:tc>
        <w:tc>
          <w:tcPr>
            <w:tcW w:w="786" w:type="pct"/>
            <w:vAlign w:val="top"/>
          </w:tcPr>
          <w:p w14:paraId="5AB65F5B">
            <w:pPr>
              <w:keepNext w:val="0"/>
              <w:keepLines w:val="0"/>
              <w:pageBreakBefore w:val="0"/>
              <w:kinsoku/>
              <w:wordWrap/>
              <w:overflowPunct w:val="0"/>
              <w:topLinePunct/>
              <w:bidi w:val="0"/>
              <w:spacing w:line="360" w:lineRule="auto"/>
              <w:rPr>
                <w:rFonts w:ascii="Arial"/>
                <w:sz w:val="21"/>
                <w:highlight w:val="none"/>
              </w:rPr>
            </w:pPr>
          </w:p>
          <w:p w14:paraId="14B60B3A">
            <w:pPr>
              <w:pStyle w:val="12"/>
              <w:keepNext w:val="0"/>
              <w:keepLines w:val="0"/>
              <w:pageBreakBefore w:val="0"/>
              <w:kinsoku/>
              <w:wordWrap/>
              <w:overflowPunct w:val="0"/>
              <w:topLinePunct/>
              <w:bidi w:val="0"/>
              <w:spacing w:before="78" w:line="360" w:lineRule="auto"/>
              <w:ind w:left="340"/>
              <w:rPr>
                <w:rFonts w:hint="eastAsia" w:eastAsia="宋体"/>
                <w:highlight w:val="none"/>
                <w:lang w:eastAsia="zh-CN"/>
              </w:rPr>
            </w:pPr>
            <w:r>
              <w:rPr>
                <w:rFonts w:hint="eastAsia"/>
                <w:spacing w:val="-3"/>
                <w:highlight w:val="none"/>
                <w:lang w:eastAsia="zh-CN"/>
              </w:rPr>
              <w:t>遴选人</w:t>
            </w:r>
          </w:p>
        </w:tc>
        <w:tc>
          <w:tcPr>
            <w:tcW w:w="735" w:type="pct"/>
            <w:gridSpan w:val="2"/>
            <w:vAlign w:val="top"/>
          </w:tcPr>
          <w:p w14:paraId="1F19B87F">
            <w:pPr>
              <w:keepNext w:val="0"/>
              <w:keepLines w:val="0"/>
              <w:pageBreakBefore w:val="0"/>
              <w:kinsoku/>
              <w:wordWrap/>
              <w:overflowPunct w:val="0"/>
              <w:topLinePunct/>
              <w:bidi w:val="0"/>
              <w:spacing w:line="360" w:lineRule="auto"/>
              <w:rPr>
                <w:rFonts w:ascii="Arial"/>
                <w:sz w:val="21"/>
                <w:highlight w:val="none"/>
              </w:rPr>
            </w:pPr>
          </w:p>
          <w:p w14:paraId="25737903">
            <w:pPr>
              <w:pStyle w:val="12"/>
              <w:keepNext w:val="0"/>
              <w:keepLines w:val="0"/>
              <w:pageBreakBefore w:val="0"/>
              <w:kinsoku/>
              <w:wordWrap/>
              <w:overflowPunct w:val="0"/>
              <w:topLinePunct/>
              <w:bidi w:val="0"/>
              <w:spacing w:before="78" w:line="360" w:lineRule="auto"/>
              <w:ind w:left="180"/>
              <w:rPr>
                <w:highlight w:val="none"/>
              </w:rPr>
            </w:pPr>
            <w:r>
              <w:rPr>
                <w:spacing w:val="-4"/>
                <w:highlight w:val="none"/>
              </w:rPr>
              <w:t>项目名称</w:t>
            </w:r>
          </w:p>
        </w:tc>
        <w:tc>
          <w:tcPr>
            <w:tcW w:w="698" w:type="pct"/>
            <w:gridSpan w:val="2"/>
            <w:vAlign w:val="top"/>
          </w:tcPr>
          <w:p w14:paraId="116A8058">
            <w:pPr>
              <w:keepNext w:val="0"/>
              <w:keepLines w:val="0"/>
              <w:pageBreakBefore w:val="0"/>
              <w:kinsoku/>
              <w:wordWrap/>
              <w:overflowPunct w:val="0"/>
              <w:topLinePunct/>
              <w:bidi w:val="0"/>
              <w:spacing w:line="360" w:lineRule="auto"/>
              <w:rPr>
                <w:rFonts w:ascii="Arial"/>
                <w:sz w:val="21"/>
                <w:highlight w:val="none"/>
              </w:rPr>
            </w:pPr>
          </w:p>
          <w:p w14:paraId="7C6CC525">
            <w:pPr>
              <w:pStyle w:val="12"/>
              <w:keepNext w:val="0"/>
              <w:keepLines w:val="0"/>
              <w:pageBreakBefore w:val="0"/>
              <w:kinsoku/>
              <w:wordWrap/>
              <w:overflowPunct w:val="0"/>
              <w:topLinePunct/>
              <w:bidi w:val="0"/>
              <w:spacing w:before="78" w:line="360" w:lineRule="auto"/>
              <w:ind w:left="148"/>
              <w:rPr>
                <w:highlight w:val="none"/>
              </w:rPr>
            </w:pPr>
            <w:r>
              <w:rPr>
                <w:spacing w:val="-4"/>
                <w:highlight w:val="none"/>
              </w:rPr>
              <w:t>项目编号</w:t>
            </w:r>
          </w:p>
        </w:tc>
        <w:tc>
          <w:tcPr>
            <w:tcW w:w="1144" w:type="pct"/>
            <w:gridSpan w:val="2"/>
            <w:vAlign w:val="top"/>
          </w:tcPr>
          <w:p w14:paraId="1CF78565">
            <w:pPr>
              <w:keepNext w:val="0"/>
              <w:keepLines w:val="0"/>
              <w:pageBreakBefore w:val="0"/>
              <w:kinsoku/>
              <w:wordWrap/>
              <w:overflowPunct w:val="0"/>
              <w:topLinePunct/>
              <w:bidi w:val="0"/>
              <w:spacing w:line="360" w:lineRule="auto"/>
              <w:rPr>
                <w:rFonts w:ascii="Arial"/>
                <w:sz w:val="21"/>
                <w:highlight w:val="none"/>
              </w:rPr>
            </w:pPr>
          </w:p>
          <w:p w14:paraId="6E11A9E4">
            <w:pPr>
              <w:pStyle w:val="12"/>
              <w:keepNext w:val="0"/>
              <w:keepLines w:val="0"/>
              <w:pageBreakBefore w:val="0"/>
              <w:kinsoku/>
              <w:wordWrap/>
              <w:overflowPunct w:val="0"/>
              <w:topLinePunct/>
              <w:bidi w:val="0"/>
              <w:spacing w:before="78" w:line="360" w:lineRule="auto"/>
              <w:ind w:left="563"/>
              <w:rPr>
                <w:highlight w:val="none"/>
              </w:rPr>
            </w:pPr>
            <w:r>
              <w:rPr>
                <w:spacing w:val="-8"/>
                <w:highlight w:val="none"/>
              </w:rPr>
              <w:t>中标金额</w:t>
            </w:r>
          </w:p>
        </w:tc>
        <w:tc>
          <w:tcPr>
            <w:tcW w:w="769" w:type="pct"/>
            <w:vAlign w:val="top"/>
          </w:tcPr>
          <w:p w14:paraId="70DB9527">
            <w:pPr>
              <w:pStyle w:val="12"/>
              <w:keepNext w:val="0"/>
              <w:keepLines w:val="0"/>
              <w:pageBreakBefore w:val="0"/>
              <w:kinsoku/>
              <w:wordWrap/>
              <w:overflowPunct w:val="0"/>
              <w:topLinePunct/>
              <w:bidi w:val="0"/>
              <w:spacing w:before="271" w:line="360" w:lineRule="auto"/>
              <w:ind w:left="336" w:right="196" w:hanging="125"/>
              <w:rPr>
                <w:highlight w:val="none"/>
              </w:rPr>
            </w:pPr>
            <w:r>
              <w:rPr>
                <w:spacing w:val="-4"/>
                <w:highlight w:val="none"/>
              </w:rPr>
              <w:t>是否项目</w:t>
            </w:r>
            <w:r>
              <w:rPr>
                <w:spacing w:val="-7"/>
                <w:highlight w:val="none"/>
              </w:rPr>
              <w:t>负责人</w:t>
            </w:r>
          </w:p>
        </w:tc>
      </w:tr>
      <w:tr w14:paraId="6F9A2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865" w:type="pct"/>
            <w:vAlign w:val="top"/>
          </w:tcPr>
          <w:p w14:paraId="5795E99A">
            <w:pPr>
              <w:keepNext w:val="0"/>
              <w:keepLines w:val="0"/>
              <w:pageBreakBefore w:val="0"/>
              <w:kinsoku/>
              <w:wordWrap/>
              <w:overflowPunct w:val="0"/>
              <w:topLinePunct/>
              <w:bidi w:val="0"/>
              <w:spacing w:line="360" w:lineRule="auto"/>
              <w:rPr>
                <w:rFonts w:ascii="Arial"/>
                <w:sz w:val="21"/>
                <w:highlight w:val="none"/>
              </w:rPr>
            </w:pPr>
          </w:p>
        </w:tc>
        <w:tc>
          <w:tcPr>
            <w:tcW w:w="786" w:type="pct"/>
            <w:vAlign w:val="top"/>
          </w:tcPr>
          <w:p w14:paraId="6E37C231">
            <w:pPr>
              <w:keepNext w:val="0"/>
              <w:keepLines w:val="0"/>
              <w:pageBreakBefore w:val="0"/>
              <w:kinsoku/>
              <w:wordWrap/>
              <w:overflowPunct w:val="0"/>
              <w:topLinePunct/>
              <w:bidi w:val="0"/>
              <w:spacing w:line="360" w:lineRule="auto"/>
              <w:rPr>
                <w:rFonts w:ascii="Arial"/>
                <w:sz w:val="21"/>
                <w:highlight w:val="none"/>
              </w:rPr>
            </w:pPr>
          </w:p>
        </w:tc>
        <w:tc>
          <w:tcPr>
            <w:tcW w:w="735" w:type="pct"/>
            <w:gridSpan w:val="2"/>
            <w:vAlign w:val="top"/>
          </w:tcPr>
          <w:p w14:paraId="7F1A19A4">
            <w:pPr>
              <w:keepNext w:val="0"/>
              <w:keepLines w:val="0"/>
              <w:pageBreakBefore w:val="0"/>
              <w:kinsoku/>
              <w:wordWrap/>
              <w:overflowPunct w:val="0"/>
              <w:topLinePunct/>
              <w:bidi w:val="0"/>
              <w:spacing w:line="360" w:lineRule="auto"/>
              <w:rPr>
                <w:rFonts w:ascii="Arial"/>
                <w:sz w:val="21"/>
                <w:highlight w:val="none"/>
              </w:rPr>
            </w:pPr>
          </w:p>
        </w:tc>
        <w:tc>
          <w:tcPr>
            <w:tcW w:w="698" w:type="pct"/>
            <w:gridSpan w:val="2"/>
            <w:vAlign w:val="top"/>
          </w:tcPr>
          <w:p w14:paraId="3E12A8C8">
            <w:pPr>
              <w:keepNext w:val="0"/>
              <w:keepLines w:val="0"/>
              <w:pageBreakBefore w:val="0"/>
              <w:kinsoku/>
              <w:wordWrap/>
              <w:overflowPunct w:val="0"/>
              <w:topLinePunct/>
              <w:bidi w:val="0"/>
              <w:spacing w:line="360" w:lineRule="auto"/>
              <w:rPr>
                <w:rFonts w:ascii="Arial"/>
                <w:sz w:val="21"/>
                <w:highlight w:val="none"/>
              </w:rPr>
            </w:pPr>
          </w:p>
        </w:tc>
        <w:tc>
          <w:tcPr>
            <w:tcW w:w="1144" w:type="pct"/>
            <w:gridSpan w:val="2"/>
            <w:vAlign w:val="top"/>
          </w:tcPr>
          <w:p w14:paraId="43103475">
            <w:pPr>
              <w:keepNext w:val="0"/>
              <w:keepLines w:val="0"/>
              <w:pageBreakBefore w:val="0"/>
              <w:kinsoku/>
              <w:wordWrap/>
              <w:overflowPunct w:val="0"/>
              <w:topLinePunct/>
              <w:bidi w:val="0"/>
              <w:spacing w:line="360" w:lineRule="auto"/>
              <w:rPr>
                <w:rFonts w:ascii="Arial"/>
                <w:sz w:val="21"/>
                <w:highlight w:val="none"/>
              </w:rPr>
            </w:pPr>
          </w:p>
        </w:tc>
        <w:tc>
          <w:tcPr>
            <w:tcW w:w="769" w:type="pct"/>
            <w:vAlign w:val="top"/>
          </w:tcPr>
          <w:p w14:paraId="3BB2CD80">
            <w:pPr>
              <w:keepNext w:val="0"/>
              <w:keepLines w:val="0"/>
              <w:pageBreakBefore w:val="0"/>
              <w:kinsoku/>
              <w:wordWrap/>
              <w:overflowPunct w:val="0"/>
              <w:topLinePunct/>
              <w:bidi w:val="0"/>
              <w:spacing w:line="360" w:lineRule="auto"/>
              <w:rPr>
                <w:rFonts w:ascii="Arial"/>
                <w:sz w:val="21"/>
                <w:highlight w:val="none"/>
              </w:rPr>
            </w:pPr>
          </w:p>
        </w:tc>
      </w:tr>
      <w:tr w14:paraId="6C00E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865" w:type="pct"/>
            <w:vAlign w:val="top"/>
          </w:tcPr>
          <w:p w14:paraId="636D3262">
            <w:pPr>
              <w:keepNext w:val="0"/>
              <w:keepLines w:val="0"/>
              <w:pageBreakBefore w:val="0"/>
              <w:kinsoku/>
              <w:wordWrap/>
              <w:overflowPunct w:val="0"/>
              <w:topLinePunct/>
              <w:bidi w:val="0"/>
              <w:spacing w:line="360" w:lineRule="auto"/>
              <w:rPr>
                <w:rFonts w:ascii="Arial"/>
                <w:sz w:val="21"/>
                <w:highlight w:val="none"/>
              </w:rPr>
            </w:pPr>
          </w:p>
        </w:tc>
        <w:tc>
          <w:tcPr>
            <w:tcW w:w="786" w:type="pct"/>
            <w:vAlign w:val="top"/>
          </w:tcPr>
          <w:p w14:paraId="16F7309B">
            <w:pPr>
              <w:keepNext w:val="0"/>
              <w:keepLines w:val="0"/>
              <w:pageBreakBefore w:val="0"/>
              <w:kinsoku/>
              <w:wordWrap/>
              <w:overflowPunct w:val="0"/>
              <w:topLinePunct/>
              <w:bidi w:val="0"/>
              <w:spacing w:line="360" w:lineRule="auto"/>
              <w:rPr>
                <w:rFonts w:ascii="Arial"/>
                <w:sz w:val="21"/>
                <w:highlight w:val="none"/>
              </w:rPr>
            </w:pPr>
          </w:p>
        </w:tc>
        <w:tc>
          <w:tcPr>
            <w:tcW w:w="735" w:type="pct"/>
            <w:gridSpan w:val="2"/>
            <w:vAlign w:val="top"/>
          </w:tcPr>
          <w:p w14:paraId="06C8B913">
            <w:pPr>
              <w:keepNext w:val="0"/>
              <w:keepLines w:val="0"/>
              <w:pageBreakBefore w:val="0"/>
              <w:kinsoku/>
              <w:wordWrap/>
              <w:overflowPunct w:val="0"/>
              <w:topLinePunct/>
              <w:bidi w:val="0"/>
              <w:spacing w:line="360" w:lineRule="auto"/>
              <w:rPr>
                <w:rFonts w:ascii="Arial"/>
                <w:sz w:val="21"/>
                <w:highlight w:val="none"/>
              </w:rPr>
            </w:pPr>
          </w:p>
        </w:tc>
        <w:tc>
          <w:tcPr>
            <w:tcW w:w="698" w:type="pct"/>
            <w:gridSpan w:val="2"/>
            <w:vAlign w:val="top"/>
          </w:tcPr>
          <w:p w14:paraId="7BEC017F">
            <w:pPr>
              <w:keepNext w:val="0"/>
              <w:keepLines w:val="0"/>
              <w:pageBreakBefore w:val="0"/>
              <w:kinsoku/>
              <w:wordWrap/>
              <w:overflowPunct w:val="0"/>
              <w:topLinePunct/>
              <w:bidi w:val="0"/>
              <w:spacing w:line="360" w:lineRule="auto"/>
              <w:rPr>
                <w:rFonts w:ascii="Arial"/>
                <w:sz w:val="21"/>
                <w:highlight w:val="none"/>
              </w:rPr>
            </w:pPr>
          </w:p>
        </w:tc>
        <w:tc>
          <w:tcPr>
            <w:tcW w:w="1144" w:type="pct"/>
            <w:gridSpan w:val="2"/>
            <w:vAlign w:val="top"/>
          </w:tcPr>
          <w:p w14:paraId="28C1E800">
            <w:pPr>
              <w:keepNext w:val="0"/>
              <w:keepLines w:val="0"/>
              <w:pageBreakBefore w:val="0"/>
              <w:kinsoku/>
              <w:wordWrap/>
              <w:overflowPunct w:val="0"/>
              <w:topLinePunct/>
              <w:bidi w:val="0"/>
              <w:spacing w:line="360" w:lineRule="auto"/>
              <w:rPr>
                <w:rFonts w:ascii="Arial"/>
                <w:sz w:val="21"/>
                <w:highlight w:val="none"/>
              </w:rPr>
            </w:pPr>
          </w:p>
        </w:tc>
        <w:tc>
          <w:tcPr>
            <w:tcW w:w="769" w:type="pct"/>
            <w:vAlign w:val="top"/>
          </w:tcPr>
          <w:p w14:paraId="588FD53D">
            <w:pPr>
              <w:keepNext w:val="0"/>
              <w:keepLines w:val="0"/>
              <w:pageBreakBefore w:val="0"/>
              <w:kinsoku/>
              <w:wordWrap/>
              <w:overflowPunct w:val="0"/>
              <w:topLinePunct/>
              <w:bidi w:val="0"/>
              <w:spacing w:line="360" w:lineRule="auto"/>
              <w:rPr>
                <w:rFonts w:ascii="Arial"/>
                <w:sz w:val="21"/>
                <w:highlight w:val="none"/>
              </w:rPr>
            </w:pPr>
          </w:p>
        </w:tc>
      </w:tr>
      <w:tr w14:paraId="0D648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65" w:type="pct"/>
            <w:vAlign w:val="top"/>
          </w:tcPr>
          <w:p w14:paraId="0A1E9011">
            <w:pPr>
              <w:keepNext w:val="0"/>
              <w:keepLines w:val="0"/>
              <w:pageBreakBefore w:val="0"/>
              <w:kinsoku/>
              <w:wordWrap/>
              <w:overflowPunct w:val="0"/>
              <w:topLinePunct/>
              <w:bidi w:val="0"/>
              <w:spacing w:line="360" w:lineRule="auto"/>
              <w:rPr>
                <w:rFonts w:ascii="Arial"/>
                <w:sz w:val="21"/>
                <w:highlight w:val="none"/>
              </w:rPr>
            </w:pPr>
          </w:p>
        </w:tc>
        <w:tc>
          <w:tcPr>
            <w:tcW w:w="786" w:type="pct"/>
            <w:vAlign w:val="top"/>
          </w:tcPr>
          <w:p w14:paraId="2C2D48D3">
            <w:pPr>
              <w:keepNext w:val="0"/>
              <w:keepLines w:val="0"/>
              <w:pageBreakBefore w:val="0"/>
              <w:kinsoku/>
              <w:wordWrap/>
              <w:overflowPunct w:val="0"/>
              <w:topLinePunct/>
              <w:bidi w:val="0"/>
              <w:spacing w:line="360" w:lineRule="auto"/>
              <w:rPr>
                <w:rFonts w:ascii="Arial"/>
                <w:sz w:val="21"/>
                <w:highlight w:val="none"/>
              </w:rPr>
            </w:pPr>
          </w:p>
        </w:tc>
        <w:tc>
          <w:tcPr>
            <w:tcW w:w="735" w:type="pct"/>
            <w:gridSpan w:val="2"/>
            <w:vAlign w:val="top"/>
          </w:tcPr>
          <w:p w14:paraId="46460FCD">
            <w:pPr>
              <w:keepNext w:val="0"/>
              <w:keepLines w:val="0"/>
              <w:pageBreakBefore w:val="0"/>
              <w:kinsoku/>
              <w:wordWrap/>
              <w:overflowPunct w:val="0"/>
              <w:topLinePunct/>
              <w:bidi w:val="0"/>
              <w:spacing w:line="360" w:lineRule="auto"/>
              <w:rPr>
                <w:rFonts w:ascii="Arial"/>
                <w:sz w:val="21"/>
                <w:highlight w:val="none"/>
              </w:rPr>
            </w:pPr>
          </w:p>
        </w:tc>
        <w:tc>
          <w:tcPr>
            <w:tcW w:w="698" w:type="pct"/>
            <w:gridSpan w:val="2"/>
            <w:vAlign w:val="top"/>
          </w:tcPr>
          <w:p w14:paraId="63584CC8">
            <w:pPr>
              <w:keepNext w:val="0"/>
              <w:keepLines w:val="0"/>
              <w:pageBreakBefore w:val="0"/>
              <w:kinsoku/>
              <w:wordWrap/>
              <w:overflowPunct w:val="0"/>
              <w:topLinePunct/>
              <w:bidi w:val="0"/>
              <w:spacing w:line="360" w:lineRule="auto"/>
              <w:rPr>
                <w:rFonts w:ascii="Arial"/>
                <w:sz w:val="21"/>
                <w:highlight w:val="none"/>
              </w:rPr>
            </w:pPr>
          </w:p>
        </w:tc>
        <w:tc>
          <w:tcPr>
            <w:tcW w:w="1144" w:type="pct"/>
            <w:gridSpan w:val="2"/>
            <w:vAlign w:val="top"/>
          </w:tcPr>
          <w:p w14:paraId="3216F636">
            <w:pPr>
              <w:keepNext w:val="0"/>
              <w:keepLines w:val="0"/>
              <w:pageBreakBefore w:val="0"/>
              <w:kinsoku/>
              <w:wordWrap/>
              <w:overflowPunct w:val="0"/>
              <w:topLinePunct/>
              <w:bidi w:val="0"/>
              <w:spacing w:line="360" w:lineRule="auto"/>
              <w:rPr>
                <w:rFonts w:ascii="Arial"/>
                <w:sz w:val="21"/>
                <w:highlight w:val="none"/>
              </w:rPr>
            </w:pPr>
          </w:p>
        </w:tc>
        <w:tc>
          <w:tcPr>
            <w:tcW w:w="769" w:type="pct"/>
            <w:vAlign w:val="top"/>
          </w:tcPr>
          <w:p w14:paraId="0B3CC1DE">
            <w:pPr>
              <w:keepNext w:val="0"/>
              <w:keepLines w:val="0"/>
              <w:pageBreakBefore w:val="0"/>
              <w:kinsoku/>
              <w:wordWrap/>
              <w:overflowPunct w:val="0"/>
              <w:topLinePunct/>
              <w:bidi w:val="0"/>
              <w:spacing w:line="360" w:lineRule="auto"/>
              <w:rPr>
                <w:rFonts w:ascii="Arial"/>
                <w:sz w:val="21"/>
                <w:highlight w:val="none"/>
              </w:rPr>
            </w:pPr>
          </w:p>
        </w:tc>
      </w:tr>
      <w:tr w14:paraId="7720C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865" w:type="pct"/>
            <w:vAlign w:val="top"/>
          </w:tcPr>
          <w:p w14:paraId="24730F67">
            <w:pPr>
              <w:keepNext w:val="0"/>
              <w:keepLines w:val="0"/>
              <w:pageBreakBefore w:val="0"/>
              <w:kinsoku/>
              <w:wordWrap/>
              <w:overflowPunct w:val="0"/>
              <w:topLinePunct/>
              <w:bidi w:val="0"/>
              <w:spacing w:line="360" w:lineRule="auto"/>
              <w:rPr>
                <w:rFonts w:ascii="Arial"/>
                <w:sz w:val="21"/>
                <w:highlight w:val="none"/>
              </w:rPr>
            </w:pPr>
          </w:p>
        </w:tc>
        <w:tc>
          <w:tcPr>
            <w:tcW w:w="786" w:type="pct"/>
            <w:vAlign w:val="top"/>
          </w:tcPr>
          <w:p w14:paraId="2ED2C3CA">
            <w:pPr>
              <w:keepNext w:val="0"/>
              <w:keepLines w:val="0"/>
              <w:pageBreakBefore w:val="0"/>
              <w:kinsoku/>
              <w:wordWrap/>
              <w:overflowPunct w:val="0"/>
              <w:topLinePunct/>
              <w:bidi w:val="0"/>
              <w:spacing w:line="360" w:lineRule="auto"/>
              <w:rPr>
                <w:rFonts w:ascii="Arial"/>
                <w:sz w:val="21"/>
                <w:highlight w:val="none"/>
              </w:rPr>
            </w:pPr>
          </w:p>
        </w:tc>
        <w:tc>
          <w:tcPr>
            <w:tcW w:w="735" w:type="pct"/>
            <w:gridSpan w:val="2"/>
            <w:vAlign w:val="top"/>
          </w:tcPr>
          <w:p w14:paraId="1253D2E3">
            <w:pPr>
              <w:keepNext w:val="0"/>
              <w:keepLines w:val="0"/>
              <w:pageBreakBefore w:val="0"/>
              <w:kinsoku/>
              <w:wordWrap/>
              <w:overflowPunct w:val="0"/>
              <w:topLinePunct/>
              <w:bidi w:val="0"/>
              <w:spacing w:line="360" w:lineRule="auto"/>
              <w:rPr>
                <w:rFonts w:ascii="Arial"/>
                <w:sz w:val="21"/>
                <w:highlight w:val="none"/>
              </w:rPr>
            </w:pPr>
          </w:p>
        </w:tc>
        <w:tc>
          <w:tcPr>
            <w:tcW w:w="698" w:type="pct"/>
            <w:gridSpan w:val="2"/>
            <w:vAlign w:val="top"/>
          </w:tcPr>
          <w:p w14:paraId="23ACD4D5">
            <w:pPr>
              <w:keepNext w:val="0"/>
              <w:keepLines w:val="0"/>
              <w:pageBreakBefore w:val="0"/>
              <w:kinsoku/>
              <w:wordWrap/>
              <w:overflowPunct w:val="0"/>
              <w:topLinePunct/>
              <w:bidi w:val="0"/>
              <w:spacing w:line="360" w:lineRule="auto"/>
              <w:rPr>
                <w:rFonts w:ascii="Arial"/>
                <w:sz w:val="21"/>
                <w:highlight w:val="none"/>
              </w:rPr>
            </w:pPr>
          </w:p>
        </w:tc>
        <w:tc>
          <w:tcPr>
            <w:tcW w:w="1144" w:type="pct"/>
            <w:gridSpan w:val="2"/>
            <w:vAlign w:val="top"/>
          </w:tcPr>
          <w:p w14:paraId="0E63495C">
            <w:pPr>
              <w:keepNext w:val="0"/>
              <w:keepLines w:val="0"/>
              <w:pageBreakBefore w:val="0"/>
              <w:kinsoku/>
              <w:wordWrap/>
              <w:overflowPunct w:val="0"/>
              <w:topLinePunct/>
              <w:bidi w:val="0"/>
              <w:spacing w:line="360" w:lineRule="auto"/>
              <w:rPr>
                <w:rFonts w:ascii="Arial"/>
                <w:sz w:val="21"/>
                <w:highlight w:val="none"/>
              </w:rPr>
            </w:pPr>
          </w:p>
        </w:tc>
        <w:tc>
          <w:tcPr>
            <w:tcW w:w="769" w:type="pct"/>
            <w:vAlign w:val="top"/>
          </w:tcPr>
          <w:p w14:paraId="2237DBD1">
            <w:pPr>
              <w:keepNext w:val="0"/>
              <w:keepLines w:val="0"/>
              <w:pageBreakBefore w:val="0"/>
              <w:kinsoku/>
              <w:wordWrap/>
              <w:overflowPunct w:val="0"/>
              <w:topLinePunct/>
              <w:bidi w:val="0"/>
              <w:spacing w:line="360" w:lineRule="auto"/>
              <w:rPr>
                <w:rFonts w:ascii="Arial"/>
                <w:sz w:val="21"/>
                <w:highlight w:val="none"/>
              </w:rPr>
            </w:pPr>
          </w:p>
        </w:tc>
      </w:tr>
      <w:tr w14:paraId="08BFE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865" w:type="pct"/>
            <w:vAlign w:val="top"/>
          </w:tcPr>
          <w:p w14:paraId="4C0413E4">
            <w:pPr>
              <w:keepNext w:val="0"/>
              <w:keepLines w:val="0"/>
              <w:pageBreakBefore w:val="0"/>
              <w:kinsoku/>
              <w:wordWrap/>
              <w:overflowPunct w:val="0"/>
              <w:topLinePunct/>
              <w:bidi w:val="0"/>
              <w:spacing w:line="360" w:lineRule="auto"/>
              <w:rPr>
                <w:rFonts w:ascii="Arial"/>
                <w:sz w:val="21"/>
                <w:highlight w:val="none"/>
              </w:rPr>
            </w:pPr>
          </w:p>
        </w:tc>
        <w:tc>
          <w:tcPr>
            <w:tcW w:w="786" w:type="pct"/>
            <w:vAlign w:val="top"/>
          </w:tcPr>
          <w:p w14:paraId="1E111C4C">
            <w:pPr>
              <w:keepNext w:val="0"/>
              <w:keepLines w:val="0"/>
              <w:pageBreakBefore w:val="0"/>
              <w:kinsoku/>
              <w:wordWrap/>
              <w:overflowPunct w:val="0"/>
              <w:topLinePunct/>
              <w:bidi w:val="0"/>
              <w:spacing w:line="360" w:lineRule="auto"/>
              <w:rPr>
                <w:rFonts w:ascii="Arial"/>
                <w:sz w:val="21"/>
                <w:highlight w:val="none"/>
              </w:rPr>
            </w:pPr>
          </w:p>
        </w:tc>
        <w:tc>
          <w:tcPr>
            <w:tcW w:w="735" w:type="pct"/>
            <w:gridSpan w:val="2"/>
            <w:vAlign w:val="top"/>
          </w:tcPr>
          <w:p w14:paraId="481CAF95">
            <w:pPr>
              <w:keepNext w:val="0"/>
              <w:keepLines w:val="0"/>
              <w:pageBreakBefore w:val="0"/>
              <w:kinsoku/>
              <w:wordWrap/>
              <w:overflowPunct w:val="0"/>
              <w:topLinePunct/>
              <w:bidi w:val="0"/>
              <w:spacing w:line="360" w:lineRule="auto"/>
              <w:rPr>
                <w:rFonts w:ascii="Arial"/>
                <w:sz w:val="21"/>
                <w:highlight w:val="none"/>
              </w:rPr>
            </w:pPr>
          </w:p>
        </w:tc>
        <w:tc>
          <w:tcPr>
            <w:tcW w:w="698" w:type="pct"/>
            <w:gridSpan w:val="2"/>
            <w:vAlign w:val="top"/>
          </w:tcPr>
          <w:p w14:paraId="1D11D6F4">
            <w:pPr>
              <w:keepNext w:val="0"/>
              <w:keepLines w:val="0"/>
              <w:pageBreakBefore w:val="0"/>
              <w:kinsoku/>
              <w:wordWrap/>
              <w:overflowPunct w:val="0"/>
              <w:topLinePunct/>
              <w:bidi w:val="0"/>
              <w:spacing w:line="360" w:lineRule="auto"/>
              <w:rPr>
                <w:rFonts w:ascii="Arial"/>
                <w:sz w:val="21"/>
                <w:highlight w:val="none"/>
              </w:rPr>
            </w:pPr>
          </w:p>
        </w:tc>
        <w:tc>
          <w:tcPr>
            <w:tcW w:w="1144" w:type="pct"/>
            <w:gridSpan w:val="2"/>
            <w:vAlign w:val="top"/>
          </w:tcPr>
          <w:p w14:paraId="2D405D46">
            <w:pPr>
              <w:keepNext w:val="0"/>
              <w:keepLines w:val="0"/>
              <w:pageBreakBefore w:val="0"/>
              <w:kinsoku/>
              <w:wordWrap/>
              <w:overflowPunct w:val="0"/>
              <w:topLinePunct/>
              <w:bidi w:val="0"/>
              <w:spacing w:line="360" w:lineRule="auto"/>
              <w:rPr>
                <w:rFonts w:ascii="Arial"/>
                <w:sz w:val="21"/>
                <w:highlight w:val="none"/>
              </w:rPr>
            </w:pPr>
          </w:p>
        </w:tc>
        <w:tc>
          <w:tcPr>
            <w:tcW w:w="769" w:type="pct"/>
            <w:vAlign w:val="top"/>
          </w:tcPr>
          <w:p w14:paraId="746C0A0C">
            <w:pPr>
              <w:keepNext w:val="0"/>
              <w:keepLines w:val="0"/>
              <w:pageBreakBefore w:val="0"/>
              <w:kinsoku/>
              <w:wordWrap/>
              <w:overflowPunct w:val="0"/>
              <w:topLinePunct/>
              <w:bidi w:val="0"/>
              <w:spacing w:line="360" w:lineRule="auto"/>
              <w:rPr>
                <w:rFonts w:ascii="Arial"/>
                <w:sz w:val="21"/>
                <w:highlight w:val="none"/>
              </w:rPr>
            </w:pPr>
          </w:p>
        </w:tc>
      </w:tr>
      <w:tr w14:paraId="62591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65" w:type="pct"/>
            <w:vAlign w:val="top"/>
          </w:tcPr>
          <w:p w14:paraId="360168F7">
            <w:pPr>
              <w:keepNext w:val="0"/>
              <w:keepLines w:val="0"/>
              <w:pageBreakBefore w:val="0"/>
              <w:kinsoku/>
              <w:wordWrap/>
              <w:overflowPunct w:val="0"/>
              <w:topLinePunct/>
              <w:bidi w:val="0"/>
              <w:spacing w:line="360" w:lineRule="auto"/>
              <w:rPr>
                <w:rFonts w:ascii="Arial"/>
                <w:sz w:val="21"/>
                <w:highlight w:val="none"/>
              </w:rPr>
            </w:pPr>
          </w:p>
        </w:tc>
        <w:tc>
          <w:tcPr>
            <w:tcW w:w="786" w:type="pct"/>
            <w:vAlign w:val="top"/>
          </w:tcPr>
          <w:p w14:paraId="02216EF5">
            <w:pPr>
              <w:keepNext w:val="0"/>
              <w:keepLines w:val="0"/>
              <w:pageBreakBefore w:val="0"/>
              <w:kinsoku/>
              <w:wordWrap/>
              <w:overflowPunct w:val="0"/>
              <w:topLinePunct/>
              <w:bidi w:val="0"/>
              <w:spacing w:line="360" w:lineRule="auto"/>
              <w:rPr>
                <w:rFonts w:ascii="Arial"/>
                <w:sz w:val="21"/>
                <w:highlight w:val="none"/>
              </w:rPr>
            </w:pPr>
          </w:p>
        </w:tc>
        <w:tc>
          <w:tcPr>
            <w:tcW w:w="735" w:type="pct"/>
            <w:gridSpan w:val="2"/>
            <w:vAlign w:val="top"/>
          </w:tcPr>
          <w:p w14:paraId="654B95ED">
            <w:pPr>
              <w:keepNext w:val="0"/>
              <w:keepLines w:val="0"/>
              <w:pageBreakBefore w:val="0"/>
              <w:kinsoku/>
              <w:wordWrap/>
              <w:overflowPunct w:val="0"/>
              <w:topLinePunct/>
              <w:bidi w:val="0"/>
              <w:spacing w:line="360" w:lineRule="auto"/>
              <w:rPr>
                <w:rFonts w:ascii="Arial"/>
                <w:sz w:val="21"/>
                <w:highlight w:val="none"/>
              </w:rPr>
            </w:pPr>
          </w:p>
        </w:tc>
        <w:tc>
          <w:tcPr>
            <w:tcW w:w="698" w:type="pct"/>
            <w:gridSpan w:val="2"/>
            <w:vAlign w:val="top"/>
          </w:tcPr>
          <w:p w14:paraId="55473144">
            <w:pPr>
              <w:keepNext w:val="0"/>
              <w:keepLines w:val="0"/>
              <w:pageBreakBefore w:val="0"/>
              <w:kinsoku/>
              <w:wordWrap/>
              <w:overflowPunct w:val="0"/>
              <w:topLinePunct/>
              <w:bidi w:val="0"/>
              <w:spacing w:line="360" w:lineRule="auto"/>
              <w:rPr>
                <w:rFonts w:ascii="Arial"/>
                <w:sz w:val="21"/>
                <w:highlight w:val="none"/>
              </w:rPr>
            </w:pPr>
          </w:p>
        </w:tc>
        <w:tc>
          <w:tcPr>
            <w:tcW w:w="1144" w:type="pct"/>
            <w:gridSpan w:val="2"/>
            <w:vAlign w:val="top"/>
          </w:tcPr>
          <w:p w14:paraId="4A847056">
            <w:pPr>
              <w:keepNext w:val="0"/>
              <w:keepLines w:val="0"/>
              <w:pageBreakBefore w:val="0"/>
              <w:kinsoku/>
              <w:wordWrap/>
              <w:overflowPunct w:val="0"/>
              <w:topLinePunct/>
              <w:bidi w:val="0"/>
              <w:spacing w:line="360" w:lineRule="auto"/>
              <w:rPr>
                <w:rFonts w:ascii="Arial"/>
                <w:sz w:val="21"/>
                <w:highlight w:val="none"/>
              </w:rPr>
            </w:pPr>
          </w:p>
        </w:tc>
        <w:tc>
          <w:tcPr>
            <w:tcW w:w="769" w:type="pct"/>
            <w:vAlign w:val="top"/>
          </w:tcPr>
          <w:p w14:paraId="42A4EC27">
            <w:pPr>
              <w:keepNext w:val="0"/>
              <w:keepLines w:val="0"/>
              <w:pageBreakBefore w:val="0"/>
              <w:kinsoku/>
              <w:wordWrap/>
              <w:overflowPunct w:val="0"/>
              <w:topLinePunct/>
              <w:bidi w:val="0"/>
              <w:spacing w:line="360" w:lineRule="auto"/>
              <w:rPr>
                <w:rFonts w:ascii="Arial"/>
                <w:sz w:val="21"/>
                <w:highlight w:val="none"/>
              </w:rPr>
            </w:pPr>
          </w:p>
        </w:tc>
      </w:tr>
    </w:tbl>
    <w:p w14:paraId="43D13C3B">
      <w:pPr>
        <w:keepNext w:val="0"/>
        <w:keepLines w:val="0"/>
        <w:pageBreakBefore w:val="0"/>
        <w:kinsoku/>
        <w:wordWrap/>
        <w:overflowPunct w:val="0"/>
        <w:topLinePunct/>
        <w:bidi w:val="0"/>
        <w:spacing w:line="360" w:lineRule="auto"/>
        <w:rPr>
          <w:rFonts w:hint="default" w:ascii="宋体" w:hAnsi="宋体" w:cs="宋体"/>
          <w:kern w:val="4"/>
          <w:sz w:val="24"/>
          <w:highlight w:val="none"/>
          <w:lang w:val="en-US"/>
        </w:rPr>
      </w:pPr>
      <w:r>
        <w:rPr>
          <w:rFonts w:hint="eastAsia" w:ascii="宋体" w:hAnsi="宋体" w:eastAsia="宋体" w:cs="宋体"/>
          <w:spacing w:val="-1"/>
          <w:sz w:val="24"/>
          <w:szCs w:val="24"/>
          <w:highlight w:val="none"/>
          <w:lang w:val="en-US" w:eastAsia="zh-CN"/>
        </w:rPr>
        <w:t>注：本表后附</w:t>
      </w:r>
      <w:r>
        <w:rPr>
          <w:rFonts w:ascii="宋体" w:hAnsi="宋体" w:eastAsia="宋体" w:cs="宋体"/>
          <w:spacing w:val="2"/>
          <w:sz w:val="24"/>
          <w:szCs w:val="24"/>
          <w:highlight w:val="none"/>
        </w:rPr>
        <w:t>身份证、有效社保证明、</w:t>
      </w:r>
      <w:r>
        <w:rPr>
          <w:rFonts w:hint="eastAsia" w:ascii="宋体" w:hAnsi="宋体" w:eastAsia="宋体" w:cs="宋体"/>
          <w:spacing w:val="2"/>
          <w:sz w:val="24"/>
          <w:szCs w:val="24"/>
          <w:highlight w:val="none"/>
          <w:lang w:val="en-US" w:eastAsia="zh-CN"/>
        </w:rPr>
        <w:t>毕业证书、从业证书（如有）、</w:t>
      </w:r>
      <w:r>
        <w:rPr>
          <w:rFonts w:hint="eastAsia" w:ascii="宋体" w:hAnsi="宋体" w:eastAsia="宋体" w:cs="宋体"/>
          <w:spacing w:val="-1"/>
          <w:sz w:val="24"/>
          <w:szCs w:val="24"/>
          <w:highlight w:val="none"/>
          <w:lang w:val="en-US" w:eastAsia="zh-CN"/>
        </w:rPr>
        <w:t>职称证书（</w:t>
      </w:r>
      <w:r>
        <w:rPr>
          <w:rFonts w:hint="eastAsia" w:ascii="宋体" w:hAnsi="宋体" w:eastAsia="宋体" w:cs="宋体"/>
          <w:spacing w:val="2"/>
          <w:sz w:val="24"/>
          <w:szCs w:val="24"/>
          <w:highlight w:val="none"/>
          <w:lang w:val="en-US" w:eastAsia="zh-CN"/>
        </w:rPr>
        <w:t>如有</w:t>
      </w:r>
      <w:r>
        <w:rPr>
          <w:rFonts w:hint="eastAsia" w:ascii="宋体" w:hAnsi="宋体" w:eastAsia="宋体" w:cs="宋体"/>
          <w:spacing w:val="-1"/>
          <w:sz w:val="24"/>
          <w:szCs w:val="24"/>
          <w:highlight w:val="none"/>
          <w:lang w:val="en-US" w:eastAsia="zh-CN"/>
        </w:rPr>
        <w:t>）、执业证书</w:t>
      </w:r>
      <w:r>
        <w:rPr>
          <w:rFonts w:hint="eastAsia" w:ascii="宋体" w:hAnsi="宋体" w:eastAsia="宋体" w:cs="宋体"/>
          <w:spacing w:val="2"/>
          <w:sz w:val="24"/>
          <w:szCs w:val="24"/>
          <w:highlight w:val="none"/>
          <w:lang w:val="en-US" w:eastAsia="zh-CN"/>
        </w:rPr>
        <w:t>（如有）等。</w:t>
      </w:r>
    </w:p>
    <w:p w14:paraId="445342D0">
      <w:pPr>
        <w:keepNext w:val="0"/>
        <w:keepLines w:val="0"/>
        <w:pageBreakBefore w:val="0"/>
        <w:kinsoku/>
        <w:wordWrap/>
        <w:overflowPunct w:val="0"/>
        <w:topLinePunct/>
        <w:bidi w:val="0"/>
        <w:spacing w:before="116" w:line="360" w:lineRule="auto"/>
        <w:outlineLvl w:val="0"/>
        <w:rPr>
          <w:rFonts w:ascii="宋体" w:hAnsi="宋体" w:eastAsia="宋体" w:cs="宋体"/>
          <w:b/>
          <w:bCs/>
          <w:spacing w:val="-13"/>
          <w:sz w:val="28"/>
          <w:szCs w:val="28"/>
          <w:highlight w:val="none"/>
        </w:rPr>
      </w:pPr>
      <w:bookmarkStart w:id="109" w:name="_Toc22068"/>
    </w:p>
    <w:p w14:paraId="00865D26">
      <w:pPr>
        <w:keepNext w:val="0"/>
        <w:keepLines w:val="0"/>
        <w:pageBreakBefore w:val="0"/>
        <w:kinsoku/>
        <w:wordWrap/>
        <w:overflowPunct w:val="0"/>
        <w:topLinePunct/>
        <w:bidi w:val="0"/>
        <w:spacing w:before="91" w:line="360" w:lineRule="auto"/>
        <w:outlineLvl w:val="1"/>
        <w:rPr>
          <w:rFonts w:hint="default" w:ascii="宋体" w:hAnsi="宋体" w:eastAsia="宋体" w:cs="宋体"/>
          <w:b/>
          <w:bCs/>
          <w:spacing w:val="-13"/>
          <w:sz w:val="28"/>
          <w:szCs w:val="28"/>
          <w:highlight w:val="none"/>
          <w:lang w:val="en-US" w:eastAsia="zh-CN"/>
        </w:rPr>
      </w:pPr>
      <w:r>
        <w:rPr>
          <w:rFonts w:ascii="宋体" w:hAnsi="宋体" w:eastAsia="宋体" w:cs="宋体"/>
          <w:b/>
          <w:bCs/>
          <w:spacing w:val="-13"/>
          <w:sz w:val="28"/>
          <w:szCs w:val="28"/>
          <w:highlight w:val="none"/>
        </w:rPr>
        <w:t>附件</w:t>
      </w:r>
      <w:r>
        <w:rPr>
          <w:rFonts w:hint="default" w:ascii="宋体" w:hAnsi="宋体" w:eastAsia="宋体" w:cs="宋体"/>
          <w:b/>
          <w:bCs/>
          <w:spacing w:val="-13"/>
          <w:sz w:val="28"/>
          <w:szCs w:val="28"/>
          <w:highlight w:val="none"/>
          <w:lang w:val="en-US" w:eastAsia="zh-CN"/>
        </w:rPr>
        <w:t>6</w:t>
      </w:r>
      <w:bookmarkEnd w:id="109"/>
    </w:p>
    <w:p w14:paraId="1C1E55DC">
      <w:pPr>
        <w:keepNext w:val="0"/>
        <w:keepLines w:val="0"/>
        <w:pageBreakBefore w:val="0"/>
        <w:kinsoku/>
        <w:wordWrap/>
        <w:overflowPunct w:val="0"/>
        <w:topLinePunct/>
        <w:bidi w:val="0"/>
        <w:spacing w:before="186" w:line="360" w:lineRule="auto"/>
        <w:jc w:val="center"/>
        <w:outlineLvl w:val="0"/>
        <w:rPr>
          <w:rFonts w:ascii="宋体" w:hAnsi="宋体" w:eastAsia="宋体" w:cs="宋体"/>
          <w:sz w:val="28"/>
          <w:szCs w:val="28"/>
          <w:highlight w:val="none"/>
        </w:rPr>
      </w:pPr>
      <w:bookmarkStart w:id="110" w:name="_Toc24667"/>
      <w:r>
        <w:rPr>
          <w:rFonts w:hint="eastAsia" w:ascii="宋体" w:hAnsi="宋体" w:eastAsia="宋体" w:cs="宋体"/>
          <w:b/>
          <w:bCs/>
          <w:spacing w:val="-5"/>
          <w:sz w:val="28"/>
          <w:szCs w:val="28"/>
          <w:highlight w:val="none"/>
          <w:lang w:val="en-US" w:eastAsia="zh-CN"/>
        </w:rPr>
        <w:t>类似</w:t>
      </w:r>
      <w:r>
        <w:rPr>
          <w:rFonts w:ascii="宋体" w:hAnsi="宋体" w:eastAsia="宋体" w:cs="宋体"/>
          <w:b/>
          <w:bCs/>
          <w:spacing w:val="-5"/>
          <w:sz w:val="28"/>
          <w:szCs w:val="28"/>
          <w:highlight w:val="none"/>
        </w:rPr>
        <w:t>项目业绩一览表</w:t>
      </w:r>
      <w:bookmarkEnd w:id="110"/>
    </w:p>
    <w:p w14:paraId="255DD623">
      <w:pPr>
        <w:keepNext w:val="0"/>
        <w:keepLines w:val="0"/>
        <w:pageBreakBefore w:val="0"/>
        <w:kinsoku/>
        <w:wordWrap/>
        <w:overflowPunct w:val="0"/>
        <w:topLinePunct/>
        <w:bidi w:val="0"/>
        <w:spacing w:line="360" w:lineRule="auto"/>
        <w:rPr>
          <w:rFonts w:ascii="Arial"/>
          <w:sz w:val="2"/>
          <w:highlight w:val="none"/>
        </w:rPr>
      </w:pPr>
    </w:p>
    <w:tbl>
      <w:tblPr>
        <w:tblStyle w:val="11"/>
        <w:tblW w:w="93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5"/>
        <w:gridCol w:w="2154"/>
        <w:gridCol w:w="1263"/>
        <w:gridCol w:w="1200"/>
        <w:gridCol w:w="1246"/>
        <w:gridCol w:w="1336"/>
        <w:gridCol w:w="1363"/>
      </w:tblGrid>
      <w:tr w14:paraId="07089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815" w:type="dxa"/>
            <w:vAlign w:val="top"/>
          </w:tcPr>
          <w:p w14:paraId="55B5A068">
            <w:pPr>
              <w:keepNext w:val="0"/>
              <w:keepLines w:val="0"/>
              <w:pageBreakBefore w:val="0"/>
              <w:kinsoku/>
              <w:wordWrap/>
              <w:overflowPunct w:val="0"/>
              <w:topLinePunct/>
              <w:bidi w:val="0"/>
              <w:spacing w:line="360" w:lineRule="auto"/>
              <w:jc w:val="center"/>
              <w:rPr>
                <w:rFonts w:ascii="Arial"/>
                <w:sz w:val="21"/>
                <w:highlight w:val="none"/>
              </w:rPr>
            </w:pPr>
          </w:p>
          <w:p w14:paraId="26B98FCD">
            <w:pPr>
              <w:keepNext w:val="0"/>
              <w:keepLines w:val="0"/>
              <w:pageBreakBefore w:val="0"/>
              <w:kinsoku/>
              <w:wordWrap/>
              <w:overflowPunct w:val="0"/>
              <w:topLinePunct/>
              <w:bidi w:val="0"/>
              <w:spacing w:line="360" w:lineRule="auto"/>
              <w:jc w:val="center"/>
              <w:rPr>
                <w:rFonts w:ascii="Arial"/>
                <w:sz w:val="21"/>
                <w:highlight w:val="none"/>
              </w:rPr>
            </w:pPr>
          </w:p>
          <w:p w14:paraId="02F5E286">
            <w:pPr>
              <w:pStyle w:val="12"/>
              <w:keepNext w:val="0"/>
              <w:keepLines w:val="0"/>
              <w:pageBreakBefore w:val="0"/>
              <w:kinsoku/>
              <w:wordWrap/>
              <w:overflowPunct w:val="0"/>
              <w:topLinePunct/>
              <w:bidi w:val="0"/>
              <w:spacing w:before="78" w:line="360" w:lineRule="auto"/>
              <w:ind w:left="207"/>
              <w:jc w:val="center"/>
              <w:rPr>
                <w:highlight w:val="none"/>
              </w:rPr>
            </w:pPr>
            <w:r>
              <w:rPr>
                <w:spacing w:val="-5"/>
                <w:highlight w:val="none"/>
              </w:rPr>
              <w:t>序号</w:t>
            </w:r>
          </w:p>
        </w:tc>
        <w:tc>
          <w:tcPr>
            <w:tcW w:w="2154" w:type="dxa"/>
            <w:vAlign w:val="top"/>
          </w:tcPr>
          <w:p w14:paraId="43A7A97D">
            <w:pPr>
              <w:keepNext w:val="0"/>
              <w:keepLines w:val="0"/>
              <w:pageBreakBefore w:val="0"/>
              <w:kinsoku/>
              <w:wordWrap/>
              <w:overflowPunct w:val="0"/>
              <w:topLinePunct/>
              <w:bidi w:val="0"/>
              <w:spacing w:line="360" w:lineRule="auto"/>
              <w:jc w:val="center"/>
              <w:rPr>
                <w:rFonts w:ascii="Arial"/>
                <w:sz w:val="21"/>
                <w:highlight w:val="none"/>
              </w:rPr>
            </w:pPr>
          </w:p>
          <w:p w14:paraId="48C8243F">
            <w:pPr>
              <w:keepNext w:val="0"/>
              <w:keepLines w:val="0"/>
              <w:pageBreakBefore w:val="0"/>
              <w:kinsoku/>
              <w:wordWrap/>
              <w:overflowPunct w:val="0"/>
              <w:topLinePunct/>
              <w:bidi w:val="0"/>
              <w:spacing w:line="360" w:lineRule="auto"/>
              <w:jc w:val="center"/>
              <w:rPr>
                <w:rFonts w:ascii="Arial"/>
                <w:sz w:val="21"/>
                <w:highlight w:val="none"/>
              </w:rPr>
            </w:pPr>
          </w:p>
          <w:p w14:paraId="0DD3E6AE">
            <w:pPr>
              <w:pStyle w:val="12"/>
              <w:keepNext w:val="0"/>
              <w:keepLines w:val="0"/>
              <w:pageBreakBefore w:val="0"/>
              <w:kinsoku/>
              <w:wordWrap/>
              <w:overflowPunct w:val="0"/>
              <w:topLinePunct/>
              <w:bidi w:val="0"/>
              <w:spacing w:before="78" w:line="360" w:lineRule="auto"/>
              <w:jc w:val="center"/>
              <w:rPr>
                <w:highlight w:val="none"/>
              </w:rPr>
            </w:pPr>
            <w:r>
              <w:rPr>
                <w:spacing w:val="-4"/>
                <w:highlight w:val="none"/>
              </w:rPr>
              <w:t>项目名称</w:t>
            </w:r>
          </w:p>
        </w:tc>
        <w:tc>
          <w:tcPr>
            <w:tcW w:w="1263" w:type="dxa"/>
            <w:vAlign w:val="top"/>
          </w:tcPr>
          <w:p w14:paraId="63E6A563">
            <w:pPr>
              <w:keepNext w:val="0"/>
              <w:keepLines w:val="0"/>
              <w:pageBreakBefore w:val="0"/>
              <w:kinsoku/>
              <w:wordWrap/>
              <w:overflowPunct w:val="0"/>
              <w:topLinePunct/>
              <w:bidi w:val="0"/>
              <w:spacing w:line="360" w:lineRule="auto"/>
              <w:rPr>
                <w:rFonts w:ascii="Arial"/>
                <w:sz w:val="21"/>
                <w:highlight w:val="none"/>
              </w:rPr>
            </w:pPr>
          </w:p>
          <w:p w14:paraId="6E49328F">
            <w:pPr>
              <w:keepNext w:val="0"/>
              <w:keepLines w:val="0"/>
              <w:pageBreakBefore w:val="0"/>
              <w:kinsoku/>
              <w:wordWrap/>
              <w:overflowPunct w:val="0"/>
              <w:topLinePunct/>
              <w:bidi w:val="0"/>
              <w:spacing w:line="360" w:lineRule="auto"/>
              <w:rPr>
                <w:rFonts w:ascii="Arial"/>
                <w:sz w:val="21"/>
                <w:highlight w:val="none"/>
              </w:rPr>
            </w:pPr>
          </w:p>
          <w:p w14:paraId="31CF05A1">
            <w:pPr>
              <w:pStyle w:val="12"/>
              <w:keepNext w:val="0"/>
              <w:keepLines w:val="0"/>
              <w:pageBreakBefore w:val="0"/>
              <w:kinsoku/>
              <w:wordWrap/>
              <w:overflowPunct w:val="0"/>
              <w:topLinePunct/>
              <w:bidi w:val="0"/>
              <w:spacing w:before="78" w:line="360" w:lineRule="auto"/>
              <w:ind w:left="178"/>
              <w:rPr>
                <w:highlight w:val="none"/>
              </w:rPr>
            </w:pPr>
            <w:r>
              <w:rPr>
                <w:spacing w:val="-4"/>
                <w:highlight w:val="none"/>
              </w:rPr>
              <w:t>项目编号</w:t>
            </w:r>
          </w:p>
        </w:tc>
        <w:tc>
          <w:tcPr>
            <w:tcW w:w="1200" w:type="dxa"/>
            <w:vAlign w:val="top"/>
          </w:tcPr>
          <w:p w14:paraId="45B1F822">
            <w:pPr>
              <w:keepNext w:val="0"/>
              <w:keepLines w:val="0"/>
              <w:pageBreakBefore w:val="0"/>
              <w:kinsoku/>
              <w:wordWrap/>
              <w:overflowPunct w:val="0"/>
              <w:topLinePunct/>
              <w:bidi w:val="0"/>
              <w:spacing w:line="360" w:lineRule="auto"/>
              <w:rPr>
                <w:rFonts w:ascii="Arial"/>
                <w:sz w:val="21"/>
                <w:highlight w:val="none"/>
              </w:rPr>
            </w:pPr>
          </w:p>
          <w:p w14:paraId="11C56C87">
            <w:pPr>
              <w:keepNext w:val="0"/>
              <w:keepLines w:val="0"/>
              <w:pageBreakBefore w:val="0"/>
              <w:kinsoku/>
              <w:wordWrap/>
              <w:overflowPunct w:val="0"/>
              <w:topLinePunct/>
              <w:bidi w:val="0"/>
              <w:spacing w:line="360" w:lineRule="auto"/>
              <w:rPr>
                <w:rFonts w:ascii="Arial"/>
                <w:sz w:val="21"/>
                <w:highlight w:val="none"/>
              </w:rPr>
            </w:pPr>
          </w:p>
          <w:p w14:paraId="1D4B2C67">
            <w:pPr>
              <w:pStyle w:val="12"/>
              <w:keepNext w:val="0"/>
              <w:keepLines w:val="0"/>
              <w:pageBreakBefore w:val="0"/>
              <w:kinsoku/>
              <w:wordWrap/>
              <w:overflowPunct w:val="0"/>
              <w:topLinePunct/>
              <w:bidi w:val="0"/>
              <w:spacing w:before="78" w:line="360" w:lineRule="auto"/>
              <w:ind w:left="297"/>
              <w:rPr>
                <w:rFonts w:hint="eastAsia" w:eastAsia="宋体"/>
                <w:highlight w:val="none"/>
                <w:lang w:eastAsia="zh-CN"/>
              </w:rPr>
            </w:pPr>
            <w:r>
              <w:rPr>
                <w:rFonts w:hint="eastAsia"/>
                <w:spacing w:val="-3"/>
                <w:highlight w:val="none"/>
                <w:lang w:val="en-US" w:eastAsia="zh-CN"/>
              </w:rPr>
              <w:t>采购人</w:t>
            </w:r>
          </w:p>
        </w:tc>
        <w:tc>
          <w:tcPr>
            <w:tcW w:w="1246" w:type="dxa"/>
            <w:vAlign w:val="top"/>
          </w:tcPr>
          <w:p w14:paraId="299F4CCA">
            <w:pPr>
              <w:keepNext w:val="0"/>
              <w:keepLines w:val="0"/>
              <w:pageBreakBefore w:val="0"/>
              <w:kinsoku/>
              <w:wordWrap/>
              <w:overflowPunct w:val="0"/>
              <w:topLinePunct/>
              <w:bidi w:val="0"/>
              <w:spacing w:line="360" w:lineRule="auto"/>
              <w:rPr>
                <w:rFonts w:ascii="Arial"/>
                <w:sz w:val="21"/>
                <w:highlight w:val="none"/>
              </w:rPr>
            </w:pPr>
          </w:p>
          <w:p w14:paraId="5F19F84F">
            <w:pPr>
              <w:pStyle w:val="12"/>
              <w:keepNext w:val="0"/>
              <w:keepLines w:val="0"/>
              <w:pageBreakBefore w:val="0"/>
              <w:kinsoku/>
              <w:wordWrap/>
              <w:overflowPunct w:val="0"/>
              <w:topLinePunct/>
              <w:bidi w:val="0"/>
              <w:spacing w:before="78" w:line="360" w:lineRule="auto"/>
              <w:ind w:left="341" w:right="316" w:hanging="10"/>
              <w:rPr>
                <w:highlight w:val="none"/>
              </w:rPr>
            </w:pPr>
            <w:r>
              <w:rPr>
                <w:rFonts w:hint="eastAsia"/>
                <w:spacing w:val="-6"/>
                <w:highlight w:val="none"/>
                <w:lang w:val="en-US" w:eastAsia="zh-CN"/>
              </w:rPr>
              <w:t>成交通知书</w:t>
            </w:r>
            <w:r>
              <w:rPr>
                <w:spacing w:val="-11"/>
                <w:highlight w:val="none"/>
              </w:rPr>
              <w:t>时间</w:t>
            </w:r>
          </w:p>
        </w:tc>
        <w:tc>
          <w:tcPr>
            <w:tcW w:w="1336" w:type="dxa"/>
            <w:vAlign w:val="top"/>
          </w:tcPr>
          <w:p w14:paraId="61C51FEF">
            <w:pPr>
              <w:keepNext w:val="0"/>
              <w:keepLines w:val="0"/>
              <w:pageBreakBefore w:val="0"/>
              <w:kinsoku/>
              <w:wordWrap/>
              <w:overflowPunct w:val="0"/>
              <w:topLinePunct/>
              <w:bidi w:val="0"/>
              <w:spacing w:line="360" w:lineRule="auto"/>
              <w:rPr>
                <w:rFonts w:ascii="Arial"/>
                <w:sz w:val="21"/>
                <w:highlight w:val="none"/>
              </w:rPr>
            </w:pPr>
          </w:p>
          <w:p w14:paraId="68192516">
            <w:pPr>
              <w:pStyle w:val="12"/>
              <w:keepNext w:val="0"/>
              <w:keepLines w:val="0"/>
              <w:pageBreakBefore w:val="0"/>
              <w:kinsoku/>
              <w:wordWrap/>
              <w:overflowPunct w:val="0"/>
              <w:topLinePunct/>
              <w:bidi w:val="0"/>
              <w:spacing w:before="78" w:line="360" w:lineRule="auto"/>
              <w:ind w:left="263" w:right="238" w:firstLine="11"/>
              <w:rPr>
                <w:highlight w:val="none"/>
              </w:rPr>
            </w:pPr>
            <w:r>
              <w:rPr>
                <w:spacing w:val="-8"/>
                <w:highlight w:val="none"/>
              </w:rPr>
              <w:t>中标金额</w:t>
            </w:r>
            <w:r>
              <w:rPr>
                <w:spacing w:val="-6"/>
                <w:highlight w:val="none"/>
              </w:rPr>
              <w:t>（万元）</w:t>
            </w:r>
          </w:p>
        </w:tc>
        <w:tc>
          <w:tcPr>
            <w:tcW w:w="1363" w:type="dxa"/>
            <w:vAlign w:val="top"/>
          </w:tcPr>
          <w:p w14:paraId="41176E52">
            <w:pPr>
              <w:keepNext w:val="0"/>
              <w:keepLines w:val="0"/>
              <w:pageBreakBefore w:val="0"/>
              <w:kinsoku/>
              <w:wordWrap/>
              <w:overflowPunct w:val="0"/>
              <w:topLinePunct/>
              <w:bidi w:val="0"/>
              <w:spacing w:line="360" w:lineRule="auto"/>
              <w:rPr>
                <w:rFonts w:ascii="Arial"/>
                <w:sz w:val="21"/>
                <w:highlight w:val="none"/>
              </w:rPr>
            </w:pPr>
          </w:p>
          <w:p w14:paraId="783371C5">
            <w:pPr>
              <w:pStyle w:val="12"/>
              <w:keepNext w:val="0"/>
              <w:keepLines w:val="0"/>
              <w:pageBreakBefore w:val="0"/>
              <w:kinsoku/>
              <w:wordWrap/>
              <w:overflowPunct w:val="0"/>
              <w:topLinePunct/>
              <w:bidi w:val="0"/>
              <w:spacing w:before="78" w:line="360" w:lineRule="auto"/>
              <w:ind w:left="386" w:right="136" w:hanging="243"/>
              <w:rPr>
                <w:highlight w:val="none"/>
              </w:rPr>
            </w:pPr>
            <w:r>
              <w:rPr>
                <w:spacing w:val="-3"/>
                <w:highlight w:val="none"/>
              </w:rPr>
              <w:t>联系人及联</w:t>
            </w:r>
            <w:r>
              <w:rPr>
                <w:spacing w:val="-5"/>
                <w:highlight w:val="none"/>
              </w:rPr>
              <w:t>系方式</w:t>
            </w:r>
          </w:p>
        </w:tc>
      </w:tr>
      <w:tr w14:paraId="7F28C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15" w:type="dxa"/>
            <w:vAlign w:val="center"/>
          </w:tcPr>
          <w:p w14:paraId="49A0DEDE">
            <w:pPr>
              <w:pStyle w:val="12"/>
              <w:keepNext w:val="0"/>
              <w:keepLines w:val="0"/>
              <w:pageBreakBefore w:val="0"/>
              <w:kinsoku/>
              <w:wordWrap/>
              <w:overflowPunct w:val="0"/>
              <w:topLinePunct/>
              <w:bidi w:val="0"/>
              <w:spacing w:before="78" w:line="360" w:lineRule="auto"/>
              <w:ind w:left="207"/>
              <w:jc w:val="center"/>
              <w:rPr>
                <w:rFonts w:hint="eastAsia" w:ascii="宋体" w:hAnsi="宋体" w:eastAsia="宋体" w:cs="宋体"/>
                <w:b/>
                <w:bCs/>
                <w:spacing w:val="-5"/>
                <w:highlight w:val="none"/>
                <w:lang w:val="en-US" w:eastAsia="zh-CN"/>
              </w:rPr>
            </w:pPr>
            <w:r>
              <w:rPr>
                <w:rFonts w:hint="eastAsia" w:ascii="宋体" w:hAnsi="宋体" w:eastAsia="宋体" w:cs="宋体"/>
                <w:b/>
                <w:bCs/>
                <w:spacing w:val="-5"/>
                <w:highlight w:val="none"/>
                <w:lang w:val="en-US" w:eastAsia="zh-CN"/>
              </w:rPr>
              <w:t>1</w:t>
            </w:r>
          </w:p>
        </w:tc>
        <w:tc>
          <w:tcPr>
            <w:tcW w:w="2154" w:type="dxa"/>
            <w:vAlign w:val="top"/>
          </w:tcPr>
          <w:p w14:paraId="47B52986">
            <w:pPr>
              <w:keepNext w:val="0"/>
              <w:keepLines w:val="0"/>
              <w:pageBreakBefore w:val="0"/>
              <w:kinsoku/>
              <w:wordWrap/>
              <w:overflowPunct w:val="0"/>
              <w:topLinePunct/>
              <w:bidi w:val="0"/>
              <w:spacing w:line="360" w:lineRule="auto"/>
              <w:rPr>
                <w:rFonts w:ascii="Arial"/>
                <w:sz w:val="21"/>
                <w:highlight w:val="none"/>
              </w:rPr>
            </w:pPr>
          </w:p>
        </w:tc>
        <w:tc>
          <w:tcPr>
            <w:tcW w:w="1263" w:type="dxa"/>
            <w:vAlign w:val="top"/>
          </w:tcPr>
          <w:p w14:paraId="4F4E2792">
            <w:pPr>
              <w:keepNext w:val="0"/>
              <w:keepLines w:val="0"/>
              <w:pageBreakBefore w:val="0"/>
              <w:kinsoku/>
              <w:wordWrap/>
              <w:overflowPunct w:val="0"/>
              <w:topLinePunct/>
              <w:bidi w:val="0"/>
              <w:spacing w:line="360" w:lineRule="auto"/>
              <w:rPr>
                <w:rFonts w:ascii="Arial"/>
                <w:sz w:val="21"/>
                <w:highlight w:val="none"/>
              </w:rPr>
            </w:pPr>
          </w:p>
        </w:tc>
        <w:tc>
          <w:tcPr>
            <w:tcW w:w="1200" w:type="dxa"/>
            <w:vAlign w:val="top"/>
          </w:tcPr>
          <w:p w14:paraId="17A1F5B0">
            <w:pPr>
              <w:keepNext w:val="0"/>
              <w:keepLines w:val="0"/>
              <w:pageBreakBefore w:val="0"/>
              <w:kinsoku/>
              <w:wordWrap/>
              <w:overflowPunct w:val="0"/>
              <w:topLinePunct/>
              <w:bidi w:val="0"/>
              <w:spacing w:line="360" w:lineRule="auto"/>
              <w:rPr>
                <w:rFonts w:ascii="Arial"/>
                <w:sz w:val="21"/>
                <w:highlight w:val="none"/>
              </w:rPr>
            </w:pPr>
          </w:p>
        </w:tc>
        <w:tc>
          <w:tcPr>
            <w:tcW w:w="1246" w:type="dxa"/>
            <w:vAlign w:val="top"/>
          </w:tcPr>
          <w:p w14:paraId="2B856D75">
            <w:pPr>
              <w:keepNext w:val="0"/>
              <w:keepLines w:val="0"/>
              <w:pageBreakBefore w:val="0"/>
              <w:kinsoku/>
              <w:wordWrap/>
              <w:overflowPunct w:val="0"/>
              <w:topLinePunct/>
              <w:bidi w:val="0"/>
              <w:spacing w:line="360" w:lineRule="auto"/>
              <w:rPr>
                <w:rFonts w:ascii="Arial"/>
                <w:sz w:val="21"/>
                <w:highlight w:val="none"/>
              </w:rPr>
            </w:pPr>
          </w:p>
        </w:tc>
        <w:tc>
          <w:tcPr>
            <w:tcW w:w="1336" w:type="dxa"/>
            <w:vAlign w:val="top"/>
          </w:tcPr>
          <w:p w14:paraId="48878B7F">
            <w:pPr>
              <w:keepNext w:val="0"/>
              <w:keepLines w:val="0"/>
              <w:pageBreakBefore w:val="0"/>
              <w:kinsoku/>
              <w:wordWrap/>
              <w:overflowPunct w:val="0"/>
              <w:topLinePunct/>
              <w:bidi w:val="0"/>
              <w:spacing w:line="360" w:lineRule="auto"/>
              <w:rPr>
                <w:rFonts w:ascii="Arial"/>
                <w:sz w:val="21"/>
                <w:highlight w:val="none"/>
              </w:rPr>
            </w:pPr>
          </w:p>
        </w:tc>
        <w:tc>
          <w:tcPr>
            <w:tcW w:w="1363" w:type="dxa"/>
            <w:vAlign w:val="top"/>
          </w:tcPr>
          <w:p w14:paraId="2C99EDB1">
            <w:pPr>
              <w:keepNext w:val="0"/>
              <w:keepLines w:val="0"/>
              <w:pageBreakBefore w:val="0"/>
              <w:kinsoku/>
              <w:wordWrap/>
              <w:overflowPunct w:val="0"/>
              <w:topLinePunct/>
              <w:bidi w:val="0"/>
              <w:spacing w:line="360" w:lineRule="auto"/>
              <w:rPr>
                <w:rFonts w:ascii="Arial"/>
                <w:sz w:val="21"/>
                <w:highlight w:val="none"/>
              </w:rPr>
            </w:pPr>
          </w:p>
        </w:tc>
      </w:tr>
      <w:tr w14:paraId="040C5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15" w:type="dxa"/>
            <w:vAlign w:val="center"/>
          </w:tcPr>
          <w:p w14:paraId="703FA239">
            <w:pPr>
              <w:pStyle w:val="12"/>
              <w:keepNext w:val="0"/>
              <w:keepLines w:val="0"/>
              <w:pageBreakBefore w:val="0"/>
              <w:kinsoku/>
              <w:wordWrap/>
              <w:overflowPunct w:val="0"/>
              <w:topLinePunct/>
              <w:bidi w:val="0"/>
              <w:spacing w:before="78" w:line="360" w:lineRule="auto"/>
              <w:ind w:left="207"/>
              <w:jc w:val="center"/>
              <w:rPr>
                <w:rFonts w:hint="eastAsia" w:ascii="宋体" w:hAnsi="宋体" w:eastAsia="宋体" w:cs="宋体"/>
                <w:b/>
                <w:bCs/>
                <w:spacing w:val="-5"/>
                <w:highlight w:val="none"/>
                <w:lang w:val="en-US" w:eastAsia="zh-CN"/>
              </w:rPr>
            </w:pPr>
            <w:r>
              <w:rPr>
                <w:rFonts w:hint="eastAsia" w:ascii="宋体" w:hAnsi="宋体" w:eastAsia="宋体" w:cs="宋体"/>
                <w:b/>
                <w:bCs/>
                <w:spacing w:val="-5"/>
                <w:highlight w:val="none"/>
                <w:lang w:val="en-US" w:eastAsia="zh-CN"/>
              </w:rPr>
              <w:t>2</w:t>
            </w:r>
          </w:p>
        </w:tc>
        <w:tc>
          <w:tcPr>
            <w:tcW w:w="2154" w:type="dxa"/>
            <w:vAlign w:val="top"/>
          </w:tcPr>
          <w:p w14:paraId="5807CEA8">
            <w:pPr>
              <w:keepNext w:val="0"/>
              <w:keepLines w:val="0"/>
              <w:pageBreakBefore w:val="0"/>
              <w:kinsoku/>
              <w:wordWrap/>
              <w:overflowPunct w:val="0"/>
              <w:topLinePunct/>
              <w:bidi w:val="0"/>
              <w:spacing w:line="360" w:lineRule="auto"/>
              <w:rPr>
                <w:rFonts w:ascii="Arial"/>
                <w:sz w:val="21"/>
                <w:highlight w:val="none"/>
              </w:rPr>
            </w:pPr>
          </w:p>
        </w:tc>
        <w:tc>
          <w:tcPr>
            <w:tcW w:w="1263" w:type="dxa"/>
            <w:vAlign w:val="top"/>
          </w:tcPr>
          <w:p w14:paraId="5DD0AA68">
            <w:pPr>
              <w:keepNext w:val="0"/>
              <w:keepLines w:val="0"/>
              <w:pageBreakBefore w:val="0"/>
              <w:kinsoku/>
              <w:wordWrap/>
              <w:overflowPunct w:val="0"/>
              <w:topLinePunct/>
              <w:bidi w:val="0"/>
              <w:spacing w:line="360" w:lineRule="auto"/>
              <w:rPr>
                <w:rFonts w:ascii="Arial"/>
                <w:sz w:val="21"/>
                <w:highlight w:val="none"/>
              </w:rPr>
            </w:pPr>
          </w:p>
        </w:tc>
        <w:tc>
          <w:tcPr>
            <w:tcW w:w="1200" w:type="dxa"/>
            <w:vAlign w:val="top"/>
          </w:tcPr>
          <w:p w14:paraId="3FA6B9FB">
            <w:pPr>
              <w:keepNext w:val="0"/>
              <w:keepLines w:val="0"/>
              <w:pageBreakBefore w:val="0"/>
              <w:kinsoku/>
              <w:wordWrap/>
              <w:overflowPunct w:val="0"/>
              <w:topLinePunct/>
              <w:bidi w:val="0"/>
              <w:spacing w:line="360" w:lineRule="auto"/>
              <w:rPr>
                <w:rFonts w:ascii="Arial"/>
                <w:sz w:val="21"/>
                <w:highlight w:val="none"/>
              </w:rPr>
            </w:pPr>
          </w:p>
        </w:tc>
        <w:tc>
          <w:tcPr>
            <w:tcW w:w="1246" w:type="dxa"/>
            <w:vAlign w:val="top"/>
          </w:tcPr>
          <w:p w14:paraId="4EB199B6">
            <w:pPr>
              <w:keepNext w:val="0"/>
              <w:keepLines w:val="0"/>
              <w:pageBreakBefore w:val="0"/>
              <w:kinsoku/>
              <w:wordWrap/>
              <w:overflowPunct w:val="0"/>
              <w:topLinePunct/>
              <w:bidi w:val="0"/>
              <w:spacing w:line="360" w:lineRule="auto"/>
              <w:rPr>
                <w:rFonts w:ascii="Arial"/>
                <w:sz w:val="21"/>
                <w:highlight w:val="none"/>
              </w:rPr>
            </w:pPr>
          </w:p>
        </w:tc>
        <w:tc>
          <w:tcPr>
            <w:tcW w:w="1336" w:type="dxa"/>
            <w:vAlign w:val="top"/>
          </w:tcPr>
          <w:p w14:paraId="6E348686">
            <w:pPr>
              <w:keepNext w:val="0"/>
              <w:keepLines w:val="0"/>
              <w:pageBreakBefore w:val="0"/>
              <w:kinsoku/>
              <w:wordWrap/>
              <w:overflowPunct w:val="0"/>
              <w:topLinePunct/>
              <w:bidi w:val="0"/>
              <w:spacing w:line="360" w:lineRule="auto"/>
              <w:rPr>
                <w:rFonts w:ascii="Arial"/>
                <w:sz w:val="21"/>
                <w:highlight w:val="none"/>
              </w:rPr>
            </w:pPr>
          </w:p>
        </w:tc>
        <w:tc>
          <w:tcPr>
            <w:tcW w:w="1363" w:type="dxa"/>
            <w:vAlign w:val="top"/>
          </w:tcPr>
          <w:p w14:paraId="774ECA22">
            <w:pPr>
              <w:keepNext w:val="0"/>
              <w:keepLines w:val="0"/>
              <w:pageBreakBefore w:val="0"/>
              <w:kinsoku/>
              <w:wordWrap/>
              <w:overflowPunct w:val="0"/>
              <w:topLinePunct/>
              <w:bidi w:val="0"/>
              <w:spacing w:line="360" w:lineRule="auto"/>
              <w:rPr>
                <w:rFonts w:ascii="Arial"/>
                <w:sz w:val="21"/>
                <w:highlight w:val="none"/>
              </w:rPr>
            </w:pPr>
          </w:p>
        </w:tc>
      </w:tr>
      <w:tr w14:paraId="6ABE9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15" w:type="dxa"/>
            <w:vAlign w:val="center"/>
          </w:tcPr>
          <w:p w14:paraId="19449323">
            <w:pPr>
              <w:pStyle w:val="12"/>
              <w:keepNext w:val="0"/>
              <w:keepLines w:val="0"/>
              <w:pageBreakBefore w:val="0"/>
              <w:kinsoku/>
              <w:wordWrap/>
              <w:overflowPunct w:val="0"/>
              <w:topLinePunct/>
              <w:bidi w:val="0"/>
              <w:spacing w:before="78" w:line="360" w:lineRule="auto"/>
              <w:ind w:left="207"/>
              <w:jc w:val="center"/>
              <w:rPr>
                <w:rFonts w:hint="eastAsia" w:ascii="宋体" w:hAnsi="宋体" w:eastAsia="宋体" w:cs="宋体"/>
                <w:b/>
                <w:bCs/>
                <w:spacing w:val="-5"/>
                <w:highlight w:val="none"/>
                <w:lang w:val="en-US" w:eastAsia="zh-CN"/>
              </w:rPr>
            </w:pPr>
            <w:r>
              <w:rPr>
                <w:rFonts w:hint="eastAsia" w:ascii="宋体" w:hAnsi="宋体" w:eastAsia="宋体" w:cs="宋体"/>
                <w:b/>
                <w:bCs/>
                <w:spacing w:val="-5"/>
                <w:highlight w:val="none"/>
                <w:lang w:val="en-US" w:eastAsia="zh-CN"/>
              </w:rPr>
              <w:t>3</w:t>
            </w:r>
          </w:p>
        </w:tc>
        <w:tc>
          <w:tcPr>
            <w:tcW w:w="2154" w:type="dxa"/>
            <w:vAlign w:val="top"/>
          </w:tcPr>
          <w:p w14:paraId="4176CE52">
            <w:pPr>
              <w:keepNext w:val="0"/>
              <w:keepLines w:val="0"/>
              <w:pageBreakBefore w:val="0"/>
              <w:kinsoku/>
              <w:wordWrap/>
              <w:overflowPunct w:val="0"/>
              <w:topLinePunct/>
              <w:bidi w:val="0"/>
              <w:spacing w:line="360" w:lineRule="auto"/>
              <w:rPr>
                <w:rFonts w:ascii="Arial"/>
                <w:sz w:val="21"/>
                <w:highlight w:val="none"/>
              </w:rPr>
            </w:pPr>
          </w:p>
        </w:tc>
        <w:tc>
          <w:tcPr>
            <w:tcW w:w="1263" w:type="dxa"/>
            <w:vAlign w:val="top"/>
          </w:tcPr>
          <w:p w14:paraId="2DCF2001">
            <w:pPr>
              <w:keepNext w:val="0"/>
              <w:keepLines w:val="0"/>
              <w:pageBreakBefore w:val="0"/>
              <w:kinsoku/>
              <w:wordWrap/>
              <w:overflowPunct w:val="0"/>
              <w:topLinePunct/>
              <w:bidi w:val="0"/>
              <w:spacing w:line="360" w:lineRule="auto"/>
              <w:rPr>
                <w:rFonts w:ascii="Arial"/>
                <w:sz w:val="21"/>
                <w:highlight w:val="none"/>
              </w:rPr>
            </w:pPr>
          </w:p>
        </w:tc>
        <w:tc>
          <w:tcPr>
            <w:tcW w:w="1200" w:type="dxa"/>
            <w:vAlign w:val="top"/>
          </w:tcPr>
          <w:p w14:paraId="423AFAF1">
            <w:pPr>
              <w:keepNext w:val="0"/>
              <w:keepLines w:val="0"/>
              <w:pageBreakBefore w:val="0"/>
              <w:kinsoku/>
              <w:wordWrap/>
              <w:overflowPunct w:val="0"/>
              <w:topLinePunct/>
              <w:bidi w:val="0"/>
              <w:spacing w:line="360" w:lineRule="auto"/>
              <w:rPr>
                <w:rFonts w:ascii="Arial"/>
                <w:sz w:val="21"/>
                <w:highlight w:val="none"/>
              </w:rPr>
            </w:pPr>
          </w:p>
        </w:tc>
        <w:tc>
          <w:tcPr>
            <w:tcW w:w="1246" w:type="dxa"/>
            <w:vAlign w:val="top"/>
          </w:tcPr>
          <w:p w14:paraId="47776AEF">
            <w:pPr>
              <w:keepNext w:val="0"/>
              <w:keepLines w:val="0"/>
              <w:pageBreakBefore w:val="0"/>
              <w:kinsoku/>
              <w:wordWrap/>
              <w:overflowPunct w:val="0"/>
              <w:topLinePunct/>
              <w:bidi w:val="0"/>
              <w:spacing w:line="360" w:lineRule="auto"/>
              <w:rPr>
                <w:rFonts w:ascii="Arial"/>
                <w:sz w:val="21"/>
                <w:highlight w:val="none"/>
              </w:rPr>
            </w:pPr>
          </w:p>
        </w:tc>
        <w:tc>
          <w:tcPr>
            <w:tcW w:w="1336" w:type="dxa"/>
            <w:vAlign w:val="top"/>
          </w:tcPr>
          <w:p w14:paraId="75CA0F60">
            <w:pPr>
              <w:keepNext w:val="0"/>
              <w:keepLines w:val="0"/>
              <w:pageBreakBefore w:val="0"/>
              <w:kinsoku/>
              <w:wordWrap/>
              <w:overflowPunct w:val="0"/>
              <w:topLinePunct/>
              <w:bidi w:val="0"/>
              <w:spacing w:line="360" w:lineRule="auto"/>
              <w:rPr>
                <w:rFonts w:ascii="Arial"/>
                <w:sz w:val="21"/>
                <w:highlight w:val="none"/>
              </w:rPr>
            </w:pPr>
          </w:p>
        </w:tc>
        <w:tc>
          <w:tcPr>
            <w:tcW w:w="1363" w:type="dxa"/>
            <w:vAlign w:val="top"/>
          </w:tcPr>
          <w:p w14:paraId="16B31AF2">
            <w:pPr>
              <w:keepNext w:val="0"/>
              <w:keepLines w:val="0"/>
              <w:pageBreakBefore w:val="0"/>
              <w:kinsoku/>
              <w:wordWrap/>
              <w:overflowPunct w:val="0"/>
              <w:topLinePunct/>
              <w:bidi w:val="0"/>
              <w:spacing w:line="360" w:lineRule="auto"/>
              <w:rPr>
                <w:rFonts w:ascii="Arial"/>
                <w:sz w:val="21"/>
                <w:highlight w:val="none"/>
              </w:rPr>
            </w:pPr>
          </w:p>
        </w:tc>
      </w:tr>
      <w:tr w14:paraId="59E93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15" w:type="dxa"/>
            <w:shd w:val="clear" w:color="auto" w:fill="auto"/>
            <w:vAlign w:val="center"/>
          </w:tcPr>
          <w:p w14:paraId="28E041B3">
            <w:pPr>
              <w:pStyle w:val="12"/>
              <w:keepNext w:val="0"/>
              <w:keepLines w:val="0"/>
              <w:pageBreakBefore w:val="0"/>
              <w:kinsoku/>
              <w:wordWrap/>
              <w:overflowPunct w:val="0"/>
              <w:topLinePunct/>
              <w:bidi w:val="0"/>
              <w:spacing w:before="78" w:line="360" w:lineRule="auto"/>
              <w:ind w:left="207" w:leftChars="0"/>
              <w:jc w:val="center"/>
              <w:rPr>
                <w:rFonts w:hint="eastAsia" w:ascii="宋体" w:hAnsi="宋体" w:eastAsia="宋体" w:cs="宋体"/>
                <w:b/>
                <w:bCs/>
                <w:snapToGrid w:val="0"/>
                <w:color w:val="000000"/>
                <w:spacing w:val="-5"/>
                <w:kern w:val="0"/>
                <w:sz w:val="24"/>
                <w:szCs w:val="24"/>
                <w:highlight w:val="none"/>
                <w:lang w:val="en-US" w:eastAsia="zh-CN" w:bidi="ar-SA"/>
              </w:rPr>
            </w:pPr>
            <w:r>
              <w:rPr>
                <w:rFonts w:hint="eastAsia" w:cs="宋体"/>
                <w:b/>
                <w:bCs/>
                <w:spacing w:val="-5"/>
                <w:highlight w:val="none"/>
                <w:lang w:val="en-US" w:eastAsia="zh-CN"/>
              </w:rPr>
              <w:t>4</w:t>
            </w:r>
          </w:p>
        </w:tc>
        <w:tc>
          <w:tcPr>
            <w:tcW w:w="2154" w:type="dxa"/>
            <w:vAlign w:val="top"/>
          </w:tcPr>
          <w:p w14:paraId="562D6174">
            <w:pPr>
              <w:keepNext w:val="0"/>
              <w:keepLines w:val="0"/>
              <w:pageBreakBefore w:val="0"/>
              <w:kinsoku/>
              <w:wordWrap/>
              <w:overflowPunct w:val="0"/>
              <w:topLinePunct/>
              <w:bidi w:val="0"/>
              <w:spacing w:line="360" w:lineRule="auto"/>
              <w:rPr>
                <w:rFonts w:ascii="Arial"/>
                <w:sz w:val="21"/>
                <w:highlight w:val="none"/>
              </w:rPr>
            </w:pPr>
          </w:p>
        </w:tc>
        <w:tc>
          <w:tcPr>
            <w:tcW w:w="1263" w:type="dxa"/>
            <w:vAlign w:val="top"/>
          </w:tcPr>
          <w:p w14:paraId="2823FC68">
            <w:pPr>
              <w:keepNext w:val="0"/>
              <w:keepLines w:val="0"/>
              <w:pageBreakBefore w:val="0"/>
              <w:kinsoku/>
              <w:wordWrap/>
              <w:overflowPunct w:val="0"/>
              <w:topLinePunct/>
              <w:bidi w:val="0"/>
              <w:spacing w:line="360" w:lineRule="auto"/>
              <w:rPr>
                <w:rFonts w:ascii="Arial"/>
                <w:sz w:val="21"/>
                <w:highlight w:val="none"/>
              </w:rPr>
            </w:pPr>
          </w:p>
        </w:tc>
        <w:tc>
          <w:tcPr>
            <w:tcW w:w="1200" w:type="dxa"/>
            <w:vAlign w:val="top"/>
          </w:tcPr>
          <w:p w14:paraId="6F062DE2">
            <w:pPr>
              <w:keepNext w:val="0"/>
              <w:keepLines w:val="0"/>
              <w:pageBreakBefore w:val="0"/>
              <w:kinsoku/>
              <w:wordWrap/>
              <w:overflowPunct w:val="0"/>
              <w:topLinePunct/>
              <w:bidi w:val="0"/>
              <w:spacing w:line="360" w:lineRule="auto"/>
              <w:rPr>
                <w:rFonts w:ascii="Arial"/>
                <w:sz w:val="21"/>
                <w:highlight w:val="none"/>
              </w:rPr>
            </w:pPr>
          </w:p>
        </w:tc>
        <w:tc>
          <w:tcPr>
            <w:tcW w:w="1246" w:type="dxa"/>
            <w:vAlign w:val="top"/>
          </w:tcPr>
          <w:p w14:paraId="472B5D3C">
            <w:pPr>
              <w:keepNext w:val="0"/>
              <w:keepLines w:val="0"/>
              <w:pageBreakBefore w:val="0"/>
              <w:kinsoku/>
              <w:wordWrap/>
              <w:overflowPunct w:val="0"/>
              <w:topLinePunct/>
              <w:bidi w:val="0"/>
              <w:spacing w:line="360" w:lineRule="auto"/>
              <w:rPr>
                <w:rFonts w:ascii="Arial"/>
                <w:sz w:val="21"/>
                <w:highlight w:val="none"/>
              </w:rPr>
            </w:pPr>
          </w:p>
        </w:tc>
        <w:tc>
          <w:tcPr>
            <w:tcW w:w="1336" w:type="dxa"/>
            <w:vAlign w:val="top"/>
          </w:tcPr>
          <w:p w14:paraId="03C1729A">
            <w:pPr>
              <w:keepNext w:val="0"/>
              <w:keepLines w:val="0"/>
              <w:pageBreakBefore w:val="0"/>
              <w:kinsoku/>
              <w:wordWrap/>
              <w:overflowPunct w:val="0"/>
              <w:topLinePunct/>
              <w:bidi w:val="0"/>
              <w:spacing w:line="360" w:lineRule="auto"/>
              <w:rPr>
                <w:rFonts w:ascii="Arial"/>
                <w:sz w:val="21"/>
                <w:highlight w:val="none"/>
              </w:rPr>
            </w:pPr>
          </w:p>
        </w:tc>
        <w:tc>
          <w:tcPr>
            <w:tcW w:w="1363" w:type="dxa"/>
            <w:vAlign w:val="top"/>
          </w:tcPr>
          <w:p w14:paraId="14452584">
            <w:pPr>
              <w:keepNext w:val="0"/>
              <w:keepLines w:val="0"/>
              <w:pageBreakBefore w:val="0"/>
              <w:kinsoku/>
              <w:wordWrap/>
              <w:overflowPunct w:val="0"/>
              <w:topLinePunct/>
              <w:bidi w:val="0"/>
              <w:spacing w:line="360" w:lineRule="auto"/>
              <w:rPr>
                <w:rFonts w:ascii="Arial"/>
                <w:sz w:val="21"/>
                <w:highlight w:val="none"/>
              </w:rPr>
            </w:pPr>
          </w:p>
        </w:tc>
      </w:tr>
      <w:tr w14:paraId="7DB62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15" w:type="dxa"/>
            <w:shd w:val="clear" w:color="auto" w:fill="auto"/>
            <w:vAlign w:val="center"/>
          </w:tcPr>
          <w:p w14:paraId="6950D4F4">
            <w:pPr>
              <w:pStyle w:val="12"/>
              <w:keepNext w:val="0"/>
              <w:keepLines w:val="0"/>
              <w:pageBreakBefore w:val="0"/>
              <w:kinsoku/>
              <w:wordWrap/>
              <w:overflowPunct w:val="0"/>
              <w:topLinePunct/>
              <w:bidi w:val="0"/>
              <w:spacing w:before="78" w:line="360" w:lineRule="auto"/>
              <w:ind w:left="207" w:leftChars="0"/>
              <w:jc w:val="center"/>
              <w:rPr>
                <w:rFonts w:hint="default" w:ascii="宋体" w:hAnsi="宋体" w:eastAsia="宋体" w:cs="宋体"/>
                <w:b/>
                <w:bCs/>
                <w:snapToGrid w:val="0"/>
                <w:color w:val="000000"/>
                <w:spacing w:val="-5"/>
                <w:kern w:val="0"/>
                <w:sz w:val="24"/>
                <w:szCs w:val="24"/>
                <w:highlight w:val="none"/>
                <w:lang w:val="en-US" w:eastAsia="zh-CN" w:bidi="ar-SA"/>
              </w:rPr>
            </w:pPr>
            <w:r>
              <w:rPr>
                <w:rFonts w:hint="eastAsia" w:cs="宋体"/>
                <w:b/>
                <w:bCs/>
                <w:snapToGrid w:val="0"/>
                <w:color w:val="000000"/>
                <w:spacing w:val="-5"/>
                <w:kern w:val="0"/>
                <w:sz w:val="24"/>
                <w:szCs w:val="24"/>
                <w:highlight w:val="none"/>
                <w:lang w:val="en-US" w:eastAsia="zh-CN" w:bidi="ar-SA"/>
              </w:rPr>
              <w:t>5</w:t>
            </w:r>
          </w:p>
        </w:tc>
        <w:tc>
          <w:tcPr>
            <w:tcW w:w="2154" w:type="dxa"/>
            <w:vAlign w:val="top"/>
          </w:tcPr>
          <w:p w14:paraId="1E45A314">
            <w:pPr>
              <w:keepNext w:val="0"/>
              <w:keepLines w:val="0"/>
              <w:pageBreakBefore w:val="0"/>
              <w:kinsoku/>
              <w:wordWrap/>
              <w:overflowPunct w:val="0"/>
              <w:topLinePunct/>
              <w:bidi w:val="0"/>
              <w:spacing w:line="360" w:lineRule="auto"/>
              <w:rPr>
                <w:rFonts w:ascii="Arial"/>
                <w:sz w:val="21"/>
                <w:highlight w:val="none"/>
              </w:rPr>
            </w:pPr>
          </w:p>
        </w:tc>
        <w:tc>
          <w:tcPr>
            <w:tcW w:w="1263" w:type="dxa"/>
            <w:vAlign w:val="top"/>
          </w:tcPr>
          <w:p w14:paraId="53D53B0D">
            <w:pPr>
              <w:keepNext w:val="0"/>
              <w:keepLines w:val="0"/>
              <w:pageBreakBefore w:val="0"/>
              <w:kinsoku/>
              <w:wordWrap/>
              <w:overflowPunct w:val="0"/>
              <w:topLinePunct/>
              <w:bidi w:val="0"/>
              <w:spacing w:line="360" w:lineRule="auto"/>
              <w:rPr>
                <w:rFonts w:ascii="Arial"/>
                <w:sz w:val="21"/>
                <w:highlight w:val="none"/>
              </w:rPr>
            </w:pPr>
          </w:p>
        </w:tc>
        <w:tc>
          <w:tcPr>
            <w:tcW w:w="1200" w:type="dxa"/>
            <w:vAlign w:val="top"/>
          </w:tcPr>
          <w:p w14:paraId="1409F90E">
            <w:pPr>
              <w:keepNext w:val="0"/>
              <w:keepLines w:val="0"/>
              <w:pageBreakBefore w:val="0"/>
              <w:kinsoku/>
              <w:wordWrap/>
              <w:overflowPunct w:val="0"/>
              <w:topLinePunct/>
              <w:bidi w:val="0"/>
              <w:spacing w:line="360" w:lineRule="auto"/>
              <w:rPr>
                <w:rFonts w:ascii="Arial"/>
                <w:sz w:val="21"/>
                <w:highlight w:val="none"/>
              </w:rPr>
            </w:pPr>
          </w:p>
        </w:tc>
        <w:tc>
          <w:tcPr>
            <w:tcW w:w="1246" w:type="dxa"/>
            <w:vAlign w:val="top"/>
          </w:tcPr>
          <w:p w14:paraId="534F0EFC">
            <w:pPr>
              <w:keepNext w:val="0"/>
              <w:keepLines w:val="0"/>
              <w:pageBreakBefore w:val="0"/>
              <w:kinsoku/>
              <w:wordWrap/>
              <w:overflowPunct w:val="0"/>
              <w:topLinePunct/>
              <w:bidi w:val="0"/>
              <w:spacing w:line="360" w:lineRule="auto"/>
              <w:rPr>
                <w:rFonts w:ascii="Arial"/>
                <w:sz w:val="21"/>
                <w:highlight w:val="none"/>
              </w:rPr>
            </w:pPr>
          </w:p>
        </w:tc>
        <w:tc>
          <w:tcPr>
            <w:tcW w:w="1336" w:type="dxa"/>
            <w:vAlign w:val="top"/>
          </w:tcPr>
          <w:p w14:paraId="53485975">
            <w:pPr>
              <w:keepNext w:val="0"/>
              <w:keepLines w:val="0"/>
              <w:pageBreakBefore w:val="0"/>
              <w:kinsoku/>
              <w:wordWrap/>
              <w:overflowPunct w:val="0"/>
              <w:topLinePunct/>
              <w:bidi w:val="0"/>
              <w:spacing w:line="360" w:lineRule="auto"/>
              <w:rPr>
                <w:rFonts w:ascii="Arial"/>
                <w:sz w:val="21"/>
                <w:highlight w:val="none"/>
              </w:rPr>
            </w:pPr>
          </w:p>
        </w:tc>
        <w:tc>
          <w:tcPr>
            <w:tcW w:w="1363" w:type="dxa"/>
            <w:vAlign w:val="top"/>
          </w:tcPr>
          <w:p w14:paraId="6EC369C8">
            <w:pPr>
              <w:keepNext w:val="0"/>
              <w:keepLines w:val="0"/>
              <w:pageBreakBefore w:val="0"/>
              <w:kinsoku/>
              <w:wordWrap/>
              <w:overflowPunct w:val="0"/>
              <w:topLinePunct/>
              <w:bidi w:val="0"/>
              <w:spacing w:line="360" w:lineRule="auto"/>
              <w:rPr>
                <w:rFonts w:ascii="Arial"/>
                <w:sz w:val="21"/>
                <w:highlight w:val="none"/>
              </w:rPr>
            </w:pPr>
          </w:p>
        </w:tc>
      </w:tr>
      <w:tr w14:paraId="58AE5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15" w:type="dxa"/>
            <w:shd w:val="clear" w:color="auto" w:fill="auto"/>
            <w:vAlign w:val="center"/>
          </w:tcPr>
          <w:p w14:paraId="1802C316">
            <w:pPr>
              <w:pStyle w:val="12"/>
              <w:keepNext w:val="0"/>
              <w:keepLines w:val="0"/>
              <w:pageBreakBefore w:val="0"/>
              <w:kinsoku/>
              <w:wordWrap/>
              <w:overflowPunct w:val="0"/>
              <w:topLinePunct/>
              <w:bidi w:val="0"/>
              <w:spacing w:before="78" w:line="360" w:lineRule="auto"/>
              <w:ind w:left="207" w:leftChars="0"/>
              <w:jc w:val="center"/>
              <w:rPr>
                <w:rFonts w:hint="default" w:ascii="宋体" w:hAnsi="宋体" w:eastAsia="宋体" w:cs="宋体"/>
                <w:b/>
                <w:bCs/>
                <w:snapToGrid w:val="0"/>
                <w:color w:val="000000"/>
                <w:spacing w:val="-5"/>
                <w:kern w:val="0"/>
                <w:sz w:val="24"/>
                <w:szCs w:val="24"/>
                <w:highlight w:val="none"/>
                <w:lang w:val="en-US" w:eastAsia="zh-CN" w:bidi="ar-SA"/>
              </w:rPr>
            </w:pPr>
            <w:r>
              <w:rPr>
                <w:rFonts w:hint="eastAsia" w:cs="宋体"/>
                <w:b/>
                <w:bCs/>
                <w:snapToGrid w:val="0"/>
                <w:color w:val="000000"/>
                <w:spacing w:val="-5"/>
                <w:kern w:val="0"/>
                <w:sz w:val="24"/>
                <w:szCs w:val="24"/>
                <w:highlight w:val="none"/>
                <w:lang w:val="en-US" w:eastAsia="zh-CN" w:bidi="ar-SA"/>
              </w:rPr>
              <w:t>6</w:t>
            </w:r>
          </w:p>
        </w:tc>
        <w:tc>
          <w:tcPr>
            <w:tcW w:w="2154" w:type="dxa"/>
            <w:vAlign w:val="top"/>
          </w:tcPr>
          <w:p w14:paraId="0F172507">
            <w:pPr>
              <w:keepNext w:val="0"/>
              <w:keepLines w:val="0"/>
              <w:pageBreakBefore w:val="0"/>
              <w:kinsoku/>
              <w:wordWrap/>
              <w:overflowPunct w:val="0"/>
              <w:topLinePunct/>
              <w:bidi w:val="0"/>
              <w:spacing w:line="360" w:lineRule="auto"/>
              <w:rPr>
                <w:rFonts w:ascii="Arial"/>
                <w:sz w:val="21"/>
                <w:highlight w:val="none"/>
              </w:rPr>
            </w:pPr>
          </w:p>
        </w:tc>
        <w:tc>
          <w:tcPr>
            <w:tcW w:w="1263" w:type="dxa"/>
            <w:vAlign w:val="top"/>
          </w:tcPr>
          <w:p w14:paraId="3E653A4B">
            <w:pPr>
              <w:keepNext w:val="0"/>
              <w:keepLines w:val="0"/>
              <w:pageBreakBefore w:val="0"/>
              <w:kinsoku/>
              <w:wordWrap/>
              <w:overflowPunct w:val="0"/>
              <w:topLinePunct/>
              <w:bidi w:val="0"/>
              <w:spacing w:line="360" w:lineRule="auto"/>
              <w:rPr>
                <w:rFonts w:ascii="Arial"/>
                <w:sz w:val="21"/>
                <w:highlight w:val="none"/>
              </w:rPr>
            </w:pPr>
          </w:p>
        </w:tc>
        <w:tc>
          <w:tcPr>
            <w:tcW w:w="1200" w:type="dxa"/>
            <w:vAlign w:val="top"/>
          </w:tcPr>
          <w:p w14:paraId="3E11C337">
            <w:pPr>
              <w:keepNext w:val="0"/>
              <w:keepLines w:val="0"/>
              <w:pageBreakBefore w:val="0"/>
              <w:kinsoku/>
              <w:wordWrap/>
              <w:overflowPunct w:val="0"/>
              <w:topLinePunct/>
              <w:bidi w:val="0"/>
              <w:spacing w:line="360" w:lineRule="auto"/>
              <w:rPr>
                <w:rFonts w:ascii="Arial"/>
                <w:sz w:val="21"/>
                <w:highlight w:val="none"/>
              </w:rPr>
            </w:pPr>
          </w:p>
        </w:tc>
        <w:tc>
          <w:tcPr>
            <w:tcW w:w="1246" w:type="dxa"/>
            <w:vAlign w:val="top"/>
          </w:tcPr>
          <w:p w14:paraId="2059867F">
            <w:pPr>
              <w:keepNext w:val="0"/>
              <w:keepLines w:val="0"/>
              <w:pageBreakBefore w:val="0"/>
              <w:kinsoku/>
              <w:wordWrap/>
              <w:overflowPunct w:val="0"/>
              <w:topLinePunct/>
              <w:bidi w:val="0"/>
              <w:spacing w:line="360" w:lineRule="auto"/>
              <w:rPr>
                <w:rFonts w:ascii="Arial"/>
                <w:sz w:val="21"/>
                <w:highlight w:val="none"/>
              </w:rPr>
            </w:pPr>
          </w:p>
        </w:tc>
        <w:tc>
          <w:tcPr>
            <w:tcW w:w="1336" w:type="dxa"/>
            <w:vAlign w:val="top"/>
          </w:tcPr>
          <w:p w14:paraId="4DB74CEB">
            <w:pPr>
              <w:keepNext w:val="0"/>
              <w:keepLines w:val="0"/>
              <w:pageBreakBefore w:val="0"/>
              <w:kinsoku/>
              <w:wordWrap/>
              <w:overflowPunct w:val="0"/>
              <w:topLinePunct/>
              <w:bidi w:val="0"/>
              <w:spacing w:line="360" w:lineRule="auto"/>
              <w:rPr>
                <w:rFonts w:ascii="Arial"/>
                <w:sz w:val="21"/>
                <w:highlight w:val="none"/>
              </w:rPr>
            </w:pPr>
          </w:p>
        </w:tc>
        <w:tc>
          <w:tcPr>
            <w:tcW w:w="1363" w:type="dxa"/>
            <w:vAlign w:val="top"/>
          </w:tcPr>
          <w:p w14:paraId="054853DA">
            <w:pPr>
              <w:keepNext w:val="0"/>
              <w:keepLines w:val="0"/>
              <w:pageBreakBefore w:val="0"/>
              <w:kinsoku/>
              <w:wordWrap/>
              <w:overflowPunct w:val="0"/>
              <w:topLinePunct/>
              <w:bidi w:val="0"/>
              <w:spacing w:line="360" w:lineRule="auto"/>
              <w:rPr>
                <w:rFonts w:ascii="Arial"/>
                <w:sz w:val="21"/>
                <w:highlight w:val="none"/>
              </w:rPr>
            </w:pPr>
          </w:p>
        </w:tc>
      </w:tr>
      <w:tr w14:paraId="786F8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15" w:type="dxa"/>
            <w:shd w:val="clear" w:color="auto" w:fill="auto"/>
            <w:vAlign w:val="center"/>
          </w:tcPr>
          <w:p w14:paraId="6656E6C6">
            <w:pPr>
              <w:pStyle w:val="12"/>
              <w:keepNext w:val="0"/>
              <w:keepLines w:val="0"/>
              <w:pageBreakBefore w:val="0"/>
              <w:kinsoku/>
              <w:wordWrap/>
              <w:overflowPunct w:val="0"/>
              <w:topLinePunct/>
              <w:bidi w:val="0"/>
              <w:spacing w:before="78" w:line="360" w:lineRule="auto"/>
              <w:ind w:left="207" w:leftChars="0"/>
              <w:jc w:val="center"/>
              <w:rPr>
                <w:rFonts w:hint="default" w:ascii="宋体" w:hAnsi="宋体" w:eastAsia="宋体" w:cs="宋体"/>
                <w:b/>
                <w:bCs/>
                <w:snapToGrid w:val="0"/>
                <w:color w:val="000000"/>
                <w:spacing w:val="-5"/>
                <w:kern w:val="0"/>
                <w:sz w:val="24"/>
                <w:szCs w:val="24"/>
                <w:highlight w:val="none"/>
                <w:lang w:val="en-US" w:eastAsia="zh-CN" w:bidi="ar-SA"/>
              </w:rPr>
            </w:pPr>
            <w:r>
              <w:rPr>
                <w:rFonts w:hint="eastAsia" w:cs="宋体"/>
                <w:b/>
                <w:bCs/>
                <w:snapToGrid w:val="0"/>
                <w:color w:val="000000"/>
                <w:spacing w:val="-5"/>
                <w:kern w:val="0"/>
                <w:sz w:val="24"/>
                <w:szCs w:val="24"/>
                <w:highlight w:val="none"/>
                <w:lang w:val="en-US" w:eastAsia="zh-CN" w:bidi="ar-SA"/>
              </w:rPr>
              <w:t>7</w:t>
            </w:r>
          </w:p>
        </w:tc>
        <w:tc>
          <w:tcPr>
            <w:tcW w:w="2154" w:type="dxa"/>
            <w:vAlign w:val="top"/>
          </w:tcPr>
          <w:p w14:paraId="5546543F">
            <w:pPr>
              <w:keepNext w:val="0"/>
              <w:keepLines w:val="0"/>
              <w:pageBreakBefore w:val="0"/>
              <w:kinsoku/>
              <w:wordWrap/>
              <w:overflowPunct w:val="0"/>
              <w:topLinePunct/>
              <w:bidi w:val="0"/>
              <w:spacing w:line="360" w:lineRule="auto"/>
              <w:rPr>
                <w:rFonts w:ascii="Arial"/>
                <w:sz w:val="21"/>
                <w:highlight w:val="none"/>
              </w:rPr>
            </w:pPr>
          </w:p>
        </w:tc>
        <w:tc>
          <w:tcPr>
            <w:tcW w:w="1263" w:type="dxa"/>
            <w:vAlign w:val="top"/>
          </w:tcPr>
          <w:p w14:paraId="5E166DEF">
            <w:pPr>
              <w:keepNext w:val="0"/>
              <w:keepLines w:val="0"/>
              <w:pageBreakBefore w:val="0"/>
              <w:kinsoku/>
              <w:wordWrap/>
              <w:overflowPunct w:val="0"/>
              <w:topLinePunct/>
              <w:bidi w:val="0"/>
              <w:spacing w:line="360" w:lineRule="auto"/>
              <w:rPr>
                <w:rFonts w:ascii="Arial"/>
                <w:sz w:val="21"/>
                <w:highlight w:val="none"/>
              </w:rPr>
            </w:pPr>
          </w:p>
        </w:tc>
        <w:tc>
          <w:tcPr>
            <w:tcW w:w="1200" w:type="dxa"/>
            <w:vAlign w:val="top"/>
          </w:tcPr>
          <w:p w14:paraId="34D4E9C3">
            <w:pPr>
              <w:keepNext w:val="0"/>
              <w:keepLines w:val="0"/>
              <w:pageBreakBefore w:val="0"/>
              <w:kinsoku/>
              <w:wordWrap/>
              <w:overflowPunct w:val="0"/>
              <w:topLinePunct/>
              <w:bidi w:val="0"/>
              <w:spacing w:line="360" w:lineRule="auto"/>
              <w:rPr>
                <w:rFonts w:ascii="Arial"/>
                <w:sz w:val="21"/>
                <w:highlight w:val="none"/>
              </w:rPr>
            </w:pPr>
          </w:p>
        </w:tc>
        <w:tc>
          <w:tcPr>
            <w:tcW w:w="1246" w:type="dxa"/>
            <w:vAlign w:val="top"/>
          </w:tcPr>
          <w:p w14:paraId="5D0C336F">
            <w:pPr>
              <w:keepNext w:val="0"/>
              <w:keepLines w:val="0"/>
              <w:pageBreakBefore w:val="0"/>
              <w:kinsoku/>
              <w:wordWrap/>
              <w:overflowPunct w:val="0"/>
              <w:topLinePunct/>
              <w:bidi w:val="0"/>
              <w:spacing w:line="360" w:lineRule="auto"/>
              <w:rPr>
                <w:rFonts w:ascii="Arial"/>
                <w:sz w:val="21"/>
                <w:highlight w:val="none"/>
              </w:rPr>
            </w:pPr>
          </w:p>
        </w:tc>
        <w:tc>
          <w:tcPr>
            <w:tcW w:w="1336" w:type="dxa"/>
            <w:vAlign w:val="top"/>
          </w:tcPr>
          <w:p w14:paraId="1DB8DD3E">
            <w:pPr>
              <w:keepNext w:val="0"/>
              <w:keepLines w:val="0"/>
              <w:pageBreakBefore w:val="0"/>
              <w:kinsoku/>
              <w:wordWrap/>
              <w:overflowPunct w:val="0"/>
              <w:topLinePunct/>
              <w:bidi w:val="0"/>
              <w:spacing w:line="360" w:lineRule="auto"/>
              <w:rPr>
                <w:rFonts w:ascii="Arial"/>
                <w:sz w:val="21"/>
                <w:highlight w:val="none"/>
              </w:rPr>
            </w:pPr>
          </w:p>
        </w:tc>
        <w:tc>
          <w:tcPr>
            <w:tcW w:w="1363" w:type="dxa"/>
            <w:vAlign w:val="top"/>
          </w:tcPr>
          <w:p w14:paraId="6855210F">
            <w:pPr>
              <w:keepNext w:val="0"/>
              <w:keepLines w:val="0"/>
              <w:pageBreakBefore w:val="0"/>
              <w:kinsoku/>
              <w:wordWrap/>
              <w:overflowPunct w:val="0"/>
              <w:topLinePunct/>
              <w:bidi w:val="0"/>
              <w:spacing w:line="360" w:lineRule="auto"/>
              <w:rPr>
                <w:rFonts w:ascii="Arial"/>
                <w:sz w:val="21"/>
                <w:highlight w:val="none"/>
              </w:rPr>
            </w:pPr>
          </w:p>
        </w:tc>
      </w:tr>
      <w:tr w14:paraId="17A2F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15" w:type="dxa"/>
            <w:shd w:val="clear" w:color="auto" w:fill="auto"/>
            <w:vAlign w:val="center"/>
          </w:tcPr>
          <w:p w14:paraId="25A101DB">
            <w:pPr>
              <w:pStyle w:val="12"/>
              <w:keepNext w:val="0"/>
              <w:keepLines w:val="0"/>
              <w:pageBreakBefore w:val="0"/>
              <w:kinsoku/>
              <w:wordWrap/>
              <w:overflowPunct w:val="0"/>
              <w:topLinePunct/>
              <w:bidi w:val="0"/>
              <w:spacing w:before="78" w:line="360" w:lineRule="auto"/>
              <w:ind w:left="207" w:leftChars="0"/>
              <w:jc w:val="center"/>
              <w:rPr>
                <w:rFonts w:hint="default" w:ascii="宋体" w:hAnsi="宋体" w:eastAsia="宋体" w:cs="宋体"/>
                <w:b/>
                <w:bCs/>
                <w:snapToGrid w:val="0"/>
                <w:color w:val="000000"/>
                <w:spacing w:val="-5"/>
                <w:kern w:val="0"/>
                <w:sz w:val="24"/>
                <w:szCs w:val="24"/>
                <w:highlight w:val="none"/>
                <w:lang w:val="en-US" w:eastAsia="zh-CN" w:bidi="ar-SA"/>
              </w:rPr>
            </w:pPr>
            <w:r>
              <w:rPr>
                <w:rFonts w:hint="eastAsia" w:cs="宋体"/>
                <w:b/>
                <w:bCs/>
                <w:snapToGrid w:val="0"/>
                <w:color w:val="000000"/>
                <w:spacing w:val="-5"/>
                <w:kern w:val="0"/>
                <w:sz w:val="24"/>
                <w:szCs w:val="24"/>
                <w:highlight w:val="none"/>
                <w:lang w:val="en-US" w:eastAsia="zh-CN" w:bidi="ar-SA"/>
              </w:rPr>
              <w:t>8</w:t>
            </w:r>
          </w:p>
        </w:tc>
        <w:tc>
          <w:tcPr>
            <w:tcW w:w="2154" w:type="dxa"/>
            <w:vAlign w:val="top"/>
          </w:tcPr>
          <w:p w14:paraId="673C71EC">
            <w:pPr>
              <w:keepNext w:val="0"/>
              <w:keepLines w:val="0"/>
              <w:pageBreakBefore w:val="0"/>
              <w:kinsoku/>
              <w:wordWrap/>
              <w:overflowPunct w:val="0"/>
              <w:topLinePunct/>
              <w:bidi w:val="0"/>
              <w:spacing w:line="360" w:lineRule="auto"/>
              <w:rPr>
                <w:rFonts w:ascii="Arial"/>
                <w:sz w:val="21"/>
                <w:highlight w:val="none"/>
              </w:rPr>
            </w:pPr>
          </w:p>
        </w:tc>
        <w:tc>
          <w:tcPr>
            <w:tcW w:w="1263" w:type="dxa"/>
            <w:vAlign w:val="top"/>
          </w:tcPr>
          <w:p w14:paraId="02A8B0AE">
            <w:pPr>
              <w:keepNext w:val="0"/>
              <w:keepLines w:val="0"/>
              <w:pageBreakBefore w:val="0"/>
              <w:kinsoku/>
              <w:wordWrap/>
              <w:overflowPunct w:val="0"/>
              <w:topLinePunct/>
              <w:bidi w:val="0"/>
              <w:spacing w:line="360" w:lineRule="auto"/>
              <w:rPr>
                <w:rFonts w:ascii="Arial"/>
                <w:sz w:val="21"/>
                <w:highlight w:val="none"/>
              </w:rPr>
            </w:pPr>
          </w:p>
        </w:tc>
        <w:tc>
          <w:tcPr>
            <w:tcW w:w="1200" w:type="dxa"/>
            <w:vAlign w:val="top"/>
          </w:tcPr>
          <w:p w14:paraId="44A57217">
            <w:pPr>
              <w:keepNext w:val="0"/>
              <w:keepLines w:val="0"/>
              <w:pageBreakBefore w:val="0"/>
              <w:kinsoku/>
              <w:wordWrap/>
              <w:overflowPunct w:val="0"/>
              <w:topLinePunct/>
              <w:bidi w:val="0"/>
              <w:spacing w:line="360" w:lineRule="auto"/>
              <w:rPr>
                <w:rFonts w:ascii="Arial"/>
                <w:sz w:val="21"/>
                <w:highlight w:val="none"/>
              </w:rPr>
            </w:pPr>
          </w:p>
        </w:tc>
        <w:tc>
          <w:tcPr>
            <w:tcW w:w="1246" w:type="dxa"/>
            <w:vAlign w:val="top"/>
          </w:tcPr>
          <w:p w14:paraId="4DBD9E1D">
            <w:pPr>
              <w:keepNext w:val="0"/>
              <w:keepLines w:val="0"/>
              <w:pageBreakBefore w:val="0"/>
              <w:kinsoku/>
              <w:wordWrap/>
              <w:overflowPunct w:val="0"/>
              <w:topLinePunct/>
              <w:bidi w:val="0"/>
              <w:spacing w:line="360" w:lineRule="auto"/>
              <w:rPr>
                <w:rFonts w:ascii="Arial"/>
                <w:sz w:val="21"/>
                <w:highlight w:val="none"/>
              </w:rPr>
            </w:pPr>
          </w:p>
        </w:tc>
        <w:tc>
          <w:tcPr>
            <w:tcW w:w="1336" w:type="dxa"/>
            <w:vAlign w:val="top"/>
          </w:tcPr>
          <w:p w14:paraId="13EC32A9">
            <w:pPr>
              <w:keepNext w:val="0"/>
              <w:keepLines w:val="0"/>
              <w:pageBreakBefore w:val="0"/>
              <w:kinsoku/>
              <w:wordWrap/>
              <w:overflowPunct w:val="0"/>
              <w:topLinePunct/>
              <w:bidi w:val="0"/>
              <w:spacing w:line="360" w:lineRule="auto"/>
              <w:rPr>
                <w:rFonts w:ascii="Arial"/>
                <w:sz w:val="21"/>
                <w:highlight w:val="none"/>
              </w:rPr>
            </w:pPr>
          </w:p>
        </w:tc>
        <w:tc>
          <w:tcPr>
            <w:tcW w:w="1363" w:type="dxa"/>
            <w:vAlign w:val="top"/>
          </w:tcPr>
          <w:p w14:paraId="1F3F9A60">
            <w:pPr>
              <w:keepNext w:val="0"/>
              <w:keepLines w:val="0"/>
              <w:pageBreakBefore w:val="0"/>
              <w:kinsoku/>
              <w:wordWrap/>
              <w:overflowPunct w:val="0"/>
              <w:topLinePunct/>
              <w:bidi w:val="0"/>
              <w:spacing w:line="360" w:lineRule="auto"/>
              <w:rPr>
                <w:rFonts w:ascii="Arial"/>
                <w:sz w:val="21"/>
                <w:highlight w:val="none"/>
              </w:rPr>
            </w:pPr>
          </w:p>
        </w:tc>
      </w:tr>
      <w:tr w14:paraId="00CD1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15" w:type="dxa"/>
            <w:shd w:val="clear" w:color="auto" w:fill="auto"/>
            <w:vAlign w:val="center"/>
          </w:tcPr>
          <w:p w14:paraId="429738B4">
            <w:pPr>
              <w:pStyle w:val="12"/>
              <w:keepNext w:val="0"/>
              <w:keepLines w:val="0"/>
              <w:pageBreakBefore w:val="0"/>
              <w:kinsoku/>
              <w:wordWrap/>
              <w:overflowPunct w:val="0"/>
              <w:topLinePunct/>
              <w:bidi w:val="0"/>
              <w:spacing w:before="78" w:line="360" w:lineRule="auto"/>
              <w:ind w:left="207" w:leftChars="0"/>
              <w:jc w:val="center"/>
              <w:rPr>
                <w:rFonts w:hint="default" w:ascii="宋体" w:hAnsi="宋体" w:eastAsia="宋体" w:cs="宋体"/>
                <w:b/>
                <w:bCs/>
                <w:snapToGrid w:val="0"/>
                <w:color w:val="000000"/>
                <w:spacing w:val="-5"/>
                <w:kern w:val="0"/>
                <w:sz w:val="24"/>
                <w:szCs w:val="24"/>
                <w:highlight w:val="none"/>
                <w:lang w:val="en-US" w:eastAsia="zh-CN" w:bidi="ar-SA"/>
              </w:rPr>
            </w:pPr>
            <w:r>
              <w:rPr>
                <w:rFonts w:hint="eastAsia" w:cs="宋体"/>
                <w:b/>
                <w:bCs/>
                <w:snapToGrid w:val="0"/>
                <w:color w:val="000000"/>
                <w:spacing w:val="-5"/>
                <w:kern w:val="0"/>
                <w:sz w:val="24"/>
                <w:szCs w:val="24"/>
                <w:highlight w:val="none"/>
                <w:lang w:val="en-US" w:eastAsia="zh-CN" w:bidi="ar-SA"/>
              </w:rPr>
              <w:t>9</w:t>
            </w:r>
          </w:p>
        </w:tc>
        <w:tc>
          <w:tcPr>
            <w:tcW w:w="2154" w:type="dxa"/>
            <w:vAlign w:val="top"/>
          </w:tcPr>
          <w:p w14:paraId="43457DF8">
            <w:pPr>
              <w:keepNext w:val="0"/>
              <w:keepLines w:val="0"/>
              <w:pageBreakBefore w:val="0"/>
              <w:kinsoku/>
              <w:wordWrap/>
              <w:overflowPunct w:val="0"/>
              <w:topLinePunct/>
              <w:bidi w:val="0"/>
              <w:spacing w:line="360" w:lineRule="auto"/>
              <w:rPr>
                <w:rFonts w:ascii="Arial"/>
                <w:sz w:val="21"/>
                <w:highlight w:val="none"/>
              </w:rPr>
            </w:pPr>
          </w:p>
        </w:tc>
        <w:tc>
          <w:tcPr>
            <w:tcW w:w="1263" w:type="dxa"/>
            <w:vAlign w:val="top"/>
          </w:tcPr>
          <w:p w14:paraId="068882A2">
            <w:pPr>
              <w:keepNext w:val="0"/>
              <w:keepLines w:val="0"/>
              <w:pageBreakBefore w:val="0"/>
              <w:kinsoku/>
              <w:wordWrap/>
              <w:overflowPunct w:val="0"/>
              <w:topLinePunct/>
              <w:bidi w:val="0"/>
              <w:spacing w:line="360" w:lineRule="auto"/>
              <w:rPr>
                <w:rFonts w:ascii="Arial"/>
                <w:sz w:val="21"/>
                <w:highlight w:val="none"/>
              </w:rPr>
            </w:pPr>
          </w:p>
        </w:tc>
        <w:tc>
          <w:tcPr>
            <w:tcW w:w="1200" w:type="dxa"/>
            <w:vAlign w:val="top"/>
          </w:tcPr>
          <w:p w14:paraId="0BA19C58">
            <w:pPr>
              <w:keepNext w:val="0"/>
              <w:keepLines w:val="0"/>
              <w:pageBreakBefore w:val="0"/>
              <w:kinsoku/>
              <w:wordWrap/>
              <w:overflowPunct w:val="0"/>
              <w:topLinePunct/>
              <w:bidi w:val="0"/>
              <w:spacing w:line="360" w:lineRule="auto"/>
              <w:rPr>
                <w:rFonts w:ascii="Arial"/>
                <w:sz w:val="21"/>
                <w:highlight w:val="none"/>
              </w:rPr>
            </w:pPr>
          </w:p>
        </w:tc>
        <w:tc>
          <w:tcPr>
            <w:tcW w:w="1246" w:type="dxa"/>
            <w:vAlign w:val="top"/>
          </w:tcPr>
          <w:p w14:paraId="3093A0D5">
            <w:pPr>
              <w:keepNext w:val="0"/>
              <w:keepLines w:val="0"/>
              <w:pageBreakBefore w:val="0"/>
              <w:kinsoku/>
              <w:wordWrap/>
              <w:overflowPunct w:val="0"/>
              <w:topLinePunct/>
              <w:bidi w:val="0"/>
              <w:spacing w:line="360" w:lineRule="auto"/>
              <w:rPr>
                <w:rFonts w:ascii="Arial"/>
                <w:sz w:val="21"/>
                <w:highlight w:val="none"/>
              </w:rPr>
            </w:pPr>
          </w:p>
        </w:tc>
        <w:tc>
          <w:tcPr>
            <w:tcW w:w="1336" w:type="dxa"/>
            <w:vAlign w:val="top"/>
          </w:tcPr>
          <w:p w14:paraId="0CB97B76">
            <w:pPr>
              <w:keepNext w:val="0"/>
              <w:keepLines w:val="0"/>
              <w:pageBreakBefore w:val="0"/>
              <w:kinsoku/>
              <w:wordWrap/>
              <w:overflowPunct w:val="0"/>
              <w:topLinePunct/>
              <w:bidi w:val="0"/>
              <w:spacing w:line="360" w:lineRule="auto"/>
              <w:rPr>
                <w:rFonts w:ascii="Arial"/>
                <w:sz w:val="21"/>
                <w:highlight w:val="none"/>
              </w:rPr>
            </w:pPr>
          </w:p>
        </w:tc>
        <w:tc>
          <w:tcPr>
            <w:tcW w:w="1363" w:type="dxa"/>
            <w:vAlign w:val="top"/>
          </w:tcPr>
          <w:p w14:paraId="11086467">
            <w:pPr>
              <w:keepNext w:val="0"/>
              <w:keepLines w:val="0"/>
              <w:pageBreakBefore w:val="0"/>
              <w:kinsoku/>
              <w:wordWrap/>
              <w:overflowPunct w:val="0"/>
              <w:topLinePunct/>
              <w:bidi w:val="0"/>
              <w:spacing w:line="360" w:lineRule="auto"/>
              <w:rPr>
                <w:rFonts w:ascii="Arial"/>
                <w:sz w:val="21"/>
                <w:highlight w:val="none"/>
              </w:rPr>
            </w:pPr>
          </w:p>
        </w:tc>
      </w:tr>
      <w:tr w14:paraId="1380D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815" w:type="dxa"/>
            <w:shd w:val="clear" w:color="auto" w:fill="auto"/>
            <w:vAlign w:val="center"/>
          </w:tcPr>
          <w:p w14:paraId="70880C1C">
            <w:pPr>
              <w:pStyle w:val="12"/>
              <w:keepNext w:val="0"/>
              <w:keepLines w:val="0"/>
              <w:pageBreakBefore w:val="0"/>
              <w:kinsoku/>
              <w:wordWrap/>
              <w:overflowPunct w:val="0"/>
              <w:topLinePunct/>
              <w:bidi w:val="0"/>
              <w:spacing w:before="78" w:line="360" w:lineRule="auto"/>
              <w:ind w:left="207" w:leftChars="0"/>
              <w:jc w:val="center"/>
              <w:rPr>
                <w:rFonts w:hint="eastAsia" w:ascii="宋体" w:hAnsi="宋体" w:eastAsia="宋体" w:cs="宋体"/>
                <w:b/>
                <w:bCs/>
                <w:snapToGrid w:val="0"/>
                <w:color w:val="000000"/>
                <w:spacing w:val="-5"/>
                <w:kern w:val="0"/>
                <w:sz w:val="24"/>
                <w:szCs w:val="24"/>
                <w:highlight w:val="none"/>
                <w:lang w:val="en-US" w:eastAsia="zh-CN" w:bidi="ar-SA"/>
              </w:rPr>
            </w:pPr>
            <w:r>
              <w:rPr>
                <w:rFonts w:hint="eastAsia" w:ascii="宋体" w:hAnsi="宋体" w:eastAsia="宋体" w:cs="宋体"/>
                <w:b/>
                <w:bCs/>
                <w:spacing w:val="-5"/>
                <w:highlight w:val="none"/>
                <w:lang w:val="en-US" w:eastAsia="zh-CN"/>
              </w:rPr>
              <w:t>…</w:t>
            </w:r>
          </w:p>
        </w:tc>
        <w:tc>
          <w:tcPr>
            <w:tcW w:w="2154" w:type="dxa"/>
            <w:vAlign w:val="top"/>
          </w:tcPr>
          <w:p w14:paraId="3883880C">
            <w:pPr>
              <w:keepNext w:val="0"/>
              <w:keepLines w:val="0"/>
              <w:pageBreakBefore w:val="0"/>
              <w:kinsoku/>
              <w:wordWrap/>
              <w:overflowPunct w:val="0"/>
              <w:topLinePunct/>
              <w:bidi w:val="0"/>
              <w:spacing w:line="360" w:lineRule="auto"/>
              <w:rPr>
                <w:rFonts w:ascii="Arial"/>
                <w:sz w:val="21"/>
                <w:highlight w:val="none"/>
              </w:rPr>
            </w:pPr>
          </w:p>
        </w:tc>
        <w:tc>
          <w:tcPr>
            <w:tcW w:w="1263" w:type="dxa"/>
            <w:vAlign w:val="top"/>
          </w:tcPr>
          <w:p w14:paraId="71513C3E">
            <w:pPr>
              <w:keepNext w:val="0"/>
              <w:keepLines w:val="0"/>
              <w:pageBreakBefore w:val="0"/>
              <w:kinsoku/>
              <w:wordWrap/>
              <w:overflowPunct w:val="0"/>
              <w:topLinePunct/>
              <w:bidi w:val="0"/>
              <w:spacing w:line="360" w:lineRule="auto"/>
              <w:rPr>
                <w:rFonts w:ascii="Arial"/>
                <w:sz w:val="21"/>
                <w:highlight w:val="none"/>
              </w:rPr>
            </w:pPr>
          </w:p>
        </w:tc>
        <w:tc>
          <w:tcPr>
            <w:tcW w:w="1200" w:type="dxa"/>
            <w:vAlign w:val="top"/>
          </w:tcPr>
          <w:p w14:paraId="088ACC82">
            <w:pPr>
              <w:keepNext w:val="0"/>
              <w:keepLines w:val="0"/>
              <w:pageBreakBefore w:val="0"/>
              <w:kinsoku/>
              <w:wordWrap/>
              <w:overflowPunct w:val="0"/>
              <w:topLinePunct/>
              <w:bidi w:val="0"/>
              <w:spacing w:line="360" w:lineRule="auto"/>
              <w:rPr>
                <w:rFonts w:ascii="Arial"/>
                <w:sz w:val="21"/>
                <w:highlight w:val="none"/>
              </w:rPr>
            </w:pPr>
          </w:p>
        </w:tc>
        <w:tc>
          <w:tcPr>
            <w:tcW w:w="1246" w:type="dxa"/>
            <w:vAlign w:val="top"/>
          </w:tcPr>
          <w:p w14:paraId="7FD094D8">
            <w:pPr>
              <w:keepNext w:val="0"/>
              <w:keepLines w:val="0"/>
              <w:pageBreakBefore w:val="0"/>
              <w:kinsoku/>
              <w:wordWrap/>
              <w:overflowPunct w:val="0"/>
              <w:topLinePunct/>
              <w:bidi w:val="0"/>
              <w:spacing w:line="360" w:lineRule="auto"/>
              <w:rPr>
                <w:rFonts w:ascii="Arial"/>
                <w:sz w:val="21"/>
                <w:highlight w:val="none"/>
              </w:rPr>
            </w:pPr>
          </w:p>
        </w:tc>
        <w:tc>
          <w:tcPr>
            <w:tcW w:w="1336" w:type="dxa"/>
            <w:vAlign w:val="top"/>
          </w:tcPr>
          <w:p w14:paraId="43BD5148">
            <w:pPr>
              <w:keepNext w:val="0"/>
              <w:keepLines w:val="0"/>
              <w:pageBreakBefore w:val="0"/>
              <w:kinsoku/>
              <w:wordWrap/>
              <w:overflowPunct w:val="0"/>
              <w:topLinePunct/>
              <w:bidi w:val="0"/>
              <w:spacing w:line="360" w:lineRule="auto"/>
              <w:rPr>
                <w:rFonts w:ascii="Arial"/>
                <w:sz w:val="21"/>
                <w:highlight w:val="none"/>
              </w:rPr>
            </w:pPr>
          </w:p>
        </w:tc>
        <w:tc>
          <w:tcPr>
            <w:tcW w:w="1363" w:type="dxa"/>
            <w:vAlign w:val="top"/>
          </w:tcPr>
          <w:p w14:paraId="445DB4C4">
            <w:pPr>
              <w:keepNext w:val="0"/>
              <w:keepLines w:val="0"/>
              <w:pageBreakBefore w:val="0"/>
              <w:kinsoku/>
              <w:wordWrap/>
              <w:overflowPunct w:val="0"/>
              <w:topLinePunct/>
              <w:bidi w:val="0"/>
              <w:spacing w:line="360" w:lineRule="auto"/>
              <w:rPr>
                <w:rFonts w:ascii="Arial"/>
                <w:sz w:val="21"/>
                <w:highlight w:val="none"/>
              </w:rPr>
            </w:pPr>
          </w:p>
        </w:tc>
      </w:tr>
    </w:tbl>
    <w:p w14:paraId="58ABBC93">
      <w:pPr>
        <w:keepNext w:val="0"/>
        <w:keepLines w:val="0"/>
        <w:pageBreakBefore w:val="0"/>
        <w:kinsoku/>
        <w:wordWrap/>
        <w:overflowPunct w:val="0"/>
        <w:topLinePunct/>
        <w:bidi w:val="0"/>
        <w:spacing w:before="146" w:line="360" w:lineRule="auto"/>
        <w:rPr>
          <w:rFonts w:ascii="宋体" w:hAnsi="宋体" w:eastAsia="宋体" w:cs="宋体"/>
          <w:sz w:val="24"/>
          <w:szCs w:val="24"/>
          <w:highlight w:val="none"/>
        </w:rPr>
      </w:pPr>
      <w:r>
        <w:rPr>
          <w:rFonts w:ascii="宋体" w:hAnsi="宋体" w:eastAsia="宋体" w:cs="宋体"/>
          <w:b/>
          <w:bCs/>
          <w:spacing w:val="-3"/>
          <w:sz w:val="24"/>
          <w:szCs w:val="24"/>
          <w:highlight w:val="none"/>
        </w:rPr>
        <w:t>注：请列出评分办法中符合得分要求的业绩。</w:t>
      </w:r>
      <w:r>
        <w:rPr>
          <w:rFonts w:ascii="宋体" w:hAnsi="宋体" w:eastAsia="宋体" w:cs="宋体"/>
          <w:b/>
          <w:bCs/>
          <w:spacing w:val="-8"/>
          <w:sz w:val="24"/>
          <w:szCs w:val="24"/>
          <w:highlight w:val="none"/>
        </w:rPr>
        <w:t>每项业绩提供依法指定的媒介发布</w:t>
      </w:r>
      <w:r>
        <w:rPr>
          <w:rFonts w:ascii="宋体" w:hAnsi="宋体" w:eastAsia="宋体" w:cs="宋体"/>
          <w:b/>
          <w:bCs/>
          <w:spacing w:val="-4"/>
          <w:sz w:val="24"/>
          <w:szCs w:val="24"/>
          <w:highlight w:val="none"/>
        </w:rPr>
        <w:t>的中标（成交）公告链接及截图、中标（成交）通知书，时间以中标（成交）通知书</w:t>
      </w:r>
      <w:r>
        <w:rPr>
          <w:rFonts w:hint="eastAsia" w:ascii="宋体" w:hAnsi="宋体" w:eastAsia="宋体" w:cs="宋体"/>
          <w:b/>
          <w:bCs/>
          <w:spacing w:val="-4"/>
          <w:sz w:val="24"/>
          <w:szCs w:val="24"/>
          <w:highlight w:val="none"/>
          <w:lang w:val="en-US" w:eastAsia="zh-CN"/>
        </w:rPr>
        <w:t>等评分标准的证明</w:t>
      </w:r>
      <w:r>
        <w:rPr>
          <w:rFonts w:ascii="宋体" w:hAnsi="宋体" w:eastAsia="宋体" w:cs="宋体"/>
          <w:b/>
          <w:bCs/>
          <w:spacing w:val="-4"/>
          <w:sz w:val="24"/>
          <w:szCs w:val="24"/>
          <w:highlight w:val="none"/>
        </w:rPr>
        <w:t>，</w:t>
      </w:r>
      <w:r>
        <w:rPr>
          <w:rFonts w:ascii="宋体" w:hAnsi="宋体" w:eastAsia="宋体" w:cs="宋体"/>
          <w:b/>
          <w:bCs/>
          <w:spacing w:val="-5"/>
          <w:sz w:val="24"/>
          <w:szCs w:val="24"/>
          <w:highlight w:val="none"/>
        </w:rPr>
        <w:t>否则不得分。</w:t>
      </w:r>
    </w:p>
    <w:p w14:paraId="05F402F5">
      <w:pPr>
        <w:keepNext w:val="0"/>
        <w:keepLines w:val="0"/>
        <w:pageBreakBefore w:val="0"/>
        <w:kinsoku/>
        <w:wordWrap/>
        <w:overflowPunct w:val="0"/>
        <w:topLinePunct/>
        <w:bidi w:val="0"/>
        <w:spacing w:line="360" w:lineRule="auto"/>
        <w:rPr>
          <w:rFonts w:ascii="宋体" w:hAnsi="宋体" w:eastAsia="宋体" w:cs="宋体"/>
          <w:sz w:val="24"/>
          <w:szCs w:val="24"/>
          <w:highlight w:val="none"/>
        </w:rPr>
        <w:sectPr>
          <w:footerReference r:id="rId14" w:type="default"/>
          <w:pgSz w:w="11907" w:h="16839"/>
          <w:pgMar w:top="1417" w:right="1701" w:bottom="1417" w:left="1701" w:header="567" w:footer="567" w:gutter="0"/>
          <w:pgNumType w:fmt="decimal"/>
          <w:cols w:space="0" w:num="1"/>
          <w:rtlGutter w:val="0"/>
          <w:docGrid w:linePitch="0" w:charSpace="0"/>
        </w:sectPr>
      </w:pPr>
    </w:p>
    <w:p w14:paraId="585DC5C5">
      <w:pPr>
        <w:keepNext w:val="0"/>
        <w:keepLines w:val="0"/>
        <w:pageBreakBefore w:val="0"/>
        <w:kinsoku/>
        <w:wordWrap/>
        <w:overflowPunct w:val="0"/>
        <w:topLinePunct/>
        <w:bidi w:val="0"/>
        <w:spacing w:before="91" w:line="360" w:lineRule="auto"/>
        <w:outlineLvl w:val="1"/>
        <w:rPr>
          <w:rFonts w:hint="default" w:ascii="宋体" w:hAnsi="宋体" w:eastAsia="宋体" w:cs="宋体"/>
          <w:b/>
          <w:bCs/>
          <w:spacing w:val="-13"/>
          <w:sz w:val="28"/>
          <w:szCs w:val="28"/>
          <w:highlight w:val="none"/>
          <w:lang w:val="en-US" w:eastAsia="zh-CN"/>
        </w:rPr>
      </w:pPr>
      <w:bookmarkStart w:id="111" w:name="_Toc20148"/>
      <w:r>
        <w:rPr>
          <w:rFonts w:ascii="宋体" w:hAnsi="宋体" w:eastAsia="宋体" w:cs="宋体"/>
          <w:b/>
          <w:bCs/>
          <w:spacing w:val="-13"/>
          <w:sz w:val="28"/>
          <w:szCs w:val="28"/>
          <w:highlight w:val="none"/>
        </w:rPr>
        <w:t>附件</w:t>
      </w:r>
      <w:r>
        <w:rPr>
          <w:rFonts w:hint="default" w:ascii="宋体" w:hAnsi="宋体" w:eastAsia="宋体" w:cs="宋体"/>
          <w:b/>
          <w:bCs/>
          <w:spacing w:val="-13"/>
          <w:sz w:val="28"/>
          <w:szCs w:val="28"/>
          <w:highlight w:val="none"/>
          <w:lang w:val="en-US" w:eastAsia="zh-CN"/>
        </w:rPr>
        <w:t>7</w:t>
      </w:r>
    </w:p>
    <w:p w14:paraId="542A210E">
      <w:pPr>
        <w:keepNext w:val="0"/>
        <w:keepLines w:val="0"/>
        <w:pageBreakBefore w:val="0"/>
        <w:kinsoku/>
        <w:wordWrap/>
        <w:overflowPunct w:val="0"/>
        <w:topLinePunct/>
        <w:bidi w:val="0"/>
        <w:spacing w:before="91" w:line="360" w:lineRule="auto"/>
        <w:outlineLvl w:val="0"/>
        <w:rPr>
          <w:rFonts w:hint="eastAsia" w:ascii="Times New Roman" w:hAnsi="Times New Roman" w:eastAsia="宋体" w:cs="Times New Roman"/>
          <w:b/>
          <w:bCs/>
          <w:spacing w:val="-8"/>
          <w:sz w:val="28"/>
          <w:szCs w:val="28"/>
          <w:highlight w:val="none"/>
          <w:lang w:val="en-US" w:eastAsia="zh-CN"/>
        </w:rPr>
      </w:pPr>
    </w:p>
    <w:p w14:paraId="2ED36B97">
      <w:pPr>
        <w:keepNext w:val="0"/>
        <w:keepLines w:val="0"/>
        <w:pageBreakBefore w:val="0"/>
        <w:kinsoku/>
        <w:wordWrap/>
        <w:overflowPunct w:val="0"/>
        <w:topLinePunct/>
        <w:bidi w:val="0"/>
        <w:spacing w:before="91" w:line="360" w:lineRule="auto"/>
        <w:jc w:val="center"/>
        <w:outlineLvl w:val="0"/>
        <w:rPr>
          <w:rFonts w:ascii="宋体" w:hAnsi="宋体" w:eastAsia="宋体" w:cs="宋体"/>
          <w:sz w:val="28"/>
          <w:szCs w:val="28"/>
          <w:highlight w:val="none"/>
        </w:rPr>
      </w:pPr>
      <w:r>
        <w:rPr>
          <w:rFonts w:ascii="宋体" w:hAnsi="宋体" w:eastAsia="宋体" w:cs="宋体"/>
          <w:b/>
          <w:bCs/>
          <w:spacing w:val="-8"/>
          <w:sz w:val="28"/>
          <w:szCs w:val="28"/>
          <w:highlight w:val="none"/>
        </w:rPr>
        <w:t>封面格式</w:t>
      </w:r>
      <w:bookmarkEnd w:id="111"/>
    </w:p>
    <w:p w14:paraId="7A7FAF9B">
      <w:pPr>
        <w:keepNext w:val="0"/>
        <w:keepLines w:val="0"/>
        <w:pageBreakBefore w:val="0"/>
        <w:kinsoku/>
        <w:wordWrap/>
        <w:overflowPunct w:val="0"/>
        <w:topLinePunct/>
        <w:bidi w:val="0"/>
        <w:spacing w:before="43" w:line="360" w:lineRule="auto"/>
        <w:rPr>
          <w:highlight w:val="none"/>
        </w:rPr>
      </w:pPr>
    </w:p>
    <w:tbl>
      <w:tblPr>
        <w:tblStyle w:val="11"/>
        <w:tblW w:w="8532"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2"/>
      </w:tblGrid>
      <w:tr w14:paraId="1252A07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5409" w:hRule="atLeast"/>
        </w:trPr>
        <w:tc>
          <w:tcPr>
            <w:tcW w:w="8532" w:type="dxa"/>
            <w:vAlign w:val="top"/>
          </w:tcPr>
          <w:p w14:paraId="49EE9937">
            <w:pPr>
              <w:keepNext w:val="0"/>
              <w:keepLines w:val="0"/>
              <w:pageBreakBefore w:val="0"/>
              <w:kinsoku/>
              <w:wordWrap/>
              <w:overflowPunct w:val="0"/>
              <w:topLinePunct/>
              <w:bidi w:val="0"/>
              <w:spacing w:line="360" w:lineRule="auto"/>
              <w:rPr>
                <w:rFonts w:ascii="Arial"/>
                <w:sz w:val="21"/>
                <w:highlight w:val="none"/>
              </w:rPr>
            </w:pPr>
          </w:p>
          <w:p w14:paraId="06F5AB40">
            <w:pPr>
              <w:keepNext w:val="0"/>
              <w:keepLines w:val="0"/>
              <w:pageBreakBefore w:val="0"/>
              <w:kinsoku/>
              <w:wordWrap/>
              <w:overflowPunct w:val="0"/>
              <w:topLinePunct/>
              <w:bidi w:val="0"/>
              <w:spacing w:line="360" w:lineRule="auto"/>
              <w:rPr>
                <w:rFonts w:ascii="Arial"/>
                <w:sz w:val="21"/>
                <w:highlight w:val="none"/>
              </w:rPr>
            </w:pPr>
          </w:p>
          <w:p w14:paraId="7C527923">
            <w:pPr>
              <w:keepNext w:val="0"/>
              <w:keepLines w:val="0"/>
              <w:pageBreakBefore w:val="0"/>
              <w:kinsoku/>
              <w:wordWrap/>
              <w:overflowPunct w:val="0"/>
              <w:topLinePunct/>
              <w:bidi w:val="0"/>
              <w:spacing w:line="360" w:lineRule="auto"/>
              <w:rPr>
                <w:rFonts w:ascii="Arial"/>
                <w:sz w:val="21"/>
                <w:highlight w:val="none"/>
              </w:rPr>
            </w:pPr>
          </w:p>
          <w:p w14:paraId="55CD422A">
            <w:pPr>
              <w:pStyle w:val="12"/>
              <w:keepNext w:val="0"/>
              <w:keepLines w:val="0"/>
              <w:pageBreakBefore w:val="0"/>
              <w:kinsoku/>
              <w:wordWrap/>
              <w:overflowPunct w:val="0"/>
              <w:topLinePunct/>
              <w:bidi w:val="0"/>
              <w:spacing w:before="97" w:line="360" w:lineRule="auto"/>
              <w:ind w:left="3973"/>
              <w:rPr>
                <w:rFonts w:hint="eastAsia" w:eastAsia="宋体"/>
                <w:sz w:val="30"/>
                <w:szCs w:val="30"/>
                <w:highlight w:val="none"/>
                <w:lang w:eastAsia="zh-CN"/>
              </w:rPr>
            </w:pPr>
            <w:r>
              <w:rPr>
                <w:rFonts w:hint="eastAsia"/>
                <w:b/>
                <w:bCs/>
                <w:spacing w:val="-7"/>
                <w:sz w:val="30"/>
                <w:szCs w:val="30"/>
                <w:highlight w:val="none"/>
                <w:lang w:eastAsia="zh-CN"/>
              </w:rPr>
              <w:t>响应文件</w:t>
            </w:r>
          </w:p>
          <w:p w14:paraId="07BA6AE6">
            <w:pPr>
              <w:keepNext w:val="0"/>
              <w:keepLines w:val="0"/>
              <w:pageBreakBefore w:val="0"/>
              <w:kinsoku/>
              <w:wordWrap/>
              <w:overflowPunct w:val="0"/>
              <w:topLinePunct/>
              <w:bidi w:val="0"/>
              <w:spacing w:line="360" w:lineRule="auto"/>
              <w:rPr>
                <w:rFonts w:ascii="Arial"/>
                <w:sz w:val="21"/>
                <w:highlight w:val="none"/>
              </w:rPr>
            </w:pPr>
          </w:p>
          <w:p w14:paraId="074677CA">
            <w:pPr>
              <w:keepNext w:val="0"/>
              <w:keepLines w:val="0"/>
              <w:pageBreakBefore w:val="0"/>
              <w:kinsoku/>
              <w:wordWrap/>
              <w:overflowPunct w:val="0"/>
              <w:topLinePunct/>
              <w:bidi w:val="0"/>
              <w:spacing w:line="360" w:lineRule="auto"/>
              <w:rPr>
                <w:rFonts w:ascii="Arial"/>
                <w:sz w:val="21"/>
                <w:highlight w:val="none"/>
              </w:rPr>
            </w:pPr>
          </w:p>
          <w:p w14:paraId="566CEA42">
            <w:pPr>
              <w:keepNext w:val="0"/>
              <w:keepLines w:val="0"/>
              <w:pageBreakBefore w:val="0"/>
              <w:kinsoku/>
              <w:wordWrap/>
              <w:overflowPunct w:val="0"/>
              <w:topLinePunct/>
              <w:bidi w:val="0"/>
              <w:spacing w:line="360" w:lineRule="auto"/>
              <w:rPr>
                <w:rFonts w:ascii="Arial"/>
                <w:sz w:val="21"/>
                <w:highlight w:val="none"/>
              </w:rPr>
            </w:pPr>
          </w:p>
          <w:p w14:paraId="688A8198">
            <w:pPr>
              <w:pStyle w:val="12"/>
              <w:keepNext w:val="0"/>
              <w:keepLines w:val="0"/>
              <w:pageBreakBefore w:val="0"/>
              <w:kinsoku/>
              <w:wordWrap/>
              <w:overflowPunct w:val="0"/>
              <w:topLinePunct/>
              <w:bidi w:val="0"/>
              <w:spacing w:before="78" w:line="360" w:lineRule="auto"/>
              <w:ind w:left="601" w:right="6799"/>
              <w:jc w:val="both"/>
              <w:rPr>
                <w:highlight w:val="none"/>
              </w:rPr>
            </w:pPr>
            <w:r>
              <w:rPr>
                <w:spacing w:val="-15"/>
                <w:highlight w:val="none"/>
              </w:rPr>
              <w:t>项目编号：</w:t>
            </w:r>
            <w:r>
              <w:rPr>
                <w:highlight w:val="none"/>
              </w:rPr>
              <w:t xml:space="preserve"> </w:t>
            </w:r>
            <w:r>
              <w:rPr>
                <w:spacing w:val="-15"/>
                <w:highlight w:val="none"/>
              </w:rPr>
              <w:t>项目名称：</w:t>
            </w:r>
            <w:r>
              <w:rPr>
                <w:highlight w:val="none"/>
              </w:rPr>
              <w:t xml:space="preserve"> </w:t>
            </w:r>
          </w:p>
          <w:p w14:paraId="2F7C02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sz w:val="24"/>
                <w:szCs w:val="24"/>
                <w:highlight w:val="none"/>
                <w:lang w:val="en-US" w:eastAsia="zh-CN"/>
              </w:rPr>
            </w:pPr>
            <w:r>
              <w:rPr>
                <w:rFonts w:hint="eastAsia" w:eastAsia="宋体" w:cs="宋体"/>
                <w:sz w:val="24"/>
                <w:szCs w:val="24"/>
                <w:highlight w:val="none"/>
                <w:lang w:val="en-US" w:eastAsia="zh-CN"/>
              </w:rPr>
              <w:t>响应人</w:t>
            </w:r>
            <w:r>
              <w:rPr>
                <w:rFonts w:hint="eastAsia" w:ascii="宋体" w:hAnsi="宋体" w:eastAsia="宋体" w:cs="宋体"/>
                <w:sz w:val="24"/>
                <w:szCs w:val="24"/>
                <w:highlight w:val="none"/>
                <w:lang w:val="en-US" w:eastAsia="zh-CN"/>
              </w:rPr>
              <w:t xml:space="preserve">名称（公章）： </w:t>
            </w:r>
          </w:p>
          <w:p w14:paraId="727B3D34">
            <w:pPr>
              <w:keepNext w:val="0"/>
              <w:keepLines w:val="0"/>
              <w:pageBreakBefore w:val="0"/>
              <w:kinsoku/>
              <w:wordWrap/>
              <w:overflowPunct w:val="0"/>
              <w:topLinePunct/>
              <w:bidi w:val="0"/>
              <w:spacing w:before="79" w:line="360" w:lineRule="auto"/>
              <w:ind w:left="473"/>
              <w:rPr>
                <w:rFonts w:ascii="宋体" w:hAnsi="宋体" w:eastAsia="宋体" w:cs="宋体"/>
                <w:sz w:val="24"/>
                <w:szCs w:val="24"/>
                <w:highlight w:val="none"/>
              </w:rPr>
            </w:pPr>
            <w:r>
              <w:rPr>
                <w:rFonts w:ascii="宋体" w:hAnsi="宋体" w:eastAsia="宋体" w:cs="宋体"/>
                <w:spacing w:val="-1"/>
                <w:sz w:val="24"/>
                <w:szCs w:val="24"/>
                <w:highlight w:val="none"/>
              </w:rPr>
              <w:t>法定代表人或授权代表（签字</w:t>
            </w:r>
            <w:r>
              <w:rPr>
                <w:rFonts w:hint="eastAsia" w:ascii="宋体" w:hAnsi="宋体" w:eastAsia="宋体" w:cs="宋体"/>
                <w:spacing w:val="-1"/>
                <w:sz w:val="24"/>
                <w:szCs w:val="24"/>
                <w:highlight w:val="none"/>
                <w:lang w:val="en-US" w:eastAsia="zh-CN"/>
              </w:rPr>
              <w:t>或盖章</w:t>
            </w:r>
            <w:r>
              <w:rPr>
                <w:rFonts w:ascii="宋体" w:hAnsi="宋体" w:eastAsia="宋体" w:cs="宋体"/>
                <w:sz w:val="24"/>
                <w:szCs w:val="24"/>
                <w:highlight w:val="none"/>
              </w:rPr>
              <w:t>）：</w:t>
            </w:r>
          </w:p>
          <w:p w14:paraId="32FCFA1D">
            <w:pPr>
              <w:pStyle w:val="12"/>
              <w:keepNext w:val="0"/>
              <w:keepLines w:val="0"/>
              <w:pageBreakBefore w:val="0"/>
              <w:kinsoku/>
              <w:wordWrap/>
              <w:overflowPunct w:val="0"/>
              <w:topLinePunct/>
              <w:bidi w:val="0"/>
              <w:spacing w:before="32" w:line="360" w:lineRule="auto"/>
              <w:ind w:left="638" w:right="5599" w:hanging="39"/>
              <w:rPr>
                <w:spacing w:val="-21"/>
                <w:highlight w:val="none"/>
              </w:rPr>
            </w:pPr>
          </w:p>
          <w:p w14:paraId="1292815F">
            <w:pPr>
              <w:pStyle w:val="12"/>
              <w:keepNext w:val="0"/>
              <w:keepLines w:val="0"/>
              <w:pageBreakBefore w:val="0"/>
              <w:kinsoku/>
              <w:wordWrap/>
              <w:overflowPunct w:val="0"/>
              <w:topLinePunct/>
              <w:bidi w:val="0"/>
              <w:spacing w:before="32" w:line="360" w:lineRule="auto"/>
              <w:ind w:left="638" w:right="5599" w:hanging="39"/>
              <w:rPr>
                <w:highlight w:val="none"/>
              </w:rPr>
            </w:pPr>
            <w:r>
              <w:rPr>
                <w:spacing w:val="-21"/>
                <w:highlight w:val="none"/>
              </w:rPr>
              <w:t>日</w:t>
            </w:r>
            <w:r>
              <w:rPr>
                <w:spacing w:val="12"/>
                <w:highlight w:val="none"/>
              </w:rPr>
              <w:t xml:space="preserve"> </w:t>
            </w:r>
            <w:r>
              <w:rPr>
                <w:spacing w:val="-21"/>
                <w:highlight w:val="none"/>
              </w:rPr>
              <w:t>期：</w:t>
            </w:r>
          </w:p>
        </w:tc>
      </w:tr>
    </w:tbl>
    <w:p w14:paraId="75D39319">
      <w:pPr>
        <w:keepNext w:val="0"/>
        <w:keepLines w:val="0"/>
        <w:pageBreakBefore w:val="0"/>
        <w:kinsoku/>
        <w:wordWrap/>
        <w:overflowPunct w:val="0"/>
        <w:topLinePunct/>
        <w:bidi w:val="0"/>
        <w:spacing w:line="360" w:lineRule="auto"/>
        <w:rPr>
          <w:rFonts w:ascii="Arial"/>
          <w:sz w:val="21"/>
          <w:highlight w:val="none"/>
        </w:rPr>
      </w:pPr>
    </w:p>
    <w:p w14:paraId="748E3C1C">
      <w:pPr>
        <w:keepNext w:val="0"/>
        <w:keepLines w:val="0"/>
        <w:pageBreakBefore w:val="0"/>
        <w:kinsoku/>
        <w:wordWrap/>
        <w:overflowPunct w:val="0"/>
        <w:topLinePunct/>
        <w:bidi w:val="0"/>
        <w:spacing w:line="360" w:lineRule="auto"/>
        <w:rPr>
          <w:rFonts w:ascii="Arial" w:hAnsi="Arial" w:eastAsia="Arial" w:cs="Arial"/>
          <w:sz w:val="21"/>
          <w:szCs w:val="21"/>
          <w:highlight w:val="none"/>
        </w:rPr>
        <w:sectPr>
          <w:footerReference r:id="rId15" w:type="default"/>
          <w:pgSz w:w="11907" w:h="16839"/>
          <w:pgMar w:top="1417" w:right="1701" w:bottom="1417" w:left="1701" w:header="567" w:footer="567" w:gutter="0"/>
          <w:pgNumType w:fmt="decimal"/>
          <w:cols w:space="0" w:num="1"/>
          <w:rtlGutter w:val="0"/>
          <w:docGrid w:linePitch="0" w:charSpace="0"/>
        </w:sectPr>
      </w:pPr>
    </w:p>
    <w:p w14:paraId="4E221B5B">
      <w:pPr>
        <w:keepNext w:val="0"/>
        <w:keepLines w:val="0"/>
        <w:pageBreakBefore w:val="0"/>
        <w:kinsoku/>
        <w:wordWrap/>
        <w:overflowPunct w:val="0"/>
        <w:topLinePunct/>
        <w:bidi w:val="0"/>
        <w:spacing w:before="91" w:line="360" w:lineRule="auto"/>
        <w:outlineLvl w:val="1"/>
        <w:rPr>
          <w:rFonts w:ascii="宋体" w:hAnsi="宋体" w:eastAsia="宋体" w:cs="宋体"/>
          <w:sz w:val="28"/>
          <w:szCs w:val="28"/>
          <w:highlight w:val="none"/>
        </w:rPr>
      </w:pPr>
      <w:bookmarkStart w:id="112" w:name="_Toc24816"/>
      <w:r>
        <w:rPr>
          <w:rFonts w:ascii="宋体" w:hAnsi="宋体" w:eastAsia="宋体" w:cs="宋体"/>
          <w:b/>
          <w:bCs/>
          <w:spacing w:val="-13"/>
          <w:sz w:val="28"/>
          <w:szCs w:val="28"/>
          <w:highlight w:val="none"/>
        </w:rPr>
        <w:t>附件</w:t>
      </w:r>
      <w:r>
        <w:rPr>
          <w:rFonts w:hint="default" w:ascii="宋体" w:hAnsi="宋体" w:eastAsia="宋体" w:cs="宋体"/>
          <w:b/>
          <w:bCs/>
          <w:spacing w:val="-13"/>
          <w:sz w:val="28"/>
          <w:szCs w:val="28"/>
          <w:highlight w:val="none"/>
          <w:lang w:val="en-US" w:eastAsia="zh-CN"/>
        </w:rPr>
        <w:t>8</w:t>
      </w:r>
      <w:r>
        <w:rPr>
          <w:rFonts w:ascii="宋体" w:hAnsi="宋体" w:eastAsia="宋体" w:cs="宋体"/>
          <w:b/>
          <w:bCs/>
          <w:spacing w:val="-13"/>
          <w:sz w:val="28"/>
          <w:szCs w:val="28"/>
          <w:highlight w:val="none"/>
        </w:rPr>
        <w:t>：</w:t>
      </w:r>
      <w:r>
        <w:rPr>
          <w:rFonts w:hint="default" w:ascii="宋体" w:hAnsi="宋体" w:eastAsia="宋体" w:cs="宋体"/>
          <w:b/>
          <w:bCs/>
          <w:spacing w:val="-13"/>
          <w:sz w:val="28"/>
          <w:szCs w:val="28"/>
          <w:highlight w:val="none"/>
          <w:lang w:eastAsia="zh-CN"/>
        </w:rPr>
        <w:t>响应文件</w:t>
      </w:r>
      <w:r>
        <w:rPr>
          <w:rFonts w:ascii="宋体" w:hAnsi="宋体" w:eastAsia="宋体" w:cs="宋体"/>
          <w:b/>
          <w:bCs/>
          <w:spacing w:val="-13"/>
          <w:sz w:val="28"/>
          <w:szCs w:val="28"/>
          <w:highlight w:val="none"/>
        </w:rPr>
        <w:t>包装袋密封件正面和封口格式</w:t>
      </w:r>
      <w:bookmarkEnd w:id="112"/>
    </w:p>
    <w:p w14:paraId="6DECE8AE">
      <w:pPr>
        <w:keepNext w:val="0"/>
        <w:keepLines w:val="0"/>
        <w:pageBreakBefore w:val="0"/>
        <w:kinsoku/>
        <w:wordWrap/>
        <w:overflowPunct w:val="0"/>
        <w:topLinePunct/>
        <w:bidi w:val="0"/>
        <w:spacing w:before="46" w:line="360" w:lineRule="auto"/>
        <w:ind w:left="2992"/>
        <w:outlineLvl w:val="0"/>
        <w:rPr>
          <w:rFonts w:ascii="宋体" w:hAnsi="宋体" w:eastAsia="宋体" w:cs="宋体"/>
          <w:spacing w:val="-1"/>
          <w:sz w:val="24"/>
          <w:szCs w:val="24"/>
          <w:highlight w:val="none"/>
        </w:rPr>
      </w:pPr>
      <w:bookmarkStart w:id="113" w:name="_Toc18258"/>
    </w:p>
    <w:p w14:paraId="6ADEF12A">
      <w:pPr>
        <w:keepNext w:val="0"/>
        <w:keepLines w:val="0"/>
        <w:pageBreakBefore w:val="0"/>
        <w:kinsoku/>
        <w:wordWrap/>
        <w:overflowPunct w:val="0"/>
        <w:topLinePunct/>
        <w:bidi w:val="0"/>
        <w:spacing w:before="46" w:line="360" w:lineRule="auto"/>
        <w:ind w:left="2992"/>
        <w:outlineLvl w:val="0"/>
        <w:rPr>
          <w:rFonts w:ascii="宋体" w:hAnsi="宋体" w:eastAsia="宋体" w:cs="宋体"/>
          <w:sz w:val="24"/>
          <w:szCs w:val="24"/>
          <w:highlight w:val="none"/>
        </w:rPr>
      </w:pPr>
      <w:r>
        <w:rPr>
          <w:rFonts w:hint="eastAsia" w:ascii="宋体" w:hAnsi="宋体" w:eastAsia="宋体" w:cs="宋体"/>
          <w:spacing w:val="-1"/>
          <w:sz w:val="24"/>
          <w:szCs w:val="24"/>
          <w:highlight w:val="none"/>
          <w:lang w:eastAsia="zh-CN"/>
        </w:rPr>
        <w:t>响应文件</w:t>
      </w:r>
      <w:r>
        <w:rPr>
          <w:rFonts w:ascii="宋体" w:hAnsi="宋体" w:eastAsia="宋体" w:cs="宋体"/>
          <w:spacing w:val="-1"/>
          <w:sz w:val="24"/>
          <w:szCs w:val="24"/>
          <w:highlight w:val="none"/>
        </w:rPr>
        <w:t>包装袋密封件正面格式</w:t>
      </w:r>
      <w:bookmarkEnd w:id="113"/>
    </w:p>
    <w:p w14:paraId="37335610">
      <w:pPr>
        <w:keepNext w:val="0"/>
        <w:keepLines w:val="0"/>
        <w:pageBreakBefore w:val="0"/>
        <w:kinsoku/>
        <w:wordWrap/>
        <w:overflowPunct w:val="0"/>
        <w:topLinePunct/>
        <w:bidi w:val="0"/>
        <w:spacing w:line="360" w:lineRule="auto"/>
        <w:rPr>
          <w:highlight w:val="none"/>
        </w:rPr>
      </w:pPr>
    </w:p>
    <w:tbl>
      <w:tblPr>
        <w:tblStyle w:val="11"/>
        <w:tblW w:w="852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6"/>
      </w:tblGrid>
      <w:tr w14:paraId="17AB059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trHeight w:val="5145" w:hRule="atLeast"/>
        </w:trPr>
        <w:tc>
          <w:tcPr>
            <w:tcW w:w="8526" w:type="dxa"/>
            <w:vAlign w:val="top"/>
          </w:tcPr>
          <w:p w14:paraId="1AD326F8">
            <w:pPr>
              <w:keepNext w:val="0"/>
              <w:keepLines w:val="0"/>
              <w:pageBreakBefore w:val="0"/>
              <w:kinsoku/>
              <w:wordWrap/>
              <w:overflowPunct w:val="0"/>
              <w:topLinePunct/>
              <w:bidi w:val="0"/>
              <w:spacing w:line="360" w:lineRule="auto"/>
              <w:rPr>
                <w:rFonts w:ascii="Arial"/>
                <w:sz w:val="21"/>
                <w:highlight w:val="none"/>
              </w:rPr>
            </w:pPr>
          </w:p>
          <w:p w14:paraId="05516AB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 xml:space="preserve">项目名称： </w:t>
            </w:r>
          </w:p>
          <w:p w14:paraId="321308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项目编号：</w:t>
            </w:r>
          </w:p>
          <w:p w14:paraId="22BA65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p>
          <w:p w14:paraId="2046D4DC">
            <w:pPr>
              <w:keepNext w:val="0"/>
              <w:keepLines w:val="0"/>
              <w:pageBreakBefore w:val="0"/>
              <w:kinsoku/>
              <w:wordWrap/>
              <w:overflowPunct w:val="0"/>
              <w:topLinePunct/>
              <w:bidi w:val="0"/>
              <w:spacing w:before="220" w:line="360" w:lineRule="auto"/>
              <w:jc w:val="center"/>
              <w:outlineLvl w:val="0"/>
              <w:rPr>
                <w:rFonts w:ascii="宋体" w:hAnsi="宋体" w:eastAsia="宋体" w:cs="宋体"/>
                <w:sz w:val="24"/>
                <w:szCs w:val="24"/>
                <w:highlight w:val="none"/>
              </w:rPr>
            </w:pPr>
            <w:r>
              <w:rPr>
                <w:rFonts w:ascii="宋体" w:hAnsi="宋体" w:eastAsia="宋体" w:cs="宋体"/>
                <w:sz w:val="24"/>
                <w:szCs w:val="24"/>
                <w:highlight w:val="none"/>
              </w:rPr>
              <w:t>正本\副本\电子版</w:t>
            </w:r>
          </w:p>
          <w:p w14:paraId="1058F43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p>
          <w:p w14:paraId="6773011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p>
          <w:p w14:paraId="7891F22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p>
          <w:p w14:paraId="3757573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eastAsia="zh-CN"/>
              </w:rPr>
              <w:t>响应人</w:t>
            </w:r>
            <w:r>
              <w:rPr>
                <w:rFonts w:ascii="宋体" w:hAnsi="宋体" w:eastAsia="宋体" w:cs="宋体"/>
                <w:sz w:val="24"/>
                <w:szCs w:val="24"/>
                <w:highlight w:val="none"/>
              </w:rPr>
              <w:t>名称：</w:t>
            </w:r>
          </w:p>
          <w:p w14:paraId="4A33C0B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eastAsia="zh-CN"/>
              </w:rPr>
              <w:t>响应人</w:t>
            </w:r>
            <w:r>
              <w:rPr>
                <w:rFonts w:ascii="宋体" w:hAnsi="宋体" w:eastAsia="宋体" w:cs="宋体"/>
                <w:sz w:val="24"/>
                <w:szCs w:val="24"/>
                <w:highlight w:val="none"/>
              </w:rPr>
              <w:t>地址：</w:t>
            </w:r>
          </w:p>
          <w:p w14:paraId="24E3F03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2" w:firstLineChars="200"/>
              <w:textAlignment w:val="baseline"/>
              <w:rPr>
                <w:rFonts w:hint="eastAsia" w:eastAsia="宋体" w:cs="宋体"/>
                <w:b/>
                <w:bCs/>
                <w:sz w:val="24"/>
                <w:szCs w:val="24"/>
                <w:highlight w:val="none"/>
                <w:lang w:eastAsia="zh-CN"/>
              </w:rPr>
            </w:pPr>
            <w:r>
              <w:rPr>
                <w:rFonts w:ascii="宋体" w:hAnsi="宋体" w:eastAsia="宋体" w:cs="宋体"/>
                <w:b/>
                <w:bCs/>
                <w:sz w:val="24"/>
                <w:szCs w:val="24"/>
                <w:highlight w:val="none"/>
              </w:rPr>
              <w:t>加盖</w:t>
            </w:r>
            <w:r>
              <w:rPr>
                <w:rFonts w:hint="eastAsia" w:eastAsia="宋体" w:cs="宋体"/>
                <w:b/>
                <w:bCs/>
                <w:sz w:val="24"/>
                <w:szCs w:val="24"/>
                <w:highlight w:val="none"/>
                <w:lang w:eastAsia="zh-CN"/>
              </w:rPr>
              <w:t>响应人</w:t>
            </w:r>
            <w:r>
              <w:rPr>
                <w:rFonts w:ascii="宋体" w:hAnsi="宋体" w:eastAsia="宋体" w:cs="宋体"/>
                <w:b/>
                <w:bCs/>
                <w:sz w:val="24"/>
                <w:szCs w:val="24"/>
                <w:highlight w:val="none"/>
              </w:rPr>
              <w:t>公章</w:t>
            </w:r>
            <w:r>
              <w:rPr>
                <w:rFonts w:hint="eastAsia" w:eastAsia="宋体" w:cs="宋体"/>
                <w:b/>
                <w:bCs/>
                <w:sz w:val="24"/>
                <w:szCs w:val="24"/>
                <w:highlight w:val="none"/>
                <w:lang w:eastAsia="zh-CN"/>
              </w:rPr>
              <w:t>：</w:t>
            </w:r>
          </w:p>
          <w:p w14:paraId="11B4DF6E">
            <w:pPr>
              <w:keepNext w:val="0"/>
              <w:keepLines w:val="0"/>
              <w:pageBreakBefore w:val="0"/>
              <w:kinsoku/>
              <w:wordWrap/>
              <w:overflowPunct w:val="0"/>
              <w:topLinePunct/>
              <w:bidi w:val="0"/>
              <w:spacing w:before="79" w:line="360" w:lineRule="auto"/>
              <w:ind w:left="473"/>
              <w:rPr>
                <w:rFonts w:ascii="宋体" w:hAnsi="宋体" w:eastAsia="宋体" w:cs="宋体"/>
                <w:sz w:val="24"/>
                <w:szCs w:val="24"/>
                <w:highlight w:val="none"/>
              </w:rPr>
            </w:pPr>
            <w:r>
              <w:rPr>
                <w:rFonts w:ascii="宋体" w:hAnsi="宋体" w:eastAsia="宋体" w:cs="宋体"/>
                <w:spacing w:val="-1"/>
                <w:sz w:val="24"/>
                <w:szCs w:val="24"/>
                <w:highlight w:val="none"/>
              </w:rPr>
              <w:t>法定代表人或授权代表（签字</w:t>
            </w:r>
            <w:r>
              <w:rPr>
                <w:rFonts w:hint="eastAsia" w:ascii="宋体" w:hAnsi="宋体" w:eastAsia="宋体" w:cs="宋体"/>
                <w:spacing w:val="-1"/>
                <w:sz w:val="24"/>
                <w:szCs w:val="24"/>
                <w:highlight w:val="none"/>
                <w:lang w:val="en-US" w:eastAsia="zh-CN"/>
              </w:rPr>
              <w:t>或盖章</w:t>
            </w:r>
            <w:r>
              <w:rPr>
                <w:rFonts w:ascii="宋体" w:hAnsi="宋体" w:eastAsia="宋体" w:cs="宋体"/>
                <w:sz w:val="24"/>
                <w:szCs w:val="24"/>
                <w:highlight w:val="none"/>
              </w:rPr>
              <w:t>）：</w:t>
            </w:r>
          </w:p>
          <w:p w14:paraId="34B7386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2" w:firstLineChars="200"/>
              <w:textAlignment w:val="baseline"/>
              <w:rPr>
                <w:rFonts w:hint="eastAsia" w:eastAsia="宋体" w:cs="宋体"/>
                <w:b/>
                <w:bCs/>
                <w:sz w:val="24"/>
                <w:szCs w:val="24"/>
                <w:highlight w:val="none"/>
                <w:lang w:eastAsia="zh-CN"/>
              </w:rPr>
            </w:pPr>
          </w:p>
        </w:tc>
      </w:tr>
    </w:tbl>
    <w:p w14:paraId="0BCDD2F3">
      <w:pPr>
        <w:keepNext w:val="0"/>
        <w:keepLines w:val="0"/>
        <w:pageBreakBefore w:val="0"/>
        <w:kinsoku/>
        <w:wordWrap/>
        <w:overflowPunct w:val="0"/>
        <w:topLinePunct/>
        <w:bidi w:val="0"/>
        <w:spacing w:line="360" w:lineRule="auto"/>
        <w:rPr>
          <w:rFonts w:ascii="Arial"/>
          <w:sz w:val="21"/>
          <w:highlight w:val="none"/>
        </w:rPr>
      </w:pPr>
    </w:p>
    <w:p w14:paraId="5004DD02">
      <w:pPr>
        <w:keepNext w:val="0"/>
        <w:keepLines w:val="0"/>
        <w:pageBreakBefore w:val="0"/>
        <w:kinsoku/>
        <w:wordWrap/>
        <w:overflowPunct w:val="0"/>
        <w:topLinePunct/>
        <w:bidi w:val="0"/>
        <w:spacing w:before="78" w:line="360" w:lineRule="auto"/>
        <w:ind w:left="3712"/>
        <w:outlineLvl w:val="0"/>
        <w:rPr>
          <w:rFonts w:ascii="宋体" w:hAnsi="宋体" w:eastAsia="宋体" w:cs="宋体"/>
          <w:sz w:val="24"/>
          <w:szCs w:val="24"/>
          <w:highlight w:val="none"/>
        </w:rPr>
      </w:pPr>
      <w:bookmarkStart w:id="114" w:name="_Toc24090"/>
      <w:r>
        <w:rPr>
          <w:rFonts w:hint="eastAsia" w:ascii="宋体" w:hAnsi="宋体" w:eastAsia="宋体" w:cs="宋体"/>
          <w:spacing w:val="-2"/>
          <w:sz w:val="24"/>
          <w:szCs w:val="24"/>
          <w:highlight w:val="none"/>
          <w:lang w:eastAsia="zh-CN"/>
        </w:rPr>
        <w:t>响应文件</w:t>
      </w:r>
      <w:r>
        <w:rPr>
          <w:rFonts w:ascii="宋体" w:hAnsi="宋体" w:eastAsia="宋体" w:cs="宋体"/>
          <w:spacing w:val="-2"/>
          <w:sz w:val="24"/>
          <w:szCs w:val="24"/>
          <w:highlight w:val="none"/>
        </w:rPr>
        <w:t>封口格式</w:t>
      </w:r>
      <w:bookmarkEnd w:id="114"/>
    </w:p>
    <w:p w14:paraId="28313A12">
      <w:pPr>
        <w:keepNext w:val="0"/>
        <w:keepLines w:val="0"/>
        <w:pageBreakBefore w:val="0"/>
        <w:kinsoku/>
        <w:wordWrap/>
        <w:overflowPunct w:val="0"/>
        <w:topLinePunct/>
        <w:bidi w:val="0"/>
        <w:spacing w:line="360" w:lineRule="auto"/>
        <w:rPr>
          <w:highlight w:val="none"/>
        </w:rPr>
      </w:pPr>
    </w:p>
    <w:tbl>
      <w:tblPr>
        <w:tblStyle w:val="11"/>
        <w:tblW w:w="852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6"/>
      </w:tblGrid>
      <w:tr w14:paraId="41CC5E0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410" w:hRule="atLeast"/>
        </w:trPr>
        <w:tc>
          <w:tcPr>
            <w:tcW w:w="8526" w:type="dxa"/>
            <w:vAlign w:val="top"/>
          </w:tcPr>
          <w:p w14:paraId="36EB27A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hint="eastAsia" w:eastAsia="宋体" w:cs="宋体"/>
                <w:sz w:val="24"/>
                <w:szCs w:val="24"/>
                <w:highlight w:val="none"/>
                <w:lang w:eastAsia="zh-CN"/>
              </w:rPr>
              <w:t>响应文件</w:t>
            </w:r>
            <w:r>
              <w:rPr>
                <w:rFonts w:ascii="宋体" w:hAnsi="宋体" w:eastAsia="宋体" w:cs="宋体"/>
                <w:sz w:val="24"/>
                <w:szCs w:val="24"/>
                <w:highlight w:val="none"/>
              </w:rPr>
              <w:t>封口格式</w:t>
            </w:r>
          </w:p>
          <w:p w14:paraId="4225E37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snapToGrid/>
              <w:spacing w:before="0" w:beforeAutospacing="0" w:after="0" w:afterAutospacing="0" w:line="360" w:lineRule="auto"/>
              <w:ind w:left="0" w:right="0" w:firstLine="480" w:firstLineChars="200"/>
              <w:textAlignment w:val="baseline"/>
              <w:rPr>
                <w:rFonts w:ascii="宋体" w:hAnsi="宋体" w:eastAsia="宋体" w:cs="宋体"/>
                <w:sz w:val="24"/>
                <w:szCs w:val="24"/>
                <w:highlight w:val="none"/>
              </w:rPr>
            </w:pPr>
            <w:r>
              <w:rPr>
                <w:rFonts w:ascii="宋体" w:hAnsi="宋体" w:eastAsia="宋体" w:cs="宋体"/>
                <w:sz w:val="24"/>
                <w:szCs w:val="24"/>
                <w:highlight w:val="none"/>
              </w:rPr>
              <w:t>请勿在年月日时（开标时间）之前启封</w:t>
            </w:r>
            <w:r>
              <w:rPr>
                <w:rFonts w:ascii="宋体" w:hAnsi="宋体" w:eastAsia="宋体" w:cs="宋体"/>
                <w:b/>
                <w:bCs/>
                <w:sz w:val="24"/>
                <w:szCs w:val="24"/>
                <w:highlight w:val="none"/>
              </w:rPr>
              <w:t>加盖</w:t>
            </w:r>
            <w:r>
              <w:rPr>
                <w:rFonts w:hint="eastAsia" w:eastAsia="宋体" w:cs="宋体"/>
                <w:b/>
                <w:bCs/>
                <w:sz w:val="24"/>
                <w:szCs w:val="24"/>
                <w:highlight w:val="none"/>
                <w:lang w:eastAsia="zh-CN"/>
              </w:rPr>
              <w:t>响应人</w:t>
            </w:r>
            <w:r>
              <w:rPr>
                <w:rFonts w:ascii="宋体" w:hAnsi="宋体" w:eastAsia="宋体" w:cs="宋体"/>
                <w:b/>
                <w:bCs/>
                <w:sz w:val="24"/>
                <w:szCs w:val="24"/>
                <w:highlight w:val="none"/>
              </w:rPr>
              <w:t>公章</w:t>
            </w:r>
          </w:p>
        </w:tc>
      </w:tr>
    </w:tbl>
    <w:p w14:paraId="0E0E1926">
      <w:pPr>
        <w:rPr>
          <w:rFonts w:ascii="Arial"/>
          <w:sz w:val="21"/>
          <w:highlight w:val="none"/>
        </w:rPr>
      </w:pPr>
      <w:r>
        <w:rPr>
          <w:rFonts w:ascii="Arial"/>
          <w:sz w:val="21"/>
          <w:highlight w:val="none"/>
        </w:rPr>
        <w:br w:type="page"/>
      </w:r>
    </w:p>
    <w:p w14:paraId="00CFDACD">
      <w:pPr>
        <w:pStyle w:val="4"/>
        <w:ind w:firstLine="420"/>
        <w:jc w:val="center"/>
        <w:rPr>
          <w:rFonts w:ascii="宋体" w:hAnsi="宋体"/>
          <w:color w:val="auto"/>
          <w:sz w:val="36"/>
          <w:szCs w:val="36"/>
          <w:highlight w:val="none"/>
          <w:shd w:val="clear" w:color="auto" w:fill="FFFFFF"/>
        </w:rPr>
      </w:pPr>
      <w:r>
        <w:rPr>
          <w:rFonts w:hint="eastAsia" w:ascii="宋体" w:hAnsi="宋体"/>
          <w:b/>
          <w:snapToGrid w:val="0"/>
          <w:color w:val="auto"/>
          <w:sz w:val="40"/>
          <w:szCs w:val="28"/>
          <w:highlight w:val="none"/>
        </w:rPr>
        <w:t>开具电子发票流程</w:t>
      </w:r>
    </w:p>
    <w:p w14:paraId="7761E492">
      <w:pPr>
        <w:spacing w:line="360" w:lineRule="auto"/>
        <w:rPr>
          <w:rFonts w:ascii="宋体" w:hAnsi="宋体" w:cs="宋体"/>
          <w:b/>
          <w:bCs/>
          <w:color w:val="auto"/>
          <w:kern w:val="0"/>
          <w:sz w:val="24"/>
          <w:highlight w:val="none"/>
        </w:rPr>
      </w:pPr>
      <w:r>
        <w:rPr>
          <w:rFonts w:hint="eastAsia" w:ascii="宋体" w:hAnsi="宋体" w:cs="宋体"/>
          <w:b/>
          <w:bCs/>
          <w:color w:val="auto"/>
          <w:kern w:val="0"/>
          <w:sz w:val="24"/>
          <w:highlight w:val="none"/>
        </w:rPr>
        <w:t>1.扫描二维码登记相关信息</w:t>
      </w:r>
    </w:p>
    <w:p w14:paraId="13DA04ED">
      <w:pPr>
        <w:pStyle w:val="8"/>
        <w:shd w:val="clear" w:color="auto" w:fill="FFFFFF"/>
        <w:spacing w:beforeAutospacing="0" w:afterAutospacing="0"/>
        <w:jc w:val="center"/>
        <w:rPr>
          <w:color w:val="auto"/>
          <w:highlight w:val="none"/>
        </w:rPr>
      </w:pPr>
      <w:r>
        <w:rPr>
          <w:rFonts w:hint="eastAsia"/>
          <w:color w:val="auto"/>
          <w:highlight w:val="none"/>
        </w:rPr>
        <w:drawing>
          <wp:inline distT="0" distB="0" distL="114300" distR="114300">
            <wp:extent cx="2021840" cy="2021840"/>
            <wp:effectExtent l="0" t="0" r="16510" b="16510"/>
            <wp:docPr id="6" name="图片 3" descr="海逸恒安青岛事业部开票登记码"/>
            <wp:cNvGraphicFramePr/>
            <a:graphic xmlns:a="http://schemas.openxmlformats.org/drawingml/2006/main">
              <a:graphicData uri="http://schemas.openxmlformats.org/drawingml/2006/picture">
                <pic:pic xmlns:pic="http://schemas.openxmlformats.org/drawingml/2006/picture">
                  <pic:nvPicPr>
                    <pic:cNvPr id="6" name="图片 3" descr="海逸恒安青岛事业部开票登记码"/>
                    <pic:cNvPicPr/>
                  </pic:nvPicPr>
                  <pic:blipFill>
                    <a:blip r:embed="rId20"/>
                    <a:stretch>
                      <a:fillRect/>
                    </a:stretch>
                  </pic:blipFill>
                  <pic:spPr>
                    <a:xfrm>
                      <a:off x="0" y="0"/>
                      <a:ext cx="2021840" cy="2021840"/>
                    </a:xfrm>
                    <a:prstGeom prst="rect">
                      <a:avLst/>
                    </a:prstGeom>
                    <a:noFill/>
                    <a:ln>
                      <a:noFill/>
                    </a:ln>
                  </pic:spPr>
                </pic:pic>
              </a:graphicData>
            </a:graphic>
          </wp:inline>
        </w:drawing>
      </w:r>
    </w:p>
    <w:p w14:paraId="7F3C6681">
      <w:pPr>
        <w:spacing w:line="360" w:lineRule="auto"/>
        <w:rPr>
          <w:rFonts w:ascii="宋体" w:hAnsi="宋体" w:cs="宋体"/>
          <w:b/>
          <w:bCs/>
          <w:color w:val="auto"/>
          <w:kern w:val="0"/>
          <w:sz w:val="24"/>
          <w:highlight w:val="none"/>
        </w:rPr>
      </w:pPr>
      <w:r>
        <w:rPr>
          <w:rFonts w:hint="eastAsia" w:ascii="宋体" w:hAnsi="宋体" w:cs="宋体"/>
          <w:b/>
          <w:bCs/>
          <w:color w:val="auto"/>
          <w:kern w:val="0"/>
          <w:sz w:val="24"/>
          <w:highlight w:val="none"/>
        </w:rPr>
        <w:t>2.填写注意事项：</w:t>
      </w:r>
    </w:p>
    <w:p w14:paraId="6036733C">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①带*为必填项。</w:t>
      </w:r>
    </w:p>
    <w:p w14:paraId="5012419F">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②项目名称、项目编号应与磋商文件保持一致，项目编号格式为：HYHAQD****-****。</w:t>
      </w:r>
    </w:p>
    <w:p w14:paraId="7A7FEAC1">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③若因信息填写不全或填写错误，造成无法开具电子发票后果自负。</w:t>
      </w:r>
    </w:p>
    <w:p w14:paraId="6693BD48">
      <w:pPr>
        <w:spacing w:line="360" w:lineRule="auto"/>
        <w:rPr>
          <w:rFonts w:ascii="宋体" w:hAnsi="宋体" w:cs="宋体"/>
          <w:b/>
          <w:bCs/>
          <w:color w:val="auto"/>
          <w:kern w:val="0"/>
          <w:sz w:val="24"/>
          <w:highlight w:val="none"/>
        </w:rPr>
      </w:pPr>
      <w:r>
        <w:rPr>
          <w:rFonts w:hint="eastAsia" w:ascii="宋体" w:hAnsi="宋体" w:cs="宋体"/>
          <w:b/>
          <w:bCs/>
          <w:color w:val="auto"/>
          <w:kern w:val="0"/>
          <w:sz w:val="24"/>
          <w:highlight w:val="none"/>
        </w:rPr>
        <w:t>3.其他：</w:t>
      </w:r>
    </w:p>
    <w:p w14:paraId="191D4FB3">
      <w:pPr>
        <w:spacing w:line="360" w:lineRule="auto"/>
        <w:rPr>
          <w:rFonts w:hint="eastAsia" w:ascii="宋体" w:hAnsi="宋体" w:cs="宋体"/>
          <w:color w:val="auto"/>
          <w:sz w:val="24"/>
          <w:highlight w:val="none"/>
        </w:rPr>
      </w:pPr>
      <w:r>
        <w:rPr>
          <w:rFonts w:hint="eastAsia" w:ascii="宋体" w:hAnsi="宋体" w:cs="宋体"/>
          <w:color w:val="auto"/>
          <w:sz w:val="24"/>
          <w:highlight w:val="none"/>
        </w:rPr>
        <w:t>①有特殊开票要求请发送财务电子邮箱，电子邮箱：2448549080@qq.com；联系电话：0532-85789337。</w:t>
      </w:r>
    </w:p>
    <w:p w14:paraId="7D6A70B6">
      <w:pPr>
        <w:spacing w:line="360" w:lineRule="auto"/>
        <w:rPr>
          <w:rFonts w:hint="eastAsia" w:ascii="宋体" w:hAnsi="宋体" w:cs="宋体"/>
          <w:color w:val="auto"/>
          <w:sz w:val="24"/>
          <w:highlight w:val="none"/>
        </w:rPr>
      </w:pPr>
      <w:r>
        <w:rPr>
          <w:rFonts w:hint="eastAsia" w:ascii="宋体" w:hAnsi="宋体" w:cs="宋体"/>
          <w:color w:val="auto"/>
          <w:sz w:val="24"/>
          <w:highlight w:val="none"/>
        </w:rPr>
        <w:t>②所有信息填写完整且无误后，财务每周统一时间开具电子发票，并发送至登记的接收电子邮箱，申请单位可于次周登陆电子邮箱查收。</w:t>
      </w:r>
    </w:p>
    <w:p w14:paraId="78BB68A6">
      <w:pPr>
        <w:spacing w:line="360" w:lineRule="auto"/>
        <w:rPr>
          <w:rFonts w:hint="eastAsia" w:ascii="宋体" w:hAnsi="宋体" w:cs="宋体"/>
          <w:color w:val="auto"/>
          <w:sz w:val="24"/>
          <w:highlight w:val="none"/>
        </w:rPr>
      </w:pPr>
      <w:r>
        <w:rPr>
          <w:rFonts w:hint="eastAsia" w:ascii="宋体" w:hAnsi="宋体" w:cs="宋体"/>
          <w:color w:val="auto"/>
          <w:sz w:val="24"/>
          <w:highlight w:val="none"/>
        </w:rPr>
        <w:t>③标书费和中标服务费不可合并申请，需逐条申请。</w:t>
      </w:r>
    </w:p>
    <w:p w14:paraId="52049B78">
      <w:pPr>
        <w:spacing w:line="360" w:lineRule="auto"/>
        <w:rPr>
          <w:rFonts w:ascii="宋体" w:hAnsi="宋体" w:cs="宋体"/>
          <w:color w:val="auto"/>
          <w:sz w:val="24"/>
          <w:highlight w:val="none"/>
        </w:rPr>
      </w:pPr>
      <w:r>
        <w:rPr>
          <w:rFonts w:hint="eastAsia" w:ascii="宋体" w:hAnsi="宋体" w:cs="宋体"/>
          <w:color w:val="auto"/>
          <w:sz w:val="24"/>
          <w:highlight w:val="none"/>
        </w:rPr>
        <w:t>④同一个项目同笔金额信息填写无误后，请勿重复申请。</w:t>
      </w:r>
    </w:p>
    <w:p w14:paraId="2F865605">
      <w:pPr>
        <w:pStyle w:val="8"/>
        <w:shd w:val="clear" w:color="auto" w:fill="FFFFFF"/>
        <w:spacing w:before="0" w:beforeAutospacing="0" w:after="0" w:afterAutospacing="0" w:line="360" w:lineRule="auto"/>
        <w:rPr>
          <w:color w:val="auto"/>
          <w:highlight w:val="none"/>
        </w:rPr>
      </w:pPr>
    </w:p>
    <w:p w14:paraId="220C3806">
      <w:pPr>
        <w:pStyle w:val="7"/>
        <w:rPr>
          <w:highlight w:val="none"/>
        </w:rPr>
      </w:pPr>
    </w:p>
    <w:sectPr>
      <w:footerReference r:id="rId16" w:type="default"/>
      <w:pgSz w:w="11907" w:h="16839"/>
      <w:pgMar w:top="1417" w:right="1701" w:bottom="1417" w:left="1701" w:header="567" w:footer="567"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D332E">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07C5E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107C5E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53133">
    <w:pPr>
      <w:pStyle w:val="5"/>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844E2D">
                          <w:pPr>
                            <w:pStyle w:val="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2E844E2D">
                    <w:pPr>
                      <w:pStyle w:val="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1ED75">
    <w:pPr>
      <w:pStyle w:val="5"/>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24E72">
                          <w:pPr>
                            <w:pStyle w:val="5"/>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67C24E72">
                    <w:pPr>
                      <w:pStyle w:val="5"/>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DE517">
    <w:pPr>
      <w:pStyle w:val="5"/>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4E4FD">
                          <w:pPr>
                            <w:pStyle w:val="5"/>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6F94E4FD">
                    <w:pPr>
                      <w:pStyle w:val="5"/>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67B66">
    <w:pPr>
      <w:pStyle w:val="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3C9E7">
                          <w:pPr>
                            <w:pStyle w:val="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4A3C9E7">
                    <w:pPr>
                      <w:pStyle w:val="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03E6F">
    <w:pPr>
      <w:pStyle w:val="5"/>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2BE08">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602BE08">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84F52">
    <w:pPr>
      <w:pStyle w:val="5"/>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7B4B8B">
                          <w:pPr>
                            <w:pStyle w:val="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157B4B8B">
                    <w:pPr>
                      <w:pStyle w:val="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3DBC7">
    <w:pPr>
      <w:pStyle w:val="5"/>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D8E394">
                          <w:pPr>
                            <w:pStyle w:val="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5D8E394">
                    <w:pPr>
                      <w:pStyle w:val="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F7AA3">
    <w:pPr>
      <w:spacing w:line="176" w:lineRule="auto"/>
      <w:ind w:left="43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BDF5D6">
                          <w:pPr>
                            <w:pStyle w:val="5"/>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1BDF5D6">
                    <w:pPr>
                      <w:pStyle w:val="5"/>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594A0">
    <w:pPr>
      <w:pStyle w:val="5"/>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30B7A9">
                          <w:pPr>
                            <w:pStyle w:val="5"/>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7730B7A9">
                    <w:pPr>
                      <w:pStyle w:val="5"/>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C2646">
    <w:pPr>
      <w:spacing w:line="176" w:lineRule="auto"/>
      <w:ind w:left="439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8CC32">
                          <w:pPr>
                            <w:pStyle w:val="5"/>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C98CC32">
                    <w:pPr>
                      <w:pStyle w:val="5"/>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CB895">
    <w:pPr>
      <w:spacing w:line="176" w:lineRule="auto"/>
      <w:ind w:left="439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F3DA4">
                          <w:pPr>
                            <w:pStyle w:val="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4EF3DA4">
                    <w:pPr>
                      <w:pStyle w:val="5"/>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02A728"/>
    <w:multiLevelType w:val="singleLevel"/>
    <w:tmpl w:val="AB02A728"/>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DczZGU0NGFkZjE1YmZmNTZhNTQ1YmFhMzc1NjJmNDkifQ=="/>
  </w:docVars>
  <w:rsids>
    <w:rsidRoot w:val="00000000"/>
    <w:rsid w:val="00CE3CF1"/>
    <w:rsid w:val="019E2F16"/>
    <w:rsid w:val="043A1D5E"/>
    <w:rsid w:val="06B01493"/>
    <w:rsid w:val="06F04422"/>
    <w:rsid w:val="07D5342E"/>
    <w:rsid w:val="0902043D"/>
    <w:rsid w:val="09806A0D"/>
    <w:rsid w:val="099F5513"/>
    <w:rsid w:val="09BA255B"/>
    <w:rsid w:val="0AE03455"/>
    <w:rsid w:val="0CAB4D3E"/>
    <w:rsid w:val="0D2E35AF"/>
    <w:rsid w:val="0ED40186"/>
    <w:rsid w:val="113C288C"/>
    <w:rsid w:val="11AA3420"/>
    <w:rsid w:val="14985F12"/>
    <w:rsid w:val="150F6629"/>
    <w:rsid w:val="16962731"/>
    <w:rsid w:val="18A461C2"/>
    <w:rsid w:val="198B04B4"/>
    <w:rsid w:val="1B3721C8"/>
    <w:rsid w:val="1CCC6940"/>
    <w:rsid w:val="1EE75CB3"/>
    <w:rsid w:val="1F1A526A"/>
    <w:rsid w:val="20900ED8"/>
    <w:rsid w:val="22851FD8"/>
    <w:rsid w:val="233C57EF"/>
    <w:rsid w:val="236553F8"/>
    <w:rsid w:val="23D22A8E"/>
    <w:rsid w:val="24612064"/>
    <w:rsid w:val="24C87C20"/>
    <w:rsid w:val="26127AF5"/>
    <w:rsid w:val="27AB1F74"/>
    <w:rsid w:val="285C43A2"/>
    <w:rsid w:val="288B7955"/>
    <w:rsid w:val="296C128F"/>
    <w:rsid w:val="2DB05607"/>
    <w:rsid w:val="310E5321"/>
    <w:rsid w:val="3207424B"/>
    <w:rsid w:val="32292413"/>
    <w:rsid w:val="324C6101"/>
    <w:rsid w:val="336B6A5B"/>
    <w:rsid w:val="366E7B77"/>
    <w:rsid w:val="38D13A7E"/>
    <w:rsid w:val="393C0FF6"/>
    <w:rsid w:val="3A8F1281"/>
    <w:rsid w:val="3BCB0097"/>
    <w:rsid w:val="3E5F706E"/>
    <w:rsid w:val="3EA20B01"/>
    <w:rsid w:val="400C2C55"/>
    <w:rsid w:val="4267663F"/>
    <w:rsid w:val="42B7547B"/>
    <w:rsid w:val="42E80A80"/>
    <w:rsid w:val="43030A5E"/>
    <w:rsid w:val="43145203"/>
    <w:rsid w:val="438A5403"/>
    <w:rsid w:val="43CD4BC8"/>
    <w:rsid w:val="43F16B09"/>
    <w:rsid w:val="43FB34E3"/>
    <w:rsid w:val="47B10A89"/>
    <w:rsid w:val="48E75B93"/>
    <w:rsid w:val="49EF0119"/>
    <w:rsid w:val="4A3D262D"/>
    <w:rsid w:val="4C121D12"/>
    <w:rsid w:val="4F9B5B7A"/>
    <w:rsid w:val="508F74BB"/>
    <w:rsid w:val="51CA2ACC"/>
    <w:rsid w:val="527F3531"/>
    <w:rsid w:val="53413C5B"/>
    <w:rsid w:val="54B90F7D"/>
    <w:rsid w:val="57504D71"/>
    <w:rsid w:val="58872614"/>
    <w:rsid w:val="592D3CE7"/>
    <w:rsid w:val="59982909"/>
    <w:rsid w:val="59A55F73"/>
    <w:rsid w:val="5A894DCE"/>
    <w:rsid w:val="5AB4550E"/>
    <w:rsid w:val="5B237E93"/>
    <w:rsid w:val="5BCE284C"/>
    <w:rsid w:val="5C34400F"/>
    <w:rsid w:val="5CBB55A2"/>
    <w:rsid w:val="5E6C2CE8"/>
    <w:rsid w:val="5ECE1AC8"/>
    <w:rsid w:val="61333E65"/>
    <w:rsid w:val="61834DEC"/>
    <w:rsid w:val="618B5A4F"/>
    <w:rsid w:val="61C4201A"/>
    <w:rsid w:val="6300431D"/>
    <w:rsid w:val="63DB0E72"/>
    <w:rsid w:val="64265F03"/>
    <w:rsid w:val="642F3009"/>
    <w:rsid w:val="658F7C0A"/>
    <w:rsid w:val="662B0D54"/>
    <w:rsid w:val="662B5A52"/>
    <w:rsid w:val="668732E7"/>
    <w:rsid w:val="66F40EEA"/>
    <w:rsid w:val="67BA778A"/>
    <w:rsid w:val="67E9461A"/>
    <w:rsid w:val="6A8614A9"/>
    <w:rsid w:val="6ADC1381"/>
    <w:rsid w:val="6CFF5543"/>
    <w:rsid w:val="6D1369E4"/>
    <w:rsid w:val="76E557A9"/>
    <w:rsid w:val="76EA0197"/>
    <w:rsid w:val="77B07B65"/>
    <w:rsid w:val="784F61F7"/>
    <w:rsid w:val="78AB7E48"/>
    <w:rsid w:val="7BBA0FB3"/>
    <w:rsid w:val="7C232284"/>
    <w:rsid w:val="7E967B3C"/>
    <w:rsid w:val="7F182B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99"/>
    <w:pPr>
      <w:keepNext/>
      <w:keepLines/>
      <w:spacing w:before="260" w:after="260" w:line="416" w:lineRule="auto"/>
      <w:outlineLvl w:val="1"/>
    </w:pPr>
    <w:rPr>
      <w:rFonts w:ascii="Arial" w:hAnsi="Arial" w:eastAsia="黑体"/>
      <w:b/>
      <w:bCs/>
      <w:kern w:val="0"/>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黑体" w:hAnsi="黑体" w:eastAsia="黑体" w:cs="黑体"/>
      <w:sz w:val="28"/>
      <w:szCs w:val="28"/>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unhideWhenUsed/>
    <w:qFormat/>
    <w:uiPriority w:val="39"/>
    <w:pPr>
      <w:spacing w:line="380" w:lineRule="exact"/>
      <w:jc w:val="distribute"/>
    </w:pPr>
    <w:rPr>
      <w:rFonts w:eastAsia="黑体"/>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4"/>
      <w:szCs w:val="24"/>
      <w:lang w:val="en-US" w:eastAsia="en-US" w:bidi="ar-SA"/>
    </w:rPr>
  </w:style>
  <w:style w:type="paragraph" w:styleId="13">
    <w:name w:val="List Paragraph"/>
    <w:basedOn w:val="1"/>
    <w:qFormat/>
    <w:uiPriority w:val="1"/>
    <w:pPr>
      <w:ind w:left="1374" w:hanging="364"/>
    </w:pPr>
    <w:rPr>
      <w:rFonts w:ascii="宋体" w:hAnsi="宋体" w:eastAsia="宋体" w:cs="宋体"/>
    </w:rPr>
  </w:style>
  <w:style w:type="paragraph" w:customStyle="1" w:styleId="14">
    <w:name w:val="WPSOffice手动目录 1"/>
    <w:qFormat/>
    <w:uiPriority w:val="0"/>
    <w:pPr>
      <w:ind w:leftChars="0"/>
    </w:pPr>
    <w:rPr>
      <w:rFonts w:ascii="Times New Roman" w:hAnsi="Times New Roman" w:eastAsia="宋体" w:cs="Times New Roman"/>
      <w:sz w:val="20"/>
      <w:szCs w:val="20"/>
    </w:rPr>
  </w:style>
  <w:style w:type="paragraph" w:customStyle="1" w:styleId="15">
    <w:name w:val="WPSOffice手动目录 2"/>
    <w:qFormat/>
    <w:uiPriority w:val="0"/>
    <w:pPr>
      <w:ind w:leftChars="200"/>
    </w:pPr>
    <w:rPr>
      <w:rFonts w:ascii="Times New Roman" w:hAnsi="Times New Roman" w:eastAsia="宋体" w:cs="Times New Roman"/>
      <w:sz w:val="20"/>
      <w:szCs w:val="20"/>
    </w:rPr>
  </w:style>
  <w:style w:type="paragraph" w:customStyle="1" w:styleId="1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44</Pages>
  <Words>7052</Words>
  <Characters>7608</Characters>
  <TotalTime>0</TotalTime>
  <ScaleCrop>false</ScaleCrop>
  <LinksUpToDate>false</LinksUpToDate>
  <CharactersWithSpaces>7711</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2023-12-26T18:55:00Z</dcterms:created>
  <dc:creator>admin</dc:creator>
  <cp:lastModifiedBy>admin</cp:lastModifiedBy>
  <cp:lastPrinted>2024-08-28T06:29:00Z</cp:lastPrinted>
  <dcterms:modified xsi:type="dcterms:W3CDTF">2026-03-02T01:22:26Z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2024-08-27T14:54:15Z</vt:filetime>
  </property>
  <property fmtid="{D5CDD505-2E9C-101B-9397-08002B2CF9AE}" pid="4" name="KSOProductBuildVer">
    <vt:lpwstr>2052-12.1.0.25225</vt:lpwstr>
  </property>
  <property fmtid="{D5CDD505-2E9C-101B-9397-08002B2CF9AE}" pid="5" name="ICV">
    <vt:lpwstr>B23A6C9343A44A50845E2C8E29BB276B_13</vt:lpwstr>
  </property>
  <property fmtid="{D5CDD505-2E9C-101B-9397-08002B2CF9AE}" pid="6" name="KSOTemplateDocerSaveRecord">
    <vt:lpwstr>eyJoZGlkIjoiNjk5YWIwYmZkZTc4NjFiNTY4NzkwMGI5MWJmZmYwMWEiLCJ1c2VySWQiOiIxMjAzNDY4MjA3In0=</vt:lpwstr>
  </property>
</Properties>
</file>