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576FF">
      <w:pPr>
        <w:rPr>
          <w:rFonts w:ascii="黑体" w:hAnsi="宋体" w:eastAsia="黑体"/>
          <w:color w:val="auto"/>
          <w:sz w:val="32"/>
          <w:szCs w:val="32"/>
          <w:highlight w:val="none"/>
        </w:rPr>
      </w:pPr>
      <w:bookmarkStart w:id="120" w:name="_GoBack"/>
      <w:bookmarkEnd w:id="120"/>
    </w:p>
    <w:p w14:paraId="364CF1AB">
      <w:pPr>
        <w:spacing w:after="312" w:afterLines="100" w:line="360" w:lineRule="auto"/>
        <w:jc w:val="center"/>
        <w:rPr>
          <w:rFonts w:hint="eastAsia" w:ascii="黑体" w:hAnsi="黑体" w:eastAsia="黑体" w:cs="黑体"/>
          <w:color w:val="auto"/>
          <w:sz w:val="48"/>
          <w:szCs w:val="48"/>
          <w:highlight w:val="none"/>
          <w:lang w:eastAsia="zh-CN"/>
        </w:rPr>
      </w:pPr>
      <w:r>
        <w:rPr>
          <w:rFonts w:hint="eastAsia" w:ascii="黑体" w:hAnsi="黑体" w:eastAsia="黑体" w:cs="黑体"/>
          <w:color w:val="auto"/>
          <w:sz w:val="52"/>
          <w:szCs w:val="52"/>
          <w:highlight w:val="none"/>
          <w:lang w:eastAsia="zh-CN"/>
        </w:rPr>
        <w:t>山东大学齐鲁医院（青岛）</w:t>
      </w:r>
    </w:p>
    <w:p w14:paraId="0770D34E">
      <w:pPr>
        <w:jc w:val="center"/>
        <w:rPr>
          <w:rFonts w:hint="eastAsia" w:ascii="黑体" w:hAnsi="宋体" w:eastAsia="黑体"/>
          <w:bCs/>
          <w:color w:val="auto"/>
          <w:spacing w:val="-12"/>
          <w:sz w:val="40"/>
          <w:szCs w:val="40"/>
          <w:highlight w:val="none"/>
        </w:rPr>
      </w:pPr>
    </w:p>
    <w:p w14:paraId="07B6B90F">
      <w:pPr>
        <w:jc w:val="center"/>
        <w:rPr>
          <w:rFonts w:hint="eastAsia" w:ascii="黑体" w:hAnsi="宋体" w:eastAsia="黑体"/>
          <w:bCs/>
          <w:color w:val="auto"/>
          <w:spacing w:val="-12"/>
          <w:sz w:val="40"/>
          <w:szCs w:val="40"/>
          <w:highlight w:val="none"/>
        </w:rPr>
      </w:pPr>
    </w:p>
    <w:p w14:paraId="1D8C9219">
      <w:pPr>
        <w:tabs>
          <w:tab w:val="left" w:pos="8040"/>
        </w:tabs>
        <w:jc w:val="center"/>
        <w:rPr>
          <w:rFonts w:hint="eastAsia" w:ascii="黑体" w:hAnsi="黑体" w:eastAsia="黑体" w:cs="黑体"/>
          <w:color w:val="auto"/>
          <w:sz w:val="48"/>
          <w:szCs w:val="48"/>
          <w:highlight w:val="none"/>
          <w:lang w:eastAsia="zh-CN"/>
        </w:rPr>
      </w:pPr>
    </w:p>
    <w:p w14:paraId="6DF462FD">
      <w:pPr>
        <w:tabs>
          <w:tab w:val="left" w:pos="8040"/>
        </w:tabs>
        <w:jc w:val="center"/>
        <w:rPr>
          <w:rFonts w:hint="eastAsia" w:ascii="黑体" w:hAnsi="宋体" w:eastAsia="黑体"/>
          <w:bCs/>
          <w:color w:val="auto"/>
          <w:sz w:val="22"/>
          <w:highlight w:val="none"/>
          <w:lang w:eastAsia="zh-CN"/>
        </w:rPr>
      </w:pPr>
      <w:r>
        <w:rPr>
          <w:rFonts w:hint="eastAsia" w:ascii="黑体" w:hAnsi="黑体" w:eastAsia="黑体" w:cs="黑体"/>
          <w:color w:val="auto"/>
          <w:sz w:val="48"/>
          <w:szCs w:val="48"/>
          <w:highlight w:val="none"/>
          <w:lang w:eastAsia="zh-CN"/>
        </w:rPr>
        <w:t>山东大学齐鲁医院（青岛）康复科设备包采购项目</w:t>
      </w:r>
    </w:p>
    <w:p w14:paraId="62E3D551">
      <w:pPr>
        <w:jc w:val="center"/>
        <w:rPr>
          <w:rFonts w:ascii="黑体" w:hAnsi="宋体" w:eastAsia="黑体"/>
          <w:bCs/>
          <w:color w:val="auto"/>
          <w:sz w:val="24"/>
          <w:szCs w:val="24"/>
          <w:highlight w:val="none"/>
        </w:rPr>
      </w:pPr>
    </w:p>
    <w:p w14:paraId="77631A9F">
      <w:pPr>
        <w:jc w:val="center"/>
        <w:rPr>
          <w:rFonts w:ascii="黑体" w:hAnsi="宋体" w:eastAsia="黑体"/>
          <w:bCs/>
          <w:color w:val="auto"/>
          <w:sz w:val="24"/>
          <w:szCs w:val="24"/>
          <w:highlight w:val="none"/>
        </w:rPr>
      </w:pPr>
    </w:p>
    <w:p w14:paraId="45F16324">
      <w:pPr>
        <w:jc w:val="center"/>
        <w:rPr>
          <w:rFonts w:ascii="黑体" w:hAnsi="宋体" w:eastAsia="黑体"/>
          <w:bCs/>
          <w:color w:val="auto"/>
          <w:sz w:val="24"/>
          <w:szCs w:val="24"/>
          <w:highlight w:val="none"/>
        </w:rPr>
      </w:pPr>
    </w:p>
    <w:p w14:paraId="1393883C">
      <w:pPr>
        <w:jc w:val="center"/>
        <w:rPr>
          <w:rFonts w:hint="eastAsia" w:ascii="黑体" w:hAnsi="宋体" w:eastAsia="黑体"/>
          <w:bCs/>
          <w:color w:val="auto"/>
          <w:sz w:val="24"/>
          <w:szCs w:val="24"/>
          <w:highlight w:val="none"/>
        </w:rPr>
      </w:pPr>
    </w:p>
    <w:p w14:paraId="5E7C516A">
      <w:pPr>
        <w:jc w:val="center"/>
        <w:rPr>
          <w:rFonts w:ascii="黑体" w:hAnsi="宋体" w:eastAsia="黑体"/>
          <w:bCs/>
          <w:color w:val="auto"/>
          <w:sz w:val="24"/>
          <w:szCs w:val="24"/>
          <w:highlight w:val="none"/>
        </w:rPr>
      </w:pPr>
    </w:p>
    <w:p w14:paraId="013B90BA">
      <w:pPr>
        <w:jc w:val="center"/>
        <w:rPr>
          <w:rFonts w:ascii="黑体" w:hAnsi="宋体" w:eastAsia="黑体"/>
          <w:bCs/>
          <w:color w:val="auto"/>
          <w:sz w:val="24"/>
          <w:szCs w:val="24"/>
          <w:highlight w:val="none"/>
        </w:rPr>
      </w:pPr>
    </w:p>
    <w:p w14:paraId="2FA67109">
      <w:pPr>
        <w:jc w:val="center"/>
        <w:rPr>
          <w:rFonts w:ascii="黑体" w:hAnsi="宋体" w:eastAsia="黑体"/>
          <w:color w:val="auto"/>
          <w:sz w:val="80"/>
          <w:szCs w:val="80"/>
          <w:highlight w:val="none"/>
        </w:rPr>
      </w:pPr>
      <w:r>
        <w:rPr>
          <w:rFonts w:hint="eastAsia" w:ascii="黑体" w:hAnsi="宋体" w:eastAsia="黑体"/>
          <w:color w:val="auto"/>
          <w:sz w:val="80"/>
          <w:szCs w:val="80"/>
          <w:highlight w:val="none"/>
        </w:rPr>
        <w:t>货物类公开招标文件</w:t>
      </w:r>
    </w:p>
    <w:p w14:paraId="73F1FE9E">
      <w:pPr>
        <w:spacing w:before="156" w:beforeLines="50"/>
        <w:jc w:val="center"/>
        <w:rPr>
          <w:rFonts w:ascii="黑体" w:hAnsi="宋体" w:eastAsia="黑体"/>
          <w:color w:val="auto"/>
          <w:sz w:val="32"/>
          <w:szCs w:val="32"/>
          <w:highlight w:val="none"/>
        </w:rPr>
      </w:pPr>
    </w:p>
    <w:p w14:paraId="66788B60">
      <w:pPr>
        <w:jc w:val="center"/>
        <w:rPr>
          <w:rFonts w:ascii="黑体" w:hAnsi="宋体" w:eastAsia="黑体"/>
          <w:bCs/>
          <w:color w:val="auto"/>
          <w:sz w:val="24"/>
          <w:szCs w:val="24"/>
          <w:highlight w:val="none"/>
        </w:rPr>
      </w:pPr>
    </w:p>
    <w:p w14:paraId="745051AC">
      <w:pPr>
        <w:jc w:val="center"/>
        <w:rPr>
          <w:rFonts w:ascii="黑体" w:hAnsi="宋体" w:eastAsia="黑体"/>
          <w:bCs/>
          <w:color w:val="auto"/>
          <w:sz w:val="24"/>
          <w:szCs w:val="24"/>
          <w:highlight w:val="none"/>
        </w:rPr>
      </w:pPr>
    </w:p>
    <w:p w14:paraId="4947ACF4">
      <w:pPr>
        <w:jc w:val="center"/>
        <w:rPr>
          <w:rFonts w:ascii="黑体" w:hAnsi="宋体" w:eastAsia="黑体"/>
          <w:bCs/>
          <w:color w:val="auto"/>
          <w:sz w:val="24"/>
          <w:szCs w:val="24"/>
          <w:highlight w:val="none"/>
        </w:rPr>
      </w:pPr>
    </w:p>
    <w:p w14:paraId="53266B93">
      <w:pPr>
        <w:spacing w:line="300" w:lineRule="auto"/>
        <w:ind w:firstLine="1440" w:firstLineChars="450"/>
        <w:rPr>
          <w:rFonts w:hint="eastAsia" w:ascii="黑体" w:hAnsi="宋体" w:eastAsia="黑体"/>
          <w:color w:val="auto"/>
          <w:sz w:val="32"/>
          <w:szCs w:val="32"/>
          <w:highlight w:val="none"/>
        </w:rPr>
      </w:pPr>
    </w:p>
    <w:p w14:paraId="1E79B757">
      <w:pPr>
        <w:spacing w:line="300" w:lineRule="auto"/>
        <w:ind w:firstLine="1440" w:firstLineChars="450"/>
        <w:rPr>
          <w:rFonts w:hint="eastAsia" w:ascii="黑体" w:hAnsi="宋体" w:eastAsia="黑体"/>
          <w:color w:val="auto"/>
          <w:sz w:val="32"/>
          <w:szCs w:val="32"/>
          <w:highlight w:val="none"/>
          <w:lang w:eastAsia="zh-CN"/>
        </w:rPr>
      </w:pPr>
      <w:r>
        <w:rPr>
          <w:rFonts w:hint="eastAsia" w:ascii="黑体" w:hAnsi="宋体" w:eastAsia="黑体"/>
          <w:color w:val="auto"/>
          <w:sz w:val="32"/>
          <w:szCs w:val="32"/>
          <w:highlight w:val="none"/>
          <w:lang w:val="en-US" w:eastAsia="zh-CN"/>
        </w:rPr>
        <w:t>采 购 人</w:t>
      </w:r>
      <w:r>
        <w:rPr>
          <w:rFonts w:hint="eastAsia" w:ascii="黑体" w:hAnsi="宋体" w:eastAsia="黑体"/>
          <w:color w:val="auto"/>
          <w:sz w:val="32"/>
          <w:szCs w:val="32"/>
          <w:highlight w:val="none"/>
        </w:rPr>
        <w:t>：</w:t>
      </w:r>
      <w:r>
        <w:rPr>
          <w:rFonts w:hint="eastAsia" w:ascii="黑体" w:hAnsi="宋体" w:eastAsia="黑体"/>
          <w:color w:val="auto"/>
          <w:sz w:val="32"/>
          <w:szCs w:val="32"/>
          <w:highlight w:val="none"/>
          <w:u w:val="single"/>
          <w:lang w:eastAsia="zh-CN"/>
        </w:rPr>
        <w:t>山东大学齐鲁医院（青岛）</w:t>
      </w:r>
    </w:p>
    <w:p w14:paraId="28ED22AA">
      <w:pPr>
        <w:spacing w:line="300" w:lineRule="auto"/>
        <w:ind w:firstLine="1440" w:firstLineChars="450"/>
        <w:rPr>
          <w:rFonts w:hint="eastAsia" w:ascii="黑体" w:hAnsi="宋体" w:eastAsia="黑体"/>
          <w:color w:val="auto"/>
          <w:sz w:val="32"/>
          <w:szCs w:val="32"/>
          <w:highlight w:val="none"/>
          <w:u w:val="single"/>
        </w:rPr>
      </w:pPr>
      <w:r>
        <w:rPr>
          <w:rFonts w:hint="eastAsia" w:ascii="黑体" w:hAnsi="宋体" w:eastAsia="黑体"/>
          <w:color w:val="auto"/>
          <w:sz w:val="32"/>
          <w:szCs w:val="32"/>
          <w:highlight w:val="none"/>
        </w:rPr>
        <w:t>代理机构：</w:t>
      </w:r>
      <w:r>
        <w:rPr>
          <w:rFonts w:hint="eastAsia" w:ascii="黑体" w:hAnsi="宋体" w:eastAsia="黑体"/>
          <w:color w:val="auto"/>
          <w:sz w:val="32"/>
          <w:szCs w:val="32"/>
          <w:highlight w:val="none"/>
          <w:u w:val="single"/>
        </w:rPr>
        <w:t>嘉信全过程项目咨询管理有限公司</w:t>
      </w:r>
    </w:p>
    <w:p w14:paraId="0CE03448">
      <w:pPr>
        <w:spacing w:line="300" w:lineRule="auto"/>
        <w:ind w:firstLine="1440" w:firstLineChars="450"/>
        <w:rPr>
          <w:rFonts w:hint="eastAsia" w:eastAsia="黑体"/>
          <w:color w:val="auto"/>
          <w:sz w:val="32"/>
          <w:szCs w:val="32"/>
          <w:highlight w:val="none"/>
          <w:lang w:eastAsia="zh-CN"/>
        </w:rPr>
      </w:pPr>
      <w:r>
        <w:rPr>
          <w:rFonts w:hint="eastAsia" w:eastAsia="黑体"/>
          <w:color w:val="auto"/>
          <w:sz w:val="32"/>
          <w:szCs w:val="32"/>
          <w:highlight w:val="none"/>
        </w:rPr>
        <w:t>项目编号：</w:t>
      </w:r>
      <w:r>
        <w:rPr>
          <w:rFonts w:hint="eastAsia" w:eastAsia="黑体"/>
          <w:color w:val="auto"/>
          <w:sz w:val="32"/>
          <w:szCs w:val="32"/>
          <w:highlight w:val="none"/>
          <w:u w:val="single"/>
          <w:lang w:eastAsia="zh-CN"/>
        </w:rPr>
        <w:t>JXQGC-01-20260809</w:t>
      </w:r>
    </w:p>
    <w:p w14:paraId="311B33FD">
      <w:pPr>
        <w:tabs>
          <w:tab w:val="left" w:pos="7140"/>
        </w:tabs>
        <w:spacing w:line="300" w:lineRule="auto"/>
        <w:ind w:firstLine="1440" w:firstLineChars="450"/>
        <w:rPr>
          <w:rFonts w:hint="eastAsia" w:ascii="仿宋_GB2312" w:hAnsi="仿宋_GB2312" w:eastAsia="仿宋_GB2312" w:cs="仿宋_GB2312"/>
          <w:color w:val="auto"/>
          <w:sz w:val="32"/>
          <w:szCs w:val="32"/>
          <w:highlight w:val="none"/>
        </w:rPr>
      </w:pPr>
      <w:r>
        <w:rPr>
          <w:rFonts w:eastAsia="黑体"/>
          <w:color w:val="auto"/>
          <w:sz w:val="32"/>
          <w:szCs w:val="32"/>
          <w:highlight w:val="none"/>
        </w:rPr>
        <w:t>日</w:t>
      </w:r>
      <w:r>
        <w:rPr>
          <w:rFonts w:hint="eastAsia" w:eastAsia="黑体"/>
          <w:color w:val="auto"/>
          <w:sz w:val="32"/>
          <w:szCs w:val="32"/>
          <w:highlight w:val="none"/>
        </w:rPr>
        <w:t xml:space="preserve">    </w:t>
      </w:r>
      <w:r>
        <w:rPr>
          <w:rFonts w:eastAsia="黑体"/>
          <w:color w:val="auto"/>
          <w:sz w:val="32"/>
          <w:szCs w:val="32"/>
          <w:highlight w:val="none"/>
        </w:rPr>
        <w:t>期：</w:t>
      </w:r>
      <w:r>
        <w:rPr>
          <w:rFonts w:hint="eastAsia" w:eastAsia="黑体"/>
          <w:color w:val="auto"/>
          <w:sz w:val="32"/>
          <w:szCs w:val="32"/>
          <w:highlight w:val="none"/>
          <w:u w:val="single"/>
        </w:rPr>
        <w:t>二〇二</w:t>
      </w:r>
      <w:r>
        <w:rPr>
          <w:rFonts w:hint="eastAsia" w:eastAsia="黑体"/>
          <w:color w:val="auto"/>
          <w:sz w:val="32"/>
          <w:szCs w:val="32"/>
          <w:highlight w:val="none"/>
          <w:u w:val="single"/>
          <w:lang w:val="en-US" w:eastAsia="zh-CN"/>
        </w:rPr>
        <w:t>六</w:t>
      </w:r>
      <w:r>
        <w:rPr>
          <w:rFonts w:hint="eastAsia" w:eastAsia="黑体"/>
          <w:color w:val="auto"/>
          <w:sz w:val="32"/>
          <w:szCs w:val="32"/>
          <w:highlight w:val="none"/>
          <w:u w:val="single"/>
        </w:rPr>
        <w:t>年</w:t>
      </w:r>
      <w:r>
        <w:rPr>
          <w:rFonts w:hint="eastAsia" w:eastAsia="黑体"/>
          <w:color w:val="auto"/>
          <w:sz w:val="32"/>
          <w:szCs w:val="32"/>
          <w:highlight w:val="none"/>
          <w:u w:val="single"/>
          <w:lang w:val="en-US" w:eastAsia="zh-CN"/>
        </w:rPr>
        <w:t>八</w:t>
      </w:r>
      <w:r>
        <w:rPr>
          <w:rFonts w:hint="eastAsia" w:eastAsia="黑体"/>
          <w:color w:val="auto"/>
          <w:sz w:val="32"/>
          <w:szCs w:val="32"/>
          <w:highlight w:val="none"/>
          <w:u w:val="single"/>
        </w:rPr>
        <w:t>月</w:t>
      </w:r>
    </w:p>
    <w:p w14:paraId="0DF174A3">
      <w:pPr>
        <w:rPr>
          <w:color w:val="auto"/>
          <w:highlight w:val="none"/>
        </w:rPr>
      </w:pPr>
    </w:p>
    <w:p w14:paraId="4A19D7A5">
      <w:pPr>
        <w:rPr>
          <w:color w:val="auto"/>
          <w:highlight w:val="none"/>
        </w:rPr>
        <w:sectPr>
          <w:footerReference r:id="rId4" w:type="first"/>
          <w:headerReference r:id="rId3" w:type="default"/>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181E8B95">
      <w:pPr>
        <w:widowControl/>
        <w:jc w:val="center"/>
        <w:rPr>
          <w:rFonts w:hint="eastAsia" w:ascii="方正小标宋简体" w:eastAsia="方正小标宋简体"/>
          <w:b/>
          <w:color w:val="auto"/>
          <w:sz w:val="36"/>
          <w:szCs w:val="36"/>
          <w:highlight w:val="none"/>
        </w:rPr>
      </w:pPr>
      <w:r>
        <w:rPr>
          <w:rFonts w:hint="eastAsia" w:ascii="方正小标宋简体" w:eastAsia="方正小标宋简体"/>
          <w:b/>
          <w:color w:val="auto"/>
          <w:sz w:val="36"/>
          <w:szCs w:val="36"/>
          <w:highlight w:val="none"/>
        </w:rPr>
        <w:t>重要提示</w:t>
      </w:r>
    </w:p>
    <w:p w14:paraId="6A11C532">
      <w:pPr>
        <w:widowControl/>
        <w:snapToGrid w:val="0"/>
        <w:spacing w:line="360" w:lineRule="auto"/>
        <w:ind w:firstLine="480" w:firstLineChars="200"/>
        <w:rPr>
          <w:rFonts w:hint="eastAsia" w:ascii="仿宋" w:hAnsi="仿宋" w:eastAsia="仿宋"/>
          <w:color w:val="auto"/>
          <w:sz w:val="24"/>
          <w:szCs w:val="28"/>
          <w:highlight w:val="none"/>
        </w:rPr>
      </w:pPr>
    </w:p>
    <w:p w14:paraId="5BEFE970">
      <w:pPr>
        <w:widowControl/>
        <w:snapToGrid w:val="0"/>
        <w:spacing w:line="360" w:lineRule="auto"/>
        <w:ind w:firstLine="643" w:firstLineChars="200"/>
        <w:rPr>
          <w:rFonts w:hint="eastAsia" w:ascii="仿宋" w:hAnsi="仿宋" w:eastAsia="仿宋"/>
          <w:b/>
          <w:bCs/>
          <w:color w:val="auto"/>
          <w:sz w:val="32"/>
          <w:szCs w:val="36"/>
          <w:highlight w:val="none"/>
        </w:rPr>
      </w:pPr>
      <w:r>
        <w:rPr>
          <w:rFonts w:hint="eastAsia" w:ascii="仿宋" w:hAnsi="仿宋" w:eastAsia="仿宋"/>
          <w:b/>
          <w:bCs/>
          <w:color w:val="auto"/>
          <w:sz w:val="32"/>
          <w:szCs w:val="36"/>
          <w:highlight w:val="none"/>
        </w:rPr>
        <w:t>一、同一项目同一包中的各</w:t>
      </w:r>
      <w:r>
        <w:rPr>
          <w:rFonts w:hint="eastAsia" w:ascii="仿宋" w:hAnsi="仿宋" w:eastAsia="仿宋"/>
          <w:b/>
          <w:bCs/>
          <w:color w:val="auto"/>
          <w:sz w:val="32"/>
          <w:szCs w:val="36"/>
          <w:highlight w:val="none"/>
          <w:lang w:eastAsia="zh-CN"/>
        </w:rPr>
        <w:t>投标人</w:t>
      </w:r>
      <w:r>
        <w:rPr>
          <w:rFonts w:hint="eastAsia" w:ascii="仿宋" w:hAnsi="仿宋" w:eastAsia="仿宋"/>
          <w:b/>
          <w:bCs/>
          <w:color w:val="auto"/>
          <w:sz w:val="32"/>
          <w:szCs w:val="36"/>
          <w:highlight w:val="none"/>
        </w:rPr>
        <w:t>，若存在股权交叉情形，相关股权交叉单位的响应将被认定为无效，且需承担相应法律责任。</w:t>
      </w:r>
    </w:p>
    <w:p w14:paraId="0F9B36C3">
      <w:pPr>
        <w:widowControl/>
        <w:snapToGrid w:val="0"/>
        <w:spacing w:line="360" w:lineRule="auto"/>
        <w:ind w:firstLine="643" w:firstLineChars="200"/>
        <w:rPr>
          <w:rFonts w:hint="eastAsia" w:ascii="仿宋" w:hAnsi="仿宋" w:eastAsia="仿宋"/>
          <w:b/>
          <w:bCs/>
          <w:color w:val="auto"/>
          <w:sz w:val="32"/>
          <w:szCs w:val="36"/>
          <w:highlight w:val="none"/>
        </w:rPr>
      </w:pPr>
      <w:r>
        <w:rPr>
          <w:rFonts w:hint="eastAsia" w:ascii="仿宋" w:hAnsi="仿宋" w:eastAsia="仿宋"/>
          <w:b/>
          <w:bCs/>
          <w:color w:val="auto"/>
          <w:sz w:val="32"/>
          <w:szCs w:val="36"/>
          <w:highlight w:val="none"/>
        </w:rPr>
        <w:t>二、各</w:t>
      </w:r>
      <w:r>
        <w:rPr>
          <w:rFonts w:hint="eastAsia" w:ascii="仿宋" w:hAnsi="仿宋" w:eastAsia="仿宋"/>
          <w:b/>
          <w:bCs/>
          <w:color w:val="auto"/>
          <w:sz w:val="32"/>
          <w:szCs w:val="36"/>
          <w:highlight w:val="none"/>
          <w:lang w:eastAsia="zh-CN"/>
        </w:rPr>
        <w:t>投标人</w:t>
      </w:r>
      <w:r>
        <w:rPr>
          <w:rFonts w:hint="eastAsia" w:ascii="仿宋" w:hAnsi="仿宋" w:eastAsia="仿宋"/>
          <w:b/>
          <w:bCs/>
          <w:color w:val="auto"/>
          <w:sz w:val="32"/>
          <w:szCs w:val="36"/>
          <w:highlight w:val="none"/>
        </w:rPr>
        <w:t>在项目响应过程中提供虚假资料的，其响应将被认定为无效，且需承担相应法律责任。</w:t>
      </w:r>
    </w:p>
    <w:p w14:paraId="05474C3D">
      <w:pPr>
        <w:widowControl/>
        <w:snapToGrid w:val="0"/>
        <w:spacing w:line="360" w:lineRule="auto"/>
        <w:ind w:firstLine="643" w:firstLineChars="200"/>
        <w:rPr>
          <w:rFonts w:hint="eastAsia" w:ascii="仿宋" w:hAnsi="仿宋" w:eastAsia="仿宋"/>
          <w:b/>
          <w:bCs/>
          <w:color w:val="auto"/>
          <w:sz w:val="32"/>
          <w:szCs w:val="36"/>
          <w:highlight w:val="none"/>
        </w:rPr>
      </w:pPr>
      <w:r>
        <w:rPr>
          <w:rFonts w:hint="eastAsia" w:ascii="仿宋" w:hAnsi="仿宋" w:eastAsia="仿宋"/>
          <w:b/>
          <w:bCs/>
          <w:color w:val="auto"/>
          <w:sz w:val="32"/>
          <w:szCs w:val="36"/>
          <w:highlight w:val="none"/>
        </w:rPr>
        <w:t>三、各</w:t>
      </w:r>
      <w:r>
        <w:rPr>
          <w:rFonts w:hint="eastAsia" w:ascii="仿宋" w:hAnsi="仿宋" w:eastAsia="仿宋"/>
          <w:b/>
          <w:bCs/>
          <w:color w:val="auto"/>
          <w:sz w:val="32"/>
          <w:szCs w:val="36"/>
          <w:highlight w:val="none"/>
          <w:lang w:eastAsia="zh-CN"/>
        </w:rPr>
        <w:t>投标人</w:t>
      </w:r>
      <w:r>
        <w:rPr>
          <w:rFonts w:hint="eastAsia" w:ascii="仿宋" w:hAnsi="仿宋" w:eastAsia="仿宋"/>
          <w:b/>
          <w:bCs/>
          <w:color w:val="auto"/>
          <w:sz w:val="32"/>
          <w:szCs w:val="36"/>
          <w:highlight w:val="none"/>
        </w:rPr>
        <w:t>的法定代表人、负责人或参与本项目的被授权代表人之间，若存在夫妻关系、直系血亲关系、三代以内旁系血亲关系或近姻亲关系，禁止参与同一项目同一包的响应；若违反此规定，其响应将被认定为无效，且需承担相应法律责任。</w:t>
      </w:r>
    </w:p>
    <w:p w14:paraId="68B140A0">
      <w:pPr>
        <w:widowControl/>
        <w:snapToGrid w:val="0"/>
        <w:spacing w:line="360" w:lineRule="auto"/>
        <w:ind w:firstLine="643" w:firstLineChars="200"/>
        <w:rPr>
          <w:rFonts w:ascii="黑体" w:hAnsi="黑体" w:eastAsia="黑体"/>
          <w:color w:val="auto"/>
          <w:sz w:val="28"/>
          <w:szCs w:val="28"/>
          <w:highlight w:val="none"/>
        </w:rPr>
      </w:pPr>
      <w:r>
        <w:rPr>
          <w:rFonts w:hint="eastAsia" w:ascii="仿宋" w:hAnsi="仿宋" w:eastAsia="仿宋"/>
          <w:b/>
          <w:bCs/>
          <w:color w:val="auto"/>
          <w:sz w:val="32"/>
          <w:szCs w:val="36"/>
          <w:highlight w:val="none"/>
        </w:rPr>
        <w:t>四、</w:t>
      </w:r>
      <w:r>
        <w:rPr>
          <w:rFonts w:hint="eastAsia" w:ascii="仿宋" w:hAnsi="仿宋" w:eastAsia="仿宋"/>
          <w:b/>
          <w:bCs/>
          <w:color w:val="auto"/>
          <w:sz w:val="32"/>
          <w:szCs w:val="36"/>
          <w:highlight w:val="none"/>
          <w:lang w:eastAsia="zh-CN"/>
        </w:rPr>
        <w:t>投标人递交投标文件电子版时，应按照招标文件要求递交与纸质版一致的技术文件和商务文件word版及盖章版彩色扫描件各1份，格式：doc（docx）、PDF。</w:t>
      </w:r>
      <w:r>
        <w:rPr>
          <w:rFonts w:ascii="黑体" w:hAnsi="黑体" w:eastAsia="黑体"/>
          <w:color w:val="auto"/>
          <w:sz w:val="28"/>
          <w:szCs w:val="28"/>
          <w:highlight w:val="none"/>
        </w:rPr>
        <w:br w:type="page"/>
      </w:r>
    </w:p>
    <w:p w14:paraId="7DF60857">
      <w:pPr>
        <w:spacing w:after="234" w:afterLines="75"/>
        <w:jc w:val="center"/>
        <w:rPr>
          <w:rFonts w:ascii="黑体" w:hAnsi="黑体" w:eastAsia="黑体"/>
          <w:color w:val="auto"/>
          <w:sz w:val="28"/>
          <w:szCs w:val="28"/>
          <w:highlight w:val="none"/>
        </w:rPr>
      </w:pPr>
      <w:r>
        <w:rPr>
          <w:rFonts w:ascii="黑体" w:hAnsi="黑体" w:eastAsia="黑体"/>
          <w:color w:val="auto"/>
          <w:sz w:val="28"/>
          <w:szCs w:val="28"/>
          <w:highlight w:val="none"/>
        </w:rPr>
        <w:t>目</w:t>
      </w:r>
      <w:r>
        <w:rPr>
          <w:rFonts w:hint="eastAsia" w:ascii="黑体" w:hAnsi="黑体" w:eastAsia="黑体"/>
          <w:color w:val="auto"/>
          <w:sz w:val="28"/>
          <w:szCs w:val="28"/>
          <w:highlight w:val="none"/>
        </w:rPr>
        <w:t xml:space="preserve">  </w:t>
      </w:r>
      <w:r>
        <w:rPr>
          <w:rFonts w:ascii="黑体" w:hAnsi="黑体" w:eastAsia="黑体"/>
          <w:color w:val="auto"/>
          <w:sz w:val="28"/>
          <w:szCs w:val="28"/>
          <w:highlight w:val="none"/>
        </w:rPr>
        <w:t>录</w:t>
      </w:r>
    </w:p>
    <w:p w14:paraId="130CA747">
      <w:pPr>
        <w:pStyle w:val="18"/>
        <w:tabs>
          <w:tab w:val="right" w:leader="dot" w:pos="9072"/>
        </w:tabs>
        <w:rPr>
          <w:color w:val="auto"/>
          <w:highlight w:val="none"/>
        </w:rPr>
      </w:pPr>
      <w:r>
        <w:rPr>
          <w:color w:val="auto"/>
          <w:sz w:val="20"/>
          <w:highlight w:val="none"/>
        </w:rPr>
        <w:fldChar w:fldCharType="begin"/>
      </w:r>
      <w:r>
        <w:rPr>
          <w:color w:val="auto"/>
          <w:sz w:val="20"/>
          <w:highlight w:val="none"/>
        </w:rPr>
        <w:instrText xml:space="preserve"> TOC \o "1-3" \h \z \u </w:instrText>
      </w:r>
      <w:r>
        <w:rPr>
          <w:color w:val="auto"/>
          <w:sz w:val="20"/>
          <w:highlight w:val="none"/>
        </w:rPr>
        <w:fldChar w:fldCharType="separate"/>
      </w:r>
      <w:r>
        <w:rPr>
          <w:color w:val="auto"/>
          <w:highlight w:val="none"/>
        </w:rPr>
        <w:fldChar w:fldCharType="begin"/>
      </w:r>
      <w:r>
        <w:rPr>
          <w:color w:val="auto"/>
          <w:highlight w:val="none"/>
        </w:rPr>
        <w:instrText xml:space="preserve"> HYPERLINK \l _Toc543 </w:instrText>
      </w:r>
      <w:r>
        <w:rPr>
          <w:color w:val="auto"/>
          <w:highlight w:val="none"/>
        </w:rPr>
        <w:fldChar w:fldCharType="separate"/>
      </w:r>
      <w:r>
        <w:rPr>
          <w:rFonts w:hint="eastAsia" w:ascii="黑体" w:hAnsi="黑体" w:eastAsia="黑体"/>
          <w:color w:val="auto"/>
          <w:szCs w:val="28"/>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_Toc543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113AED02">
      <w:pPr>
        <w:pStyle w:val="18"/>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_Toc13208 </w:instrText>
      </w:r>
      <w:r>
        <w:rPr>
          <w:rFonts w:eastAsia="黑体"/>
          <w:color w:val="auto"/>
          <w:highlight w:val="none"/>
        </w:rPr>
        <w:fldChar w:fldCharType="separate"/>
      </w:r>
      <w:r>
        <w:rPr>
          <w:rFonts w:ascii="黑体" w:hAnsi="黑体" w:eastAsia="黑体"/>
          <w:color w:val="auto"/>
          <w:szCs w:val="28"/>
          <w:highlight w:val="none"/>
        </w:rPr>
        <w:t>第二章</w:t>
      </w:r>
      <w:r>
        <w:rPr>
          <w:rFonts w:hint="eastAsia" w:ascii="黑体" w:hAnsi="黑体" w:eastAsia="黑体"/>
          <w:color w:val="auto"/>
          <w:szCs w:val="28"/>
          <w:highlight w:val="none"/>
        </w:rPr>
        <w:t xml:space="preserve">  投标人须知前附表</w:t>
      </w:r>
      <w:r>
        <w:rPr>
          <w:color w:val="auto"/>
          <w:highlight w:val="none"/>
        </w:rPr>
        <w:tab/>
      </w:r>
      <w:r>
        <w:rPr>
          <w:color w:val="auto"/>
          <w:highlight w:val="none"/>
        </w:rPr>
        <w:fldChar w:fldCharType="begin"/>
      </w:r>
      <w:r>
        <w:rPr>
          <w:color w:val="auto"/>
          <w:highlight w:val="none"/>
        </w:rPr>
        <w:instrText xml:space="preserve"> PAGEREF _Toc13208 \h </w:instrText>
      </w:r>
      <w:r>
        <w:rPr>
          <w:color w:val="auto"/>
          <w:highlight w:val="none"/>
        </w:rPr>
        <w:fldChar w:fldCharType="separate"/>
      </w:r>
      <w:r>
        <w:rPr>
          <w:color w:val="auto"/>
          <w:highlight w:val="none"/>
        </w:rPr>
        <w:t>7</w:t>
      </w:r>
      <w:r>
        <w:rPr>
          <w:color w:val="auto"/>
          <w:highlight w:val="none"/>
        </w:rPr>
        <w:fldChar w:fldCharType="end"/>
      </w:r>
      <w:r>
        <w:rPr>
          <w:rFonts w:eastAsia="黑体"/>
          <w:color w:val="auto"/>
          <w:highlight w:val="none"/>
        </w:rPr>
        <w:fldChar w:fldCharType="end"/>
      </w:r>
    </w:p>
    <w:p w14:paraId="352572D5">
      <w:pPr>
        <w:pStyle w:val="18"/>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_Toc3056 </w:instrText>
      </w:r>
      <w:r>
        <w:rPr>
          <w:rFonts w:eastAsia="黑体"/>
          <w:color w:val="auto"/>
          <w:highlight w:val="none"/>
        </w:rPr>
        <w:fldChar w:fldCharType="separate"/>
      </w:r>
      <w:r>
        <w:rPr>
          <w:rFonts w:ascii="黑体" w:hAnsi="黑体" w:eastAsia="黑体"/>
          <w:color w:val="auto"/>
          <w:szCs w:val="28"/>
          <w:highlight w:val="none"/>
        </w:rPr>
        <w:t>第三章</w:t>
      </w:r>
      <w:r>
        <w:rPr>
          <w:rFonts w:hint="eastAsia" w:ascii="黑体" w:hAnsi="黑体" w:eastAsia="黑体"/>
          <w:color w:val="auto"/>
          <w:szCs w:val="28"/>
          <w:highlight w:val="none"/>
        </w:rPr>
        <w:t xml:space="preserve">  投标人应当提交的资格资信等证明文件</w:t>
      </w:r>
      <w:r>
        <w:rPr>
          <w:color w:val="auto"/>
          <w:highlight w:val="none"/>
        </w:rPr>
        <w:tab/>
      </w:r>
      <w:r>
        <w:rPr>
          <w:color w:val="auto"/>
          <w:highlight w:val="none"/>
        </w:rPr>
        <w:fldChar w:fldCharType="begin"/>
      </w:r>
      <w:r>
        <w:rPr>
          <w:color w:val="auto"/>
          <w:highlight w:val="none"/>
        </w:rPr>
        <w:instrText xml:space="preserve"> PAGEREF _Toc3056 \h </w:instrText>
      </w:r>
      <w:r>
        <w:rPr>
          <w:color w:val="auto"/>
          <w:highlight w:val="none"/>
        </w:rPr>
        <w:fldChar w:fldCharType="separate"/>
      </w:r>
      <w:r>
        <w:rPr>
          <w:color w:val="auto"/>
          <w:highlight w:val="none"/>
        </w:rPr>
        <w:t>14</w:t>
      </w:r>
      <w:r>
        <w:rPr>
          <w:color w:val="auto"/>
          <w:highlight w:val="none"/>
        </w:rPr>
        <w:fldChar w:fldCharType="end"/>
      </w:r>
      <w:r>
        <w:rPr>
          <w:rFonts w:eastAsia="黑体"/>
          <w:color w:val="auto"/>
          <w:highlight w:val="none"/>
        </w:rPr>
        <w:fldChar w:fldCharType="end"/>
      </w:r>
    </w:p>
    <w:p w14:paraId="1E47DD42">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_Toc4236 </w:instrText>
      </w:r>
      <w:r>
        <w:rPr>
          <w:rFonts w:eastAsia="黑体"/>
          <w:color w:val="auto"/>
          <w:highlight w:val="none"/>
        </w:rPr>
        <w:fldChar w:fldCharType="separate"/>
      </w:r>
      <w:r>
        <w:rPr>
          <w:rFonts w:hint="eastAsia" w:ascii="楷体" w:hAnsi="楷体" w:eastAsia="楷体"/>
          <w:color w:val="auto"/>
          <w:szCs w:val="28"/>
          <w:highlight w:val="none"/>
        </w:rPr>
        <w:t>1.资格资信等证明文件目录</w:t>
      </w:r>
      <w:r>
        <w:rPr>
          <w:color w:val="auto"/>
          <w:highlight w:val="none"/>
        </w:rPr>
        <w:tab/>
      </w:r>
      <w:r>
        <w:rPr>
          <w:color w:val="auto"/>
          <w:highlight w:val="none"/>
        </w:rPr>
        <w:fldChar w:fldCharType="begin"/>
      </w:r>
      <w:r>
        <w:rPr>
          <w:color w:val="auto"/>
          <w:highlight w:val="none"/>
        </w:rPr>
        <w:instrText xml:space="preserve"> PAGEREF _Toc4236 \h </w:instrText>
      </w:r>
      <w:r>
        <w:rPr>
          <w:color w:val="auto"/>
          <w:highlight w:val="none"/>
        </w:rPr>
        <w:fldChar w:fldCharType="separate"/>
      </w:r>
      <w:r>
        <w:rPr>
          <w:color w:val="auto"/>
          <w:highlight w:val="none"/>
        </w:rPr>
        <w:t>14</w:t>
      </w:r>
      <w:r>
        <w:rPr>
          <w:color w:val="auto"/>
          <w:highlight w:val="none"/>
        </w:rPr>
        <w:fldChar w:fldCharType="end"/>
      </w:r>
      <w:r>
        <w:rPr>
          <w:rFonts w:eastAsia="黑体"/>
          <w:color w:val="auto"/>
          <w:highlight w:val="none"/>
        </w:rPr>
        <w:fldChar w:fldCharType="end"/>
      </w:r>
    </w:p>
    <w:p w14:paraId="1279EB3A">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_Toc7677 </w:instrText>
      </w:r>
      <w:r>
        <w:rPr>
          <w:rFonts w:eastAsia="黑体"/>
          <w:color w:val="auto"/>
          <w:highlight w:val="none"/>
        </w:rPr>
        <w:fldChar w:fldCharType="separate"/>
      </w:r>
      <w:r>
        <w:rPr>
          <w:rFonts w:ascii="楷体" w:hAnsi="楷体" w:eastAsia="楷体"/>
          <w:color w:val="auto"/>
          <w:szCs w:val="28"/>
          <w:highlight w:val="none"/>
        </w:rPr>
        <w:t>2</w:t>
      </w:r>
      <w:r>
        <w:rPr>
          <w:rFonts w:hint="eastAsia" w:ascii="楷体" w:hAnsi="楷体" w:eastAsia="楷体"/>
          <w:color w:val="auto"/>
          <w:szCs w:val="28"/>
          <w:highlight w:val="none"/>
        </w:rPr>
        <w:t>.其他规定</w:t>
      </w:r>
      <w:r>
        <w:rPr>
          <w:color w:val="auto"/>
          <w:highlight w:val="none"/>
        </w:rPr>
        <w:tab/>
      </w:r>
      <w:r>
        <w:rPr>
          <w:color w:val="auto"/>
          <w:highlight w:val="none"/>
        </w:rPr>
        <w:fldChar w:fldCharType="begin"/>
      </w:r>
      <w:r>
        <w:rPr>
          <w:color w:val="auto"/>
          <w:highlight w:val="none"/>
        </w:rPr>
        <w:instrText xml:space="preserve"> PAGEREF _Toc7677 \h </w:instrText>
      </w:r>
      <w:r>
        <w:rPr>
          <w:color w:val="auto"/>
          <w:highlight w:val="none"/>
        </w:rPr>
        <w:fldChar w:fldCharType="separate"/>
      </w:r>
      <w:r>
        <w:rPr>
          <w:color w:val="auto"/>
          <w:highlight w:val="none"/>
        </w:rPr>
        <w:t>15</w:t>
      </w:r>
      <w:r>
        <w:rPr>
          <w:color w:val="auto"/>
          <w:highlight w:val="none"/>
        </w:rPr>
        <w:fldChar w:fldCharType="end"/>
      </w:r>
      <w:r>
        <w:rPr>
          <w:rFonts w:eastAsia="黑体"/>
          <w:color w:val="auto"/>
          <w:highlight w:val="none"/>
        </w:rPr>
        <w:fldChar w:fldCharType="end"/>
      </w:r>
    </w:p>
    <w:p w14:paraId="21991A8B">
      <w:pPr>
        <w:pStyle w:val="18"/>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_Toc5961 </w:instrText>
      </w:r>
      <w:r>
        <w:rPr>
          <w:rFonts w:eastAsia="黑体"/>
          <w:color w:val="auto"/>
          <w:highlight w:val="none"/>
        </w:rPr>
        <w:fldChar w:fldCharType="separate"/>
      </w:r>
      <w:r>
        <w:rPr>
          <w:rFonts w:ascii="黑体" w:hAnsi="黑体" w:eastAsia="黑体"/>
          <w:color w:val="auto"/>
          <w:szCs w:val="28"/>
          <w:highlight w:val="none"/>
        </w:rPr>
        <w:t>第四章</w:t>
      </w:r>
      <w:r>
        <w:rPr>
          <w:rFonts w:hint="eastAsia" w:ascii="黑体" w:hAnsi="黑体" w:eastAsia="黑体"/>
          <w:color w:val="auto"/>
          <w:szCs w:val="28"/>
          <w:highlight w:val="none"/>
        </w:rPr>
        <w:t xml:space="preserve">  采购需求</w:t>
      </w:r>
      <w:r>
        <w:rPr>
          <w:color w:val="auto"/>
          <w:highlight w:val="none"/>
        </w:rPr>
        <w:tab/>
      </w:r>
      <w:r>
        <w:rPr>
          <w:color w:val="auto"/>
          <w:highlight w:val="none"/>
        </w:rPr>
        <w:fldChar w:fldCharType="begin"/>
      </w:r>
      <w:r>
        <w:rPr>
          <w:color w:val="auto"/>
          <w:highlight w:val="none"/>
        </w:rPr>
        <w:instrText xml:space="preserve"> PAGEREF _Toc5961 \h </w:instrText>
      </w:r>
      <w:r>
        <w:rPr>
          <w:color w:val="auto"/>
          <w:highlight w:val="none"/>
        </w:rPr>
        <w:fldChar w:fldCharType="separate"/>
      </w:r>
      <w:r>
        <w:rPr>
          <w:color w:val="auto"/>
          <w:highlight w:val="none"/>
        </w:rPr>
        <w:t>16</w:t>
      </w:r>
      <w:r>
        <w:rPr>
          <w:color w:val="auto"/>
          <w:highlight w:val="none"/>
        </w:rPr>
        <w:fldChar w:fldCharType="end"/>
      </w:r>
      <w:r>
        <w:rPr>
          <w:rFonts w:eastAsia="黑体"/>
          <w:color w:val="auto"/>
          <w:highlight w:val="none"/>
        </w:rPr>
        <w:fldChar w:fldCharType="end"/>
      </w:r>
    </w:p>
    <w:p w14:paraId="45DDB34C">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_Toc11324 </w:instrText>
      </w:r>
      <w:r>
        <w:rPr>
          <w:rFonts w:eastAsia="黑体"/>
          <w:color w:val="auto"/>
          <w:highlight w:val="none"/>
        </w:rPr>
        <w:fldChar w:fldCharType="separate"/>
      </w:r>
      <w:r>
        <w:rPr>
          <w:rFonts w:hint="eastAsia" w:ascii="楷体" w:hAnsi="楷体" w:eastAsia="楷体"/>
          <w:color w:val="auto"/>
          <w:szCs w:val="28"/>
          <w:highlight w:val="none"/>
        </w:rPr>
        <w:t>1.项目说明</w:t>
      </w:r>
      <w:r>
        <w:rPr>
          <w:color w:val="auto"/>
          <w:highlight w:val="none"/>
        </w:rPr>
        <w:tab/>
      </w:r>
      <w:r>
        <w:rPr>
          <w:color w:val="auto"/>
          <w:highlight w:val="none"/>
        </w:rPr>
        <w:fldChar w:fldCharType="begin"/>
      </w:r>
      <w:r>
        <w:rPr>
          <w:color w:val="auto"/>
          <w:highlight w:val="none"/>
        </w:rPr>
        <w:instrText xml:space="preserve"> PAGEREF _Toc11324 \h </w:instrText>
      </w:r>
      <w:r>
        <w:rPr>
          <w:color w:val="auto"/>
          <w:highlight w:val="none"/>
        </w:rPr>
        <w:fldChar w:fldCharType="separate"/>
      </w:r>
      <w:r>
        <w:rPr>
          <w:color w:val="auto"/>
          <w:highlight w:val="none"/>
        </w:rPr>
        <w:t>16</w:t>
      </w:r>
      <w:r>
        <w:rPr>
          <w:color w:val="auto"/>
          <w:highlight w:val="none"/>
        </w:rPr>
        <w:fldChar w:fldCharType="end"/>
      </w:r>
      <w:r>
        <w:rPr>
          <w:rFonts w:eastAsia="黑体"/>
          <w:color w:val="auto"/>
          <w:highlight w:val="none"/>
        </w:rPr>
        <w:fldChar w:fldCharType="end"/>
      </w:r>
    </w:p>
    <w:p w14:paraId="3C5C76AF">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_Toc31182 </w:instrText>
      </w:r>
      <w:r>
        <w:rPr>
          <w:rFonts w:eastAsia="黑体"/>
          <w:color w:val="auto"/>
          <w:highlight w:val="none"/>
        </w:rPr>
        <w:fldChar w:fldCharType="separate"/>
      </w:r>
      <w:r>
        <w:rPr>
          <w:rFonts w:hint="eastAsia" w:ascii="楷体" w:hAnsi="楷体" w:eastAsia="楷体"/>
          <w:color w:val="auto"/>
          <w:szCs w:val="28"/>
          <w:highlight w:val="none"/>
        </w:rPr>
        <w:t>2.招标产品技术规格、要求和数量</w:t>
      </w:r>
      <w:r>
        <w:rPr>
          <w:color w:val="auto"/>
          <w:highlight w:val="none"/>
        </w:rPr>
        <w:tab/>
      </w:r>
      <w:r>
        <w:rPr>
          <w:color w:val="auto"/>
          <w:highlight w:val="none"/>
        </w:rPr>
        <w:fldChar w:fldCharType="begin"/>
      </w:r>
      <w:r>
        <w:rPr>
          <w:color w:val="auto"/>
          <w:highlight w:val="none"/>
        </w:rPr>
        <w:instrText xml:space="preserve"> PAGEREF _Toc31182 \h </w:instrText>
      </w:r>
      <w:r>
        <w:rPr>
          <w:color w:val="auto"/>
          <w:highlight w:val="none"/>
        </w:rPr>
        <w:fldChar w:fldCharType="separate"/>
      </w:r>
      <w:r>
        <w:rPr>
          <w:color w:val="auto"/>
          <w:highlight w:val="none"/>
        </w:rPr>
        <w:t>16</w:t>
      </w:r>
      <w:r>
        <w:rPr>
          <w:color w:val="auto"/>
          <w:highlight w:val="none"/>
        </w:rPr>
        <w:fldChar w:fldCharType="end"/>
      </w:r>
      <w:r>
        <w:rPr>
          <w:rFonts w:eastAsia="黑体"/>
          <w:color w:val="auto"/>
          <w:highlight w:val="none"/>
        </w:rPr>
        <w:fldChar w:fldCharType="end"/>
      </w:r>
    </w:p>
    <w:p w14:paraId="7C2B05F1">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_Toc32520 </w:instrText>
      </w:r>
      <w:r>
        <w:rPr>
          <w:rFonts w:eastAsia="黑体"/>
          <w:color w:val="auto"/>
          <w:highlight w:val="none"/>
        </w:rPr>
        <w:fldChar w:fldCharType="separate"/>
      </w:r>
      <w:r>
        <w:rPr>
          <w:rFonts w:hint="eastAsia" w:ascii="Times New Roman" w:hAnsi="Times New Roman" w:eastAsia="楷体" w:cs="Times New Roman"/>
          <w:bCs w:val="0"/>
          <w:color w:val="auto"/>
          <w:szCs w:val="28"/>
          <w:highlight w:val="none"/>
        </w:rPr>
        <w:t>3.商务条件</w:t>
      </w:r>
      <w:r>
        <w:rPr>
          <w:color w:val="auto"/>
          <w:highlight w:val="none"/>
        </w:rPr>
        <w:tab/>
      </w:r>
      <w:r>
        <w:rPr>
          <w:color w:val="auto"/>
          <w:highlight w:val="none"/>
        </w:rPr>
        <w:fldChar w:fldCharType="begin"/>
      </w:r>
      <w:r>
        <w:rPr>
          <w:color w:val="auto"/>
          <w:highlight w:val="none"/>
        </w:rPr>
        <w:instrText xml:space="preserve"> PAGEREF _Toc32520 \h </w:instrText>
      </w:r>
      <w:r>
        <w:rPr>
          <w:color w:val="auto"/>
          <w:highlight w:val="none"/>
        </w:rPr>
        <w:fldChar w:fldCharType="separate"/>
      </w:r>
      <w:r>
        <w:rPr>
          <w:color w:val="auto"/>
          <w:highlight w:val="none"/>
        </w:rPr>
        <w:t>26</w:t>
      </w:r>
      <w:r>
        <w:rPr>
          <w:color w:val="auto"/>
          <w:highlight w:val="none"/>
        </w:rPr>
        <w:fldChar w:fldCharType="end"/>
      </w:r>
      <w:r>
        <w:rPr>
          <w:rFonts w:eastAsia="黑体"/>
          <w:color w:val="auto"/>
          <w:highlight w:val="none"/>
        </w:rPr>
        <w:fldChar w:fldCharType="end"/>
      </w:r>
    </w:p>
    <w:p w14:paraId="6C2E88A2">
      <w:pPr>
        <w:pStyle w:val="18"/>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_Toc11261 </w:instrText>
      </w:r>
      <w:r>
        <w:rPr>
          <w:rFonts w:eastAsia="黑体"/>
          <w:color w:val="auto"/>
          <w:highlight w:val="none"/>
        </w:rPr>
        <w:fldChar w:fldCharType="separate"/>
      </w:r>
      <w:r>
        <w:rPr>
          <w:rFonts w:ascii="黑体" w:hAnsi="黑体" w:eastAsia="黑体"/>
          <w:color w:val="auto"/>
          <w:szCs w:val="28"/>
          <w:highlight w:val="none"/>
        </w:rPr>
        <w:t>第五章</w:t>
      </w:r>
      <w:r>
        <w:rPr>
          <w:rFonts w:hint="eastAsia" w:ascii="黑体" w:hAnsi="黑体" w:eastAsia="黑体"/>
          <w:color w:val="auto"/>
          <w:szCs w:val="28"/>
          <w:highlight w:val="none"/>
        </w:rPr>
        <w:t xml:space="preserve">  评标办法</w:t>
      </w:r>
      <w:r>
        <w:rPr>
          <w:color w:val="auto"/>
          <w:highlight w:val="none"/>
        </w:rPr>
        <w:tab/>
      </w:r>
      <w:r>
        <w:rPr>
          <w:color w:val="auto"/>
          <w:highlight w:val="none"/>
        </w:rPr>
        <w:fldChar w:fldCharType="begin"/>
      </w:r>
      <w:r>
        <w:rPr>
          <w:color w:val="auto"/>
          <w:highlight w:val="none"/>
        </w:rPr>
        <w:instrText xml:space="preserve"> PAGEREF _Toc11261 \h </w:instrText>
      </w:r>
      <w:r>
        <w:rPr>
          <w:color w:val="auto"/>
          <w:highlight w:val="none"/>
        </w:rPr>
        <w:fldChar w:fldCharType="separate"/>
      </w:r>
      <w:r>
        <w:rPr>
          <w:color w:val="auto"/>
          <w:highlight w:val="none"/>
        </w:rPr>
        <w:t>29</w:t>
      </w:r>
      <w:r>
        <w:rPr>
          <w:color w:val="auto"/>
          <w:highlight w:val="none"/>
        </w:rPr>
        <w:fldChar w:fldCharType="end"/>
      </w:r>
      <w:r>
        <w:rPr>
          <w:rFonts w:eastAsia="黑体"/>
          <w:color w:val="auto"/>
          <w:highlight w:val="none"/>
        </w:rPr>
        <w:fldChar w:fldCharType="end"/>
      </w:r>
    </w:p>
    <w:p w14:paraId="3CAE4E3E">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_Toc7139 </w:instrText>
      </w:r>
      <w:r>
        <w:rPr>
          <w:rFonts w:eastAsia="黑体"/>
          <w:color w:val="auto"/>
          <w:highlight w:val="none"/>
        </w:rPr>
        <w:fldChar w:fldCharType="separate"/>
      </w:r>
      <w:r>
        <w:rPr>
          <w:rFonts w:hint="eastAsia" w:ascii="楷体" w:hAnsi="楷体" w:eastAsia="楷体"/>
          <w:color w:val="auto"/>
          <w:szCs w:val="28"/>
          <w:highlight w:val="none"/>
        </w:rPr>
        <w:t>1.相关要求</w:t>
      </w:r>
      <w:r>
        <w:rPr>
          <w:color w:val="auto"/>
          <w:highlight w:val="none"/>
        </w:rPr>
        <w:tab/>
      </w:r>
      <w:r>
        <w:rPr>
          <w:color w:val="auto"/>
          <w:highlight w:val="none"/>
        </w:rPr>
        <w:fldChar w:fldCharType="begin"/>
      </w:r>
      <w:r>
        <w:rPr>
          <w:color w:val="auto"/>
          <w:highlight w:val="none"/>
        </w:rPr>
        <w:instrText xml:space="preserve"> PAGEREF _Toc7139 \h </w:instrText>
      </w:r>
      <w:r>
        <w:rPr>
          <w:color w:val="auto"/>
          <w:highlight w:val="none"/>
        </w:rPr>
        <w:fldChar w:fldCharType="separate"/>
      </w:r>
      <w:r>
        <w:rPr>
          <w:color w:val="auto"/>
          <w:highlight w:val="none"/>
        </w:rPr>
        <w:t>29</w:t>
      </w:r>
      <w:r>
        <w:rPr>
          <w:color w:val="auto"/>
          <w:highlight w:val="none"/>
        </w:rPr>
        <w:fldChar w:fldCharType="end"/>
      </w:r>
      <w:r>
        <w:rPr>
          <w:rFonts w:eastAsia="黑体"/>
          <w:color w:val="auto"/>
          <w:highlight w:val="none"/>
        </w:rPr>
        <w:fldChar w:fldCharType="end"/>
      </w:r>
    </w:p>
    <w:p w14:paraId="5A666FE0">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_Toc8655 </w:instrText>
      </w:r>
      <w:r>
        <w:rPr>
          <w:rFonts w:eastAsia="黑体"/>
          <w:color w:val="auto"/>
          <w:highlight w:val="none"/>
        </w:rPr>
        <w:fldChar w:fldCharType="separate"/>
      </w:r>
      <w:r>
        <w:rPr>
          <w:rFonts w:hint="eastAsia" w:ascii="楷体" w:hAnsi="楷体" w:eastAsia="楷体" w:cs="Times New Roman"/>
          <w:color w:val="auto"/>
          <w:szCs w:val="28"/>
          <w:highlight w:val="none"/>
        </w:rPr>
        <w:t>2.评分标准</w:t>
      </w:r>
      <w:r>
        <w:rPr>
          <w:color w:val="auto"/>
          <w:highlight w:val="none"/>
        </w:rPr>
        <w:tab/>
      </w:r>
      <w:r>
        <w:rPr>
          <w:color w:val="auto"/>
          <w:highlight w:val="none"/>
        </w:rPr>
        <w:fldChar w:fldCharType="begin"/>
      </w:r>
      <w:r>
        <w:rPr>
          <w:color w:val="auto"/>
          <w:highlight w:val="none"/>
        </w:rPr>
        <w:instrText xml:space="preserve"> PAGEREF _Toc8655 \h </w:instrText>
      </w:r>
      <w:r>
        <w:rPr>
          <w:color w:val="auto"/>
          <w:highlight w:val="none"/>
        </w:rPr>
        <w:fldChar w:fldCharType="separate"/>
      </w:r>
      <w:r>
        <w:rPr>
          <w:color w:val="auto"/>
          <w:highlight w:val="none"/>
        </w:rPr>
        <w:t>30</w:t>
      </w:r>
      <w:r>
        <w:rPr>
          <w:color w:val="auto"/>
          <w:highlight w:val="none"/>
        </w:rPr>
        <w:fldChar w:fldCharType="end"/>
      </w:r>
      <w:r>
        <w:rPr>
          <w:rFonts w:eastAsia="黑体"/>
          <w:color w:val="auto"/>
          <w:highlight w:val="none"/>
        </w:rPr>
        <w:fldChar w:fldCharType="end"/>
      </w:r>
    </w:p>
    <w:p w14:paraId="3355CC1F">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_Toc8544 </w:instrText>
      </w:r>
      <w:r>
        <w:rPr>
          <w:rFonts w:eastAsia="黑体"/>
          <w:color w:val="auto"/>
          <w:highlight w:val="none"/>
        </w:rPr>
        <w:fldChar w:fldCharType="separate"/>
      </w:r>
      <w:r>
        <w:rPr>
          <w:rFonts w:hint="eastAsia" w:ascii="楷体" w:hAnsi="楷体" w:eastAsia="楷体"/>
          <w:color w:val="auto"/>
          <w:szCs w:val="28"/>
          <w:highlight w:val="none"/>
        </w:rPr>
        <w:t>3.政策加分以及计算方法</w:t>
      </w:r>
      <w:r>
        <w:rPr>
          <w:color w:val="auto"/>
          <w:highlight w:val="none"/>
        </w:rPr>
        <w:tab/>
      </w:r>
      <w:r>
        <w:rPr>
          <w:color w:val="auto"/>
          <w:highlight w:val="none"/>
        </w:rPr>
        <w:fldChar w:fldCharType="begin"/>
      </w:r>
      <w:r>
        <w:rPr>
          <w:color w:val="auto"/>
          <w:highlight w:val="none"/>
        </w:rPr>
        <w:instrText xml:space="preserve"> PAGEREF _Toc8544 \h </w:instrText>
      </w:r>
      <w:r>
        <w:rPr>
          <w:color w:val="auto"/>
          <w:highlight w:val="none"/>
        </w:rPr>
        <w:fldChar w:fldCharType="separate"/>
      </w:r>
      <w:r>
        <w:rPr>
          <w:color w:val="auto"/>
          <w:highlight w:val="none"/>
        </w:rPr>
        <w:t>30</w:t>
      </w:r>
      <w:r>
        <w:rPr>
          <w:color w:val="auto"/>
          <w:highlight w:val="none"/>
        </w:rPr>
        <w:fldChar w:fldCharType="end"/>
      </w:r>
      <w:r>
        <w:rPr>
          <w:rFonts w:eastAsia="黑体"/>
          <w:color w:val="auto"/>
          <w:highlight w:val="none"/>
        </w:rPr>
        <w:fldChar w:fldCharType="end"/>
      </w:r>
    </w:p>
    <w:p w14:paraId="761FDA11">
      <w:pPr>
        <w:pStyle w:val="18"/>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_Toc30755 </w:instrText>
      </w:r>
      <w:r>
        <w:rPr>
          <w:rFonts w:eastAsia="黑体"/>
          <w:color w:val="auto"/>
          <w:highlight w:val="none"/>
        </w:rPr>
        <w:fldChar w:fldCharType="separate"/>
      </w:r>
      <w:r>
        <w:rPr>
          <w:rFonts w:hint="eastAsia" w:ascii="黑体" w:hAnsi="黑体" w:eastAsia="黑体" w:cs="黑体"/>
          <w:b w:val="0"/>
          <w:bCs w:val="0"/>
          <w:color w:val="auto"/>
          <w:szCs w:val="28"/>
          <w:highlight w:val="none"/>
        </w:rPr>
        <w:t>第六章  投标人须知</w:t>
      </w:r>
      <w:r>
        <w:rPr>
          <w:color w:val="auto"/>
          <w:highlight w:val="none"/>
        </w:rPr>
        <w:tab/>
      </w:r>
      <w:r>
        <w:rPr>
          <w:color w:val="auto"/>
          <w:highlight w:val="none"/>
        </w:rPr>
        <w:fldChar w:fldCharType="begin"/>
      </w:r>
      <w:r>
        <w:rPr>
          <w:color w:val="auto"/>
          <w:highlight w:val="none"/>
        </w:rPr>
        <w:instrText xml:space="preserve"> PAGEREF _Toc30755 \h </w:instrText>
      </w:r>
      <w:r>
        <w:rPr>
          <w:color w:val="auto"/>
          <w:highlight w:val="none"/>
        </w:rPr>
        <w:fldChar w:fldCharType="separate"/>
      </w:r>
      <w:r>
        <w:rPr>
          <w:color w:val="auto"/>
          <w:highlight w:val="none"/>
        </w:rPr>
        <w:t>36</w:t>
      </w:r>
      <w:r>
        <w:rPr>
          <w:color w:val="auto"/>
          <w:highlight w:val="none"/>
        </w:rPr>
        <w:fldChar w:fldCharType="end"/>
      </w:r>
      <w:r>
        <w:rPr>
          <w:rFonts w:eastAsia="黑体"/>
          <w:color w:val="auto"/>
          <w:highlight w:val="none"/>
        </w:rPr>
        <w:fldChar w:fldCharType="end"/>
      </w:r>
    </w:p>
    <w:p w14:paraId="2239D10A">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_Toc5930 </w:instrText>
      </w:r>
      <w:r>
        <w:rPr>
          <w:rFonts w:eastAsia="黑体"/>
          <w:color w:val="auto"/>
          <w:highlight w:val="none"/>
        </w:rPr>
        <w:fldChar w:fldCharType="separate"/>
      </w:r>
      <w:r>
        <w:rPr>
          <w:rFonts w:ascii="楷体" w:hAnsi="楷体" w:eastAsia="楷体"/>
          <w:color w:val="auto"/>
          <w:szCs w:val="28"/>
          <w:highlight w:val="none"/>
        </w:rPr>
        <w:t>1</w:t>
      </w:r>
      <w:r>
        <w:rPr>
          <w:rFonts w:hint="eastAsia" w:ascii="楷体" w:hAnsi="楷体" w:eastAsia="楷体"/>
          <w:color w:val="auto"/>
          <w:szCs w:val="28"/>
          <w:highlight w:val="none"/>
        </w:rPr>
        <w:t>.招标依据以及原则</w:t>
      </w:r>
      <w:r>
        <w:rPr>
          <w:color w:val="auto"/>
          <w:highlight w:val="none"/>
        </w:rPr>
        <w:tab/>
      </w:r>
      <w:r>
        <w:rPr>
          <w:color w:val="auto"/>
          <w:highlight w:val="none"/>
        </w:rPr>
        <w:fldChar w:fldCharType="begin"/>
      </w:r>
      <w:r>
        <w:rPr>
          <w:color w:val="auto"/>
          <w:highlight w:val="none"/>
        </w:rPr>
        <w:instrText xml:space="preserve"> PAGEREF _Toc5930 \h </w:instrText>
      </w:r>
      <w:r>
        <w:rPr>
          <w:color w:val="auto"/>
          <w:highlight w:val="none"/>
        </w:rPr>
        <w:fldChar w:fldCharType="separate"/>
      </w:r>
      <w:r>
        <w:rPr>
          <w:color w:val="auto"/>
          <w:highlight w:val="none"/>
        </w:rPr>
        <w:t>36</w:t>
      </w:r>
      <w:r>
        <w:rPr>
          <w:color w:val="auto"/>
          <w:highlight w:val="none"/>
        </w:rPr>
        <w:fldChar w:fldCharType="end"/>
      </w:r>
      <w:r>
        <w:rPr>
          <w:rFonts w:eastAsia="黑体"/>
          <w:color w:val="auto"/>
          <w:highlight w:val="none"/>
        </w:rPr>
        <w:fldChar w:fldCharType="end"/>
      </w:r>
    </w:p>
    <w:p w14:paraId="6C1C8E58">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_Toc9492 </w:instrText>
      </w:r>
      <w:r>
        <w:rPr>
          <w:rFonts w:eastAsia="黑体"/>
          <w:color w:val="auto"/>
          <w:highlight w:val="none"/>
        </w:rPr>
        <w:fldChar w:fldCharType="separate"/>
      </w:r>
      <w:r>
        <w:rPr>
          <w:rFonts w:ascii="楷体" w:hAnsi="楷体" w:eastAsia="楷体"/>
          <w:color w:val="auto"/>
          <w:szCs w:val="28"/>
          <w:highlight w:val="none"/>
        </w:rPr>
        <w:t>2</w:t>
      </w:r>
      <w:r>
        <w:rPr>
          <w:rFonts w:hint="eastAsia" w:ascii="楷体" w:hAnsi="楷体" w:eastAsia="楷体"/>
          <w:color w:val="auto"/>
          <w:szCs w:val="28"/>
          <w:highlight w:val="none"/>
        </w:rPr>
        <w:t>.合格的投标人</w:t>
      </w:r>
      <w:r>
        <w:rPr>
          <w:color w:val="auto"/>
          <w:highlight w:val="none"/>
        </w:rPr>
        <w:tab/>
      </w:r>
      <w:r>
        <w:rPr>
          <w:color w:val="auto"/>
          <w:highlight w:val="none"/>
        </w:rPr>
        <w:fldChar w:fldCharType="begin"/>
      </w:r>
      <w:r>
        <w:rPr>
          <w:color w:val="auto"/>
          <w:highlight w:val="none"/>
        </w:rPr>
        <w:instrText xml:space="preserve"> PAGEREF _Toc9492 \h </w:instrText>
      </w:r>
      <w:r>
        <w:rPr>
          <w:color w:val="auto"/>
          <w:highlight w:val="none"/>
        </w:rPr>
        <w:fldChar w:fldCharType="separate"/>
      </w:r>
      <w:r>
        <w:rPr>
          <w:color w:val="auto"/>
          <w:highlight w:val="none"/>
        </w:rPr>
        <w:t>36</w:t>
      </w:r>
      <w:r>
        <w:rPr>
          <w:color w:val="auto"/>
          <w:highlight w:val="none"/>
        </w:rPr>
        <w:fldChar w:fldCharType="end"/>
      </w:r>
      <w:r>
        <w:rPr>
          <w:rFonts w:eastAsia="黑体"/>
          <w:color w:val="auto"/>
          <w:highlight w:val="none"/>
        </w:rPr>
        <w:fldChar w:fldCharType="end"/>
      </w:r>
    </w:p>
    <w:p w14:paraId="332A62E9">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_Toc31625 </w:instrText>
      </w:r>
      <w:r>
        <w:rPr>
          <w:rFonts w:eastAsia="黑体"/>
          <w:color w:val="auto"/>
          <w:highlight w:val="none"/>
        </w:rPr>
        <w:fldChar w:fldCharType="separate"/>
      </w:r>
      <w:r>
        <w:rPr>
          <w:rFonts w:ascii="楷体" w:hAnsi="楷体" w:eastAsia="楷体"/>
          <w:color w:val="auto"/>
          <w:szCs w:val="28"/>
          <w:highlight w:val="none"/>
        </w:rPr>
        <w:t>3</w:t>
      </w:r>
      <w:r>
        <w:rPr>
          <w:rFonts w:hint="eastAsia" w:ascii="楷体" w:hAnsi="楷体" w:eastAsia="楷体"/>
          <w:color w:val="auto"/>
          <w:szCs w:val="28"/>
          <w:highlight w:val="none"/>
        </w:rPr>
        <w:t>.保密</w:t>
      </w:r>
      <w:r>
        <w:rPr>
          <w:color w:val="auto"/>
          <w:highlight w:val="none"/>
        </w:rPr>
        <w:tab/>
      </w:r>
      <w:r>
        <w:rPr>
          <w:color w:val="auto"/>
          <w:highlight w:val="none"/>
        </w:rPr>
        <w:fldChar w:fldCharType="begin"/>
      </w:r>
      <w:r>
        <w:rPr>
          <w:color w:val="auto"/>
          <w:highlight w:val="none"/>
        </w:rPr>
        <w:instrText xml:space="preserve"> PAGEREF _Toc31625 \h </w:instrText>
      </w:r>
      <w:r>
        <w:rPr>
          <w:color w:val="auto"/>
          <w:highlight w:val="none"/>
        </w:rPr>
        <w:fldChar w:fldCharType="separate"/>
      </w:r>
      <w:r>
        <w:rPr>
          <w:color w:val="auto"/>
          <w:highlight w:val="none"/>
        </w:rPr>
        <w:t>36</w:t>
      </w:r>
      <w:r>
        <w:rPr>
          <w:color w:val="auto"/>
          <w:highlight w:val="none"/>
        </w:rPr>
        <w:fldChar w:fldCharType="end"/>
      </w:r>
      <w:r>
        <w:rPr>
          <w:rFonts w:eastAsia="黑体"/>
          <w:color w:val="auto"/>
          <w:highlight w:val="none"/>
        </w:rPr>
        <w:fldChar w:fldCharType="end"/>
      </w:r>
    </w:p>
    <w:p w14:paraId="3F9C5E8B">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_Toc29693 </w:instrText>
      </w:r>
      <w:r>
        <w:rPr>
          <w:rFonts w:eastAsia="黑体"/>
          <w:color w:val="auto"/>
          <w:highlight w:val="none"/>
        </w:rPr>
        <w:fldChar w:fldCharType="separate"/>
      </w:r>
      <w:r>
        <w:rPr>
          <w:rFonts w:ascii="楷体" w:hAnsi="楷体" w:eastAsia="楷体"/>
          <w:color w:val="auto"/>
          <w:szCs w:val="28"/>
          <w:highlight w:val="none"/>
        </w:rPr>
        <w:t>4.</w:t>
      </w:r>
      <w:r>
        <w:rPr>
          <w:rFonts w:hint="eastAsia" w:ascii="楷体" w:hAnsi="楷体" w:eastAsia="楷体"/>
          <w:color w:val="auto"/>
          <w:szCs w:val="28"/>
          <w:highlight w:val="none"/>
        </w:rPr>
        <w:t>语言文字、计量单位、时间单位、投标有效期以及投标费用</w:t>
      </w:r>
      <w:r>
        <w:rPr>
          <w:color w:val="auto"/>
          <w:highlight w:val="none"/>
        </w:rPr>
        <w:tab/>
      </w:r>
      <w:r>
        <w:rPr>
          <w:color w:val="auto"/>
          <w:highlight w:val="none"/>
        </w:rPr>
        <w:fldChar w:fldCharType="begin"/>
      </w:r>
      <w:r>
        <w:rPr>
          <w:color w:val="auto"/>
          <w:highlight w:val="none"/>
        </w:rPr>
        <w:instrText xml:space="preserve"> PAGEREF _Toc29693 \h </w:instrText>
      </w:r>
      <w:r>
        <w:rPr>
          <w:color w:val="auto"/>
          <w:highlight w:val="none"/>
        </w:rPr>
        <w:fldChar w:fldCharType="separate"/>
      </w:r>
      <w:r>
        <w:rPr>
          <w:color w:val="auto"/>
          <w:highlight w:val="none"/>
        </w:rPr>
        <w:t>36</w:t>
      </w:r>
      <w:r>
        <w:rPr>
          <w:color w:val="auto"/>
          <w:highlight w:val="none"/>
        </w:rPr>
        <w:fldChar w:fldCharType="end"/>
      </w:r>
      <w:r>
        <w:rPr>
          <w:rFonts w:eastAsia="黑体"/>
          <w:color w:val="auto"/>
          <w:highlight w:val="none"/>
        </w:rPr>
        <w:fldChar w:fldCharType="end"/>
      </w:r>
    </w:p>
    <w:p w14:paraId="473B272C">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_Toc25049 </w:instrText>
      </w:r>
      <w:r>
        <w:rPr>
          <w:rFonts w:eastAsia="黑体"/>
          <w:color w:val="auto"/>
          <w:highlight w:val="none"/>
        </w:rPr>
        <w:fldChar w:fldCharType="separate"/>
      </w:r>
      <w:r>
        <w:rPr>
          <w:rFonts w:ascii="楷体" w:hAnsi="楷体" w:eastAsia="楷体"/>
          <w:color w:val="auto"/>
          <w:szCs w:val="28"/>
          <w:highlight w:val="none"/>
        </w:rPr>
        <w:t>5.</w:t>
      </w:r>
      <w:r>
        <w:rPr>
          <w:rFonts w:hint="eastAsia" w:ascii="楷体" w:hAnsi="楷体" w:eastAsia="楷体"/>
          <w:color w:val="auto"/>
          <w:szCs w:val="28"/>
          <w:highlight w:val="none"/>
        </w:rPr>
        <w:t>踏勘现场</w:t>
      </w:r>
      <w:r>
        <w:rPr>
          <w:color w:val="auto"/>
          <w:highlight w:val="none"/>
        </w:rPr>
        <w:tab/>
      </w:r>
      <w:r>
        <w:rPr>
          <w:color w:val="auto"/>
          <w:highlight w:val="none"/>
        </w:rPr>
        <w:fldChar w:fldCharType="begin"/>
      </w:r>
      <w:r>
        <w:rPr>
          <w:color w:val="auto"/>
          <w:highlight w:val="none"/>
        </w:rPr>
        <w:instrText xml:space="preserve"> PAGEREF _Toc25049 \h </w:instrText>
      </w:r>
      <w:r>
        <w:rPr>
          <w:color w:val="auto"/>
          <w:highlight w:val="none"/>
        </w:rPr>
        <w:fldChar w:fldCharType="separate"/>
      </w:r>
      <w:r>
        <w:rPr>
          <w:color w:val="auto"/>
          <w:highlight w:val="none"/>
        </w:rPr>
        <w:t>37</w:t>
      </w:r>
      <w:r>
        <w:rPr>
          <w:color w:val="auto"/>
          <w:highlight w:val="none"/>
        </w:rPr>
        <w:fldChar w:fldCharType="end"/>
      </w:r>
      <w:r>
        <w:rPr>
          <w:rFonts w:eastAsia="黑体"/>
          <w:color w:val="auto"/>
          <w:highlight w:val="none"/>
        </w:rPr>
        <w:fldChar w:fldCharType="end"/>
      </w:r>
    </w:p>
    <w:p w14:paraId="31FD647A">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_Toc29326 </w:instrText>
      </w:r>
      <w:r>
        <w:rPr>
          <w:rFonts w:eastAsia="黑体"/>
          <w:color w:val="auto"/>
          <w:highlight w:val="none"/>
        </w:rPr>
        <w:fldChar w:fldCharType="separate"/>
      </w:r>
      <w:r>
        <w:rPr>
          <w:rFonts w:ascii="楷体" w:hAnsi="楷体" w:eastAsia="楷体"/>
          <w:color w:val="auto"/>
          <w:szCs w:val="28"/>
          <w:highlight w:val="none"/>
        </w:rPr>
        <w:t>6</w:t>
      </w:r>
      <w:r>
        <w:rPr>
          <w:rFonts w:hint="eastAsia" w:ascii="楷体" w:hAnsi="楷体" w:eastAsia="楷体"/>
          <w:color w:val="auto"/>
          <w:szCs w:val="28"/>
          <w:highlight w:val="none"/>
        </w:rPr>
        <w:t>.询问</w:t>
      </w:r>
      <w:r>
        <w:rPr>
          <w:color w:val="auto"/>
          <w:highlight w:val="none"/>
        </w:rPr>
        <w:tab/>
      </w:r>
      <w:r>
        <w:rPr>
          <w:color w:val="auto"/>
          <w:highlight w:val="none"/>
        </w:rPr>
        <w:fldChar w:fldCharType="begin"/>
      </w:r>
      <w:r>
        <w:rPr>
          <w:color w:val="auto"/>
          <w:highlight w:val="none"/>
        </w:rPr>
        <w:instrText xml:space="preserve"> PAGEREF _Toc29326 \h </w:instrText>
      </w:r>
      <w:r>
        <w:rPr>
          <w:color w:val="auto"/>
          <w:highlight w:val="none"/>
        </w:rPr>
        <w:fldChar w:fldCharType="separate"/>
      </w:r>
      <w:r>
        <w:rPr>
          <w:color w:val="auto"/>
          <w:highlight w:val="none"/>
        </w:rPr>
        <w:t>37</w:t>
      </w:r>
      <w:r>
        <w:rPr>
          <w:color w:val="auto"/>
          <w:highlight w:val="none"/>
        </w:rPr>
        <w:fldChar w:fldCharType="end"/>
      </w:r>
      <w:r>
        <w:rPr>
          <w:rFonts w:eastAsia="黑体"/>
          <w:color w:val="auto"/>
          <w:highlight w:val="none"/>
        </w:rPr>
        <w:fldChar w:fldCharType="end"/>
      </w:r>
    </w:p>
    <w:p w14:paraId="7ACC5B45">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_Toc20929 </w:instrText>
      </w:r>
      <w:r>
        <w:rPr>
          <w:rFonts w:eastAsia="黑体"/>
          <w:color w:val="auto"/>
          <w:highlight w:val="none"/>
        </w:rPr>
        <w:fldChar w:fldCharType="separate"/>
      </w:r>
      <w:r>
        <w:rPr>
          <w:rFonts w:ascii="楷体" w:hAnsi="楷体" w:eastAsia="楷体"/>
          <w:color w:val="auto"/>
          <w:szCs w:val="28"/>
          <w:highlight w:val="none"/>
        </w:rPr>
        <w:t>7.</w:t>
      </w:r>
      <w:r>
        <w:rPr>
          <w:rFonts w:hint="eastAsia" w:ascii="楷体" w:hAnsi="楷体" w:eastAsia="楷体"/>
          <w:color w:val="auto"/>
          <w:szCs w:val="28"/>
          <w:highlight w:val="none"/>
        </w:rPr>
        <w:t>偏离</w:t>
      </w:r>
      <w:r>
        <w:rPr>
          <w:color w:val="auto"/>
          <w:highlight w:val="none"/>
        </w:rPr>
        <w:tab/>
      </w:r>
      <w:r>
        <w:rPr>
          <w:color w:val="auto"/>
          <w:highlight w:val="none"/>
        </w:rPr>
        <w:fldChar w:fldCharType="begin"/>
      </w:r>
      <w:r>
        <w:rPr>
          <w:color w:val="auto"/>
          <w:highlight w:val="none"/>
        </w:rPr>
        <w:instrText xml:space="preserve"> PAGEREF _Toc20929 \h </w:instrText>
      </w:r>
      <w:r>
        <w:rPr>
          <w:color w:val="auto"/>
          <w:highlight w:val="none"/>
        </w:rPr>
        <w:fldChar w:fldCharType="separate"/>
      </w:r>
      <w:r>
        <w:rPr>
          <w:color w:val="auto"/>
          <w:highlight w:val="none"/>
        </w:rPr>
        <w:t>37</w:t>
      </w:r>
      <w:r>
        <w:rPr>
          <w:color w:val="auto"/>
          <w:highlight w:val="none"/>
        </w:rPr>
        <w:fldChar w:fldCharType="end"/>
      </w:r>
      <w:r>
        <w:rPr>
          <w:rFonts w:eastAsia="黑体"/>
          <w:color w:val="auto"/>
          <w:highlight w:val="none"/>
        </w:rPr>
        <w:fldChar w:fldCharType="end"/>
      </w:r>
    </w:p>
    <w:p w14:paraId="386715F7">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_Toc24483 </w:instrText>
      </w:r>
      <w:r>
        <w:rPr>
          <w:rFonts w:eastAsia="黑体"/>
          <w:color w:val="auto"/>
          <w:highlight w:val="none"/>
        </w:rPr>
        <w:fldChar w:fldCharType="separate"/>
      </w:r>
      <w:r>
        <w:rPr>
          <w:rFonts w:ascii="楷体" w:hAnsi="楷体" w:eastAsia="楷体"/>
          <w:color w:val="auto"/>
          <w:szCs w:val="28"/>
          <w:highlight w:val="none"/>
        </w:rPr>
        <w:t>8</w:t>
      </w:r>
      <w:r>
        <w:rPr>
          <w:rFonts w:hint="eastAsia" w:ascii="楷体" w:hAnsi="楷体" w:eastAsia="楷体"/>
          <w:color w:val="auto"/>
          <w:szCs w:val="28"/>
          <w:highlight w:val="none"/>
        </w:rPr>
        <w:t>.履约担保</w:t>
      </w:r>
      <w:r>
        <w:rPr>
          <w:color w:val="auto"/>
          <w:highlight w:val="none"/>
        </w:rPr>
        <w:tab/>
      </w:r>
      <w:r>
        <w:rPr>
          <w:color w:val="auto"/>
          <w:highlight w:val="none"/>
        </w:rPr>
        <w:fldChar w:fldCharType="begin"/>
      </w:r>
      <w:r>
        <w:rPr>
          <w:color w:val="auto"/>
          <w:highlight w:val="none"/>
        </w:rPr>
        <w:instrText xml:space="preserve"> PAGEREF _Toc24483 \h </w:instrText>
      </w:r>
      <w:r>
        <w:rPr>
          <w:color w:val="auto"/>
          <w:highlight w:val="none"/>
        </w:rPr>
        <w:fldChar w:fldCharType="separate"/>
      </w:r>
      <w:r>
        <w:rPr>
          <w:color w:val="auto"/>
          <w:highlight w:val="none"/>
        </w:rPr>
        <w:t>38</w:t>
      </w:r>
      <w:r>
        <w:rPr>
          <w:color w:val="auto"/>
          <w:highlight w:val="none"/>
        </w:rPr>
        <w:fldChar w:fldCharType="end"/>
      </w:r>
      <w:r>
        <w:rPr>
          <w:rFonts w:eastAsia="黑体"/>
          <w:color w:val="auto"/>
          <w:highlight w:val="none"/>
        </w:rPr>
        <w:fldChar w:fldCharType="end"/>
      </w:r>
    </w:p>
    <w:p w14:paraId="65529C5C">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_Toc21815 </w:instrText>
      </w:r>
      <w:r>
        <w:rPr>
          <w:rFonts w:eastAsia="黑体"/>
          <w:color w:val="auto"/>
          <w:highlight w:val="none"/>
        </w:rPr>
        <w:fldChar w:fldCharType="separate"/>
      </w:r>
      <w:r>
        <w:rPr>
          <w:rFonts w:ascii="楷体" w:hAnsi="楷体" w:eastAsia="楷体"/>
          <w:color w:val="auto"/>
          <w:szCs w:val="28"/>
          <w:highlight w:val="none"/>
        </w:rPr>
        <w:t>9</w:t>
      </w:r>
      <w:r>
        <w:rPr>
          <w:rFonts w:hint="eastAsia" w:ascii="楷体" w:hAnsi="楷体" w:eastAsia="楷体"/>
          <w:color w:val="auto"/>
          <w:szCs w:val="28"/>
          <w:highlight w:val="none"/>
        </w:rPr>
        <w:t>.招标代理服务费</w:t>
      </w:r>
      <w:r>
        <w:rPr>
          <w:color w:val="auto"/>
          <w:highlight w:val="none"/>
        </w:rPr>
        <w:tab/>
      </w:r>
      <w:r>
        <w:rPr>
          <w:color w:val="auto"/>
          <w:highlight w:val="none"/>
        </w:rPr>
        <w:fldChar w:fldCharType="begin"/>
      </w:r>
      <w:r>
        <w:rPr>
          <w:color w:val="auto"/>
          <w:highlight w:val="none"/>
        </w:rPr>
        <w:instrText xml:space="preserve"> PAGEREF _Toc21815 \h </w:instrText>
      </w:r>
      <w:r>
        <w:rPr>
          <w:color w:val="auto"/>
          <w:highlight w:val="none"/>
        </w:rPr>
        <w:fldChar w:fldCharType="separate"/>
      </w:r>
      <w:r>
        <w:rPr>
          <w:color w:val="auto"/>
          <w:highlight w:val="none"/>
        </w:rPr>
        <w:t>38</w:t>
      </w:r>
      <w:r>
        <w:rPr>
          <w:color w:val="auto"/>
          <w:highlight w:val="none"/>
        </w:rPr>
        <w:fldChar w:fldCharType="end"/>
      </w:r>
      <w:r>
        <w:rPr>
          <w:rFonts w:eastAsia="黑体"/>
          <w:color w:val="auto"/>
          <w:highlight w:val="none"/>
        </w:rPr>
        <w:fldChar w:fldCharType="end"/>
      </w:r>
    </w:p>
    <w:p w14:paraId="5F93690A">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_Toc29119 </w:instrText>
      </w:r>
      <w:r>
        <w:rPr>
          <w:rFonts w:eastAsia="黑体"/>
          <w:color w:val="auto"/>
          <w:highlight w:val="none"/>
        </w:rPr>
        <w:fldChar w:fldCharType="separate"/>
      </w:r>
      <w:r>
        <w:rPr>
          <w:rFonts w:hint="eastAsia" w:ascii="楷体" w:hAnsi="楷体" w:eastAsia="楷体"/>
          <w:color w:val="auto"/>
          <w:szCs w:val="28"/>
          <w:highlight w:val="none"/>
        </w:rPr>
        <w:t>1</w:t>
      </w:r>
      <w:r>
        <w:rPr>
          <w:rFonts w:ascii="楷体" w:hAnsi="楷体" w:eastAsia="楷体"/>
          <w:color w:val="auto"/>
          <w:szCs w:val="28"/>
          <w:highlight w:val="none"/>
        </w:rPr>
        <w:t>0.</w:t>
      </w:r>
      <w:r>
        <w:rPr>
          <w:rFonts w:hint="eastAsia" w:ascii="楷体" w:hAnsi="楷体" w:eastAsia="楷体"/>
          <w:color w:val="auto"/>
          <w:szCs w:val="28"/>
          <w:highlight w:val="none"/>
        </w:rPr>
        <w:t>招标文件</w:t>
      </w:r>
      <w:r>
        <w:rPr>
          <w:color w:val="auto"/>
          <w:highlight w:val="none"/>
        </w:rPr>
        <w:tab/>
      </w:r>
      <w:r>
        <w:rPr>
          <w:color w:val="auto"/>
          <w:highlight w:val="none"/>
        </w:rPr>
        <w:fldChar w:fldCharType="begin"/>
      </w:r>
      <w:r>
        <w:rPr>
          <w:color w:val="auto"/>
          <w:highlight w:val="none"/>
        </w:rPr>
        <w:instrText xml:space="preserve"> PAGEREF _Toc29119 \h </w:instrText>
      </w:r>
      <w:r>
        <w:rPr>
          <w:color w:val="auto"/>
          <w:highlight w:val="none"/>
        </w:rPr>
        <w:fldChar w:fldCharType="separate"/>
      </w:r>
      <w:r>
        <w:rPr>
          <w:color w:val="auto"/>
          <w:highlight w:val="none"/>
        </w:rPr>
        <w:t>38</w:t>
      </w:r>
      <w:r>
        <w:rPr>
          <w:color w:val="auto"/>
          <w:highlight w:val="none"/>
        </w:rPr>
        <w:fldChar w:fldCharType="end"/>
      </w:r>
      <w:r>
        <w:rPr>
          <w:rFonts w:eastAsia="黑体"/>
          <w:color w:val="auto"/>
          <w:highlight w:val="none"/>
        </w:rPr>
        <w:fldChar w:fldCharType="end"/>
      </w:r>
    </w:p>
    <w:p w14:paraId="6D011A80">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_Toc21393 </w:instrText>
      </w:r>
      <w:r>
        <w:rPr>
          <w:rFonts w:eastAsia="黑体"/>
          <w:color w:val="auto"/>
          <w:highlight w:val="none"/>
        </w:rPr>
        <w:fldChar w:fldCharType="separate"/>
      </w:r>
      <w:r>
        <w:rPr>
          <w:rFonts w:hint="eastAsia" w:ascii="楷体" w:hAnsi="楷体" w:eastAsia="楷体"/>
          <w:color w:val="auto"/>
          <w:szCs w:val="28"/>
          <w:highlight w:val="none"/>
        </w:rPr>
        <w:t>1</w:t>
      </w:r>
      <w:r>
        <w:rPr>
          <w:rFonts w:ascii="楷体" w:hAnsi="楷体" w:eastAsia="楷体"/>
          <w:color w:val="auto"/>
          <w:szCs w:val="28"/>
          <w:highlight w:val="none"/>
        </w:rPr>
        <w:t>1</w:t>
      </w:r>
      <w:r>
        <w:rPr>
          <w:rFonts w:hint="eastAsia" w:ascii="楷体" w:hAnsi="楷体" w:eastAsia="楷体"/>
          <w:color w:val="auto"/>
          <w:szCs w:val="28"/>
          <w:highlight w:val="none"/>
        </w:rPr>
        <w:t>.投标文件的组成</w:t>
      </w:r>
      <w:r>
        <w:rPr>
          <w:color w:val="auto"/>
          <w:highlight w:val="none"/>
        </w:rPr>
        <w:tab/>
      </w:r>
      <w:r>
        <w:rPr>
          <w:color w:val="auto"/>
          <w:highlight w:val="none"/>
        </w:rPr>
        <w:fldChar w:fldCharType="begin"/>
      </w:r>
      <w:r>
        <w:rPr>
          <w:color w:val="auto"/>
          <w:highlight w:val="none"/>
        </w:rPr>
        <w:instrText xml:space="preserve"> PAGEREF _Toc21393 \h </w:instrText>
      </w:r>
      <w:r>
        <w:rPr>
          <w:color w:val="auto"/>
          <w:highlight w:val="none"/>
        </w:rPr>
        <w:fldChar w:fldCharType="separate"/>
      </w:r>
      <w:r>
        <w:rPr>
          <w:color w:val="auto"/>
          <w:highlight w:val="none"/>
        </w:rPr>
        <w:t>39</w:t>
      </w:r>
      <w:r>
        <w:rPr>
          <w:color w:val="auto"/>
          <w:highlight w:val="none"/>
        </w:rPr>
        <w:fldChar w:fldCharType="end"/>
      </w:r>
      <w:r>
        <w:rPr>
          <w:rFonts w:eastAsia="黑体"/>
          <w:color w:val="auto"/>
          <w:highlight w:val="none"/>
        </w:rPr>
        <w:fldChar w:fldCharType="end"/>
      </w:r>
    </w:p>
    <w:p w14:paraId="32A3B570">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_Toc14924 </w:instrText>
      </w:r>
      <w:r>
        <w:rPr>
          <w:rFonts w:eastAsia="黑体"/>
          <w:color w:val="auto"/>
          <w:highlight w:val="none"/>
        </w:rPr>
        <w:fldChar w:fldCharType="separate"/>
      </w:r>
      <w:r>
        <w:rPr>
          <w:rFonts w:hint="eastAsia" w:ascii="楷体" w:hAnsi="楷体" w:eastAsia="楷体"/>
          <w:color w:val="auto"/>
          <w:szCs w:val="28"/>
          <w:highlight w:val="none"/>
        </w:rPr>
        <w:t>1</w:t>
      </w:r>
      <w:r>
        <w:rPr>
          <w:rFonts w:ascii="楷体" w:hAnsi="楷体" w:eastAsia="楷体"/>
          <w:color w:val="auto"/>
          <w:szCs w:val="28"/>
          <w:highlight w:val="none"/>
        </w:rPr>
        <w:t>2</w:t>
      </w:r>
      <w:r>
        <w:rPr>
          <w:rFonts w:hint="eastAsia" w:ascii="楷体" w:hAnsi="楷体" w:eastAsia="楷体"/>
          <w:color w:val="auto"/>
          <w:szCs w:val="28"/>
          <w:highlight w:val="none"/>
        </w:rPr>
        <w:t>.投标报价</w:t>
      </w:r>
      <w:r>
        <w:rPr>
          <w:color w:val="auto"/>
          <w:highlight w:val="none"/>
        </w:rPr>
        <w:tab/>
      </w:r>
      <w:r>
        <w:rPr>
          <w:color w:val="auto"/>
          <w:highlight w:val="none"/>
        </w:rPr>
        <w:fldChar w:fldCharType="begin"/>
      </w:r>
      <w:r>
        <w:rPr>
          <w:color w:val="auto"/>
          <w:highlight w:val="none"/>
        </w:rPr>
        <w:instrText xml:space="preserve"> PAGEREF _Toc14924 \h </w:instrText>
      </w:r>
      <w:r>
        <w:rPr>
          <w:color w:val="auto"/>
          <w:highlight w:val="none"/>
        </w:rPr>
        <w:fldChar w:fldCharType="separate"/>
      </w:r>
      <w:r>
        <w:rPr>
          <w:color w:val="auto"/>
          <w:highlight w:val="none"/>
        </w:rPr>
        <w:t>41</w:t>
      </w:r>
      <w:r>
        <w:rPr>
          <w:color w:val="auto"/>
          <w:highlight w:val="none"/>
        </w:rPr>
        <w:fldChar w:fldCharType="end"/>
      </w:r>
      <w:r>
        <w:rPr>
          <w:rFonts w:eastAsia="黑体"/>
          <w:color w:val="auto"/>
          <w:highlight w:val="none"/>
        </w:rPr>
        <w:fldChar w:fldCharType="end"/>
      </w:r>
    </w:p>
    <w:p w14:paraId="7726CFEA">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_Toc2613 </w:instrText>
      </w:r>
      <w:r>
        <w:rPr>
          <w:rFonts w:eastAsia="黑体"/>
          <w:color w:val="auto"/>
          <w:highlight w:val="none"/>
        </w:rPr>
        <w:fldChar w:fldCharType="separate"/>
      </w:r>
      <w:r>
        <w:rPr>
          <w:rFonts w:hint="eastAsia" w:ascii="楷体" w:hAnsi="楷体" w:eastAsia="楷体"/>
          <w:color w:val="auto"/>
          <w:szCs w:val="28"/>
          <w:highlight w:val="none"/>
        </w:rPr>
        <w:t>1</w:t>
      </w:r>
      <w:r>
        <w:rPr>
          <w:rFonts w:ascii="楷体" w:hAnsi="楷体" w:eastAsia="楷体"/>
          <w:color w:val="auto"/>
          <w:szCs w:val="28"/>
          <w:highlight w:val="none"/>
        </w:rPr>
        <w:t>3.</w:t>
      </w:r>
      <w:r>
        <w:rPr>
          <w:rFonts w:hint="eastAsia" w:ascii="楷体" w:hAnsi="楷体" w:eastAsia="楷体"/>
          <w:color w:val="auto"/>
          <w:szCs w:val="28"/>
          <w:highlight w:val="none"/>
        </w:rPr>
        <w:t>投标文件格式以及编制要求</w:t>
      </w:r>
      <w:r>
        <w:rPr>
          <w:color w:val="auto"/>
          <w:highlight w:val="none"/>
        </w:rPr>
        <w:tab/>
      </w:r>
      <w:r>
        <w:rPr>
          <w:color w:val="auto"/>
          <w:highlight w:val="none"/>
        </w:rPr>
        <w:fldChar w:fldCharType="begin"/>
      </w:r>
      <w:r>
        <w:rPr>
          <w:color w:val="auto"/>
          <w:highlight w:val="none"/>
        </w:rPr>
        <w:instrText xml:space="preserve"> PAGEREF _Toc2613 \h </w:instrText>
      </w:r>
      <w:r>
        <w:rPr>
          <w:color w:val="auto"/>
          <w:highlight w:val="none"/>
        </w:rPr>
        <w:fldChar w:fldCharType="separate"/>
      </w:r>
      <w:r>
        <w:rPr>
          <w:color w:val="auto"/>
          <w:highlight w:val="none"/>
        </w:rPr>
        <w:t>42</w:t>
      </w:r>
      <w:r>
        <w:rPr>
          <w:color w:val="auto"/>
          <w:highlight w:val="none"/>
        </w:rPr>
        <w:fldChar w:fldCharType="end"/>
      </w:r>
      <w:r>
        <w:rPr>
          <w:rFonts w:eastAsia="黑体"/>
          <w:color w:val="auto"/>
          <w:highlight w:val="none"/>
        </w:rPr>
        <w:fldChar w:fldCharType="end"/>
      </w:r>
    </w:p>
    <w:p w14:paraId="1B8E926A">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_Toc21534 </w:instrText>
      </w:r>
      <w:r>
        <w:rPr>
          <w:rFonts w:eastAsia="黑体"/>
          <w:color w:val="auto"/>
          <w:highlight w:val="none"/>
        </w:rPr>
        <w:fldChar w:fldCharType="separate"/>
      </w:r>
      <w:r>
        <w:rPr>
          <w:rFonts w:hint="eastAsia" w:ascii="楷体" w:hAnsi="楷体" w:eastAsia="楷体"/>
          <w:color w:val="auto"/>
          <w:szCs w:val="28"/>
          <w:highlight w:val="none"/>
        </w:rPr>
        <w:t>1</w:t>
      </w:r>
      <w:r>
        <w:rPr>
          <w:rFonts w:ascii="楷体" w:hAnsi="楷体" w:eastAsia="楷体"/>
          <w:color w:val="auto"/>
          <w:szCs w:val="28"/>
          <w:highlight w:val="none"/>
        </w:rPr>
        <w:t>4.</w:t>
      </w:r>
      <w:r>
        <w:rPr>
          <w:rFonts w:hint="eastAsia" w:ascii="楷体" w:hAnsi="楷体" w:eastAsia="楷体"/>
          <w:color w:val="auto"/>
          <w:szCs w:val="28"/>
          <w:highlight w:val="none"/>
        </w:rPr>
        <w:t>投标文件的密封和标记</w:t>
      </w:r>
      <w:r>
        <w:rPr>
          <w:color w:val="auto"/>
          <w:highlight w:val="none"/>
        </w:rPr>
        <w:tab/>
      </w:r>
      <w:r>
        <w:rPr>
          <w:color w:val="auto"/>
          <w:highlight w:val="none"/>
        </w:rPr>
        <w:fldChar w:fldCharType="begin"/>
      </w:r>
      <w:r>
        <w:rPr>
          <w:color w:val="auto"/>
          <w:highlight w:val="none"/>
        </w:rPr>
        <w:instrText xml:space="preserve"> PAGEREF _Toc21534 \h </w:instrText>
      </w:r>
      <w:r>
        <w:rPr>
          <w:color w:val="auto"/>
          <w:highlight w:val="none"/>
        </w:rPr>
        <w:fldChar w:fldCharType="separate"/>
      </w:r>
      <w:r>
        <w:rPr>
          <w:color w:val="auto"/>
          <w:highlight w:val="none"/>
        </w:rPr>
        <w:t>42</w:t>
      </w:r>
      <w:r>
        <w:rPr>
          <w:color w:val="auto"/>
          <w:highlight w:val="none"/>
        </w:rPr>
        <w:fldChar w:fldCharType="end"/>
      </w:r>
      <w:r>
        <w:rPr>
          <w:rFonts w:eastAsia="黑体"/>
          <w:color w:val="auto"/>
          <w:highlight w:val="none"/>
        </w:rPr>
        <w:fldChar w:fldCharType="end"/>
      </w:r>
    </w:p>
    <w:p w14:paraId="24A8CDC9">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_Toc14243 </w:instrText>
      </w:r>
      <w:r>
        <w:rPr>
          <w:rFonts w:eastAsia="黑体"/>
          <w:color w:val="auto"/>
          <w:highlight w:val="none"/>
        </w:rPr>
        <w:fldChar w:fldCharType="separate"/>
      </w:r>
      <w:r>
        <w:rPr>
          <w:rFonts w:hint="eastAsia" w:ascii="楷体" w:hAnsi="楷体" w:eastAsia="楷体"/>
          <w:color w:val="auto"/>
          <w:szCs w:val="28"/>
          <w:highlight w:val="none"/>
        </w:rPr>
        <w:t>1</w:t>
      </w:r>
      <w:r>
        <w:rPr>
          <w:rFonts w:ascii="楷体" w:hAnsi="楷体" w:eastAsia="楷体"/>
          <w:color w:val="auto"/>
          <w:szCs w:val="28"/>
          <w:highlight w:val="none"/>
        </w:rPr>
        <w:t>5.</w:t>
      </w:r>
      <w:r>
        <w:rPr>
          <w:rFonts w:hint="eastAsia" w:ascii="楷体" w:hAnsi="楷体" w:eastAsia="楷体"/>
          <w:color w:val="auto"/>
          <w:szCs w:val="28"/>
          <w:highlight w:val="none"/>
        </w:rPr>
        <w:t>投标文件的递交</w:t>
      </w:r>
      <w:r>
        <w:rPr>
          <w:color w:val="auto"/>
          <w:highlight w:val="none"/>
        </w:rPr>
        <w:tab/>
      </w:r>
      <w:r>
        <w:rPr>
          <w:color w:val="auto"/>
          <w:highlight w:val="none"/>
        </w:rPr>
        <w:fldChar w:fldCharType="begin"/>
      </w:r>
      <w:r>
        <w:rPr>
          <w:color w:val="auto"/>
          <w:highlight w:val="none"/>
        </w:rPr>
        <w:instrText xml:space="preserve"> PAGEREF _Toc14243 \h </w:instrText>
      </w:r>
      <w:r>
        <w:rPr>
          <w:color w:val="auto"/>
          <w:highlight w:val="none"/>
        </w:rPr>
        <w:fldChar w:fldCharType="separate"/>
      </w:r>
      <w:r>
        <w:rPr>
          <w:color w:val="auto"/>
          <w:highlight w:val="none"/>
        </w:rPr>
        <w:t>42</w:t>
      </w:r>
      <w:r>
        <w:rPr>
          <w:color w:val="auto"/>
          <w:highlight w:val="none"/>
        </w:rPr>
        <w:fldChar w:fldCharType="end"/>
      </w:r>
      <w:r>
        <w:rPr>
          <w:rFonts w:eastAsia="黑体"/>
          <w:color w:val="auto"/>
          <w:highlight w:val="none"/>
        </w:rPr>
        <w:fldChar w:fldCharType="end"/>
      </w:r>
    </w:p>
    <w:p w14:paraId="54A71034">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_Toc16073 </w:instrText>
      </w:r>
      <w:r>
        <w:rPr>
          <w:rFonts w:eastAsia="黑体"/>
          <w:color w:val="auto"/>
          <w:highlight w:val="none"/>
        </w:rPr>
        <w:fldChar w:fldCharType="separate"/>
      </w:r>
      <w:r>
        <w:rPr>
          <w:rFonts w:hint="eastAsia" w:ascii="楷体" w:hAnsi="楷体" w:eastAsia="楷体"/>
          <w:color w:val="auto"/>
          <w:szCs w:val="28"/>
          <w:highlight w:val="none"/>
        </w:rPr>
        <w:t>1</w:t>
      </w:r>
      <w:r>
        <w:rPr>
          <w:rFonts w:ascii="楷体" w:hAnsi="楷体" w:eastAsia="楷体"/>
          <w:color w:val="auto"/>
          <w:szCs w:val="28"/>
          <w:highlight w:val="none"/>
        </w:rPr>
        <w:t>6</w:t>
      </w:r>
      <w:r>
        <w:rPr>
          <w:rFonts w:hint="eastAsia" w:ascii="楷体" w:hAnsi="楷体" w:eastAsia="楷体"/>
          <w:color w:val="auto"/>
          <w:szCs w:val="28"/>
          <w:highlight w:val="none"/>
        </w:rPr>
        <w:t>.投标文件的修改与撤回</w:t>
      </w:r>
      <w:r>
        <w:rPr>
          <w:color w:val="auto"/>
          <w:highlight w:val="none"/>
        </w:rPr>
        <w:tab/>
      </w:r>
      <w:r>
        <w:rPr>
          <w:color w:val="auto"/>
          <w:highlight w:val="none"/>
        </w:rPr>
        <w:fldChar w:fldCharType="begin"/>
      </w:r>
      <w:r>
        <w:rPr>
          <w:color w:val="auto"/>
          <w:highlight w:val="none"/>
        </w:rPr>
        <w:instrText xml:space="preserve"> PAGEREF _Toc16073 \h </w:instrText>
      </w:r>
      <w:r>
        <w:rPr>
          <w:color w:val="auto"/>
          <w:highlight w:val="none"/>
        </w:rPr>
        <w:fldChar w:fldCharType="separate"/>
      </w:r>
      <w:r>
        <w:rPr>
          <w:color w:val="auto"/>
          <w:highlight w:val="none"/>
        </w:rPr>
        <w:t>42</w:t>
      </w:r>
      <w:r>
        <w:rPr>
          <w:color w:val="auto"/>
          <w:highlight w:val="none"/>
        </w:rPr>
        <w:fldChar w:fldCharType="end"/>
      </w:r>
      <w:r>
        <w:rPr>
          <w:rFonts w:eastAsia="黑体"/>
          <w:color w:val="auto"/>
          <w:highlight w:val="none"/>
        </w:rPr>
        <w:fldChar w:fldCharType="end"/>
      </w:r>
    </w:p>
    <w:p w14:paraId="5FA41DE1">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_Toc29674 </w:instrText>
      </w:r>
      <w:r>
        <w:rPr>
          <w:rFonts w:eastAsia="黑体"/>
          <w:color w:val="auto"/>
          <w:highlight w:val="none"/>
        </w:rPr>
        <w:fldChar w:fldCharType="separate"/>
      </w:r>
      <w:r>
        <w:rPr>
          <w:rFonts w:hint="eastAsia" w:ascii="楷体" w:hAnsi="楷体" w:eastAsia="楷体"/>
          <w:color w:val="auto"/>
          <w:szCs w:val="28"/>
          <w:highlight w:val="none"/>
        </w:rPr>
        <w:t>1</w:t>
      </w:r>
      <w:r>
        <w:rPr>
          <w:rFonts w:ascii="楷体" w:hAnsi="楷体" w:eastAsia="楷体"/>
          <w:color w:val="auto"/>
          <w:szCs w:val="28"/>
          <w:highlight w:val="none"/>
        </w:rPr>
        <w:t>7.</w:t>
      </w:r>
      <w:r>
        <w:rPr>
          <w:rFonts w:hint="eastAsia" w:ascii="楷体" w:hAnsi="楷体" w:eastAsia="楷体"/>
          <w:color w:val="auto"/>
          <w:szCs w:val="28"/>
          <w:highlight w:val="none"/>
        </w:rPr>
        <w:t>投标保证金</w:t>
      </w:r>
      <w:r>
        <w:rPr>
          <w:color w:val="auto"/>
          <w:highlight w:val="none"/>
        </w:rPr>
        <w:tab/>
      </w:r>
      <w:r>
        <w:rPr>
          <w:color w:val="auto"/>
          <w:highlight w:val="none"/>
        </w:rPr>
        <w:fldChar w:fldCharType="begin"/>
      </w:r>
      <w:r>
        <w:rPr>
          <w:color w:val="auto"/>
          <w:highlight w:val="none"/>
        </w:rPr>
        <w:instrText xml:space="preserve"> PAGEREF _Toc29674 \h </w:instrText>
      </w:r>
      <w:r>
        <w:rPr>
          <w:color w:val="auto"/>
          <w:highlight w:val="none"/>
        </w:rPr>
        <w:fldChar w:fldCharType="separate"/>
      </w:r>
      <w:r>
        <w:rPr>
          <w:color w:val="auto"/>
          <w:highlight w:val="none"/>
        </w:rPr>
        <w:t>43</w:t>
      </w:r>
      <w:r>
        <w:rPr>
          <w:color w:val="auto"/>
          <w:highlight w:val="none"/>
        </w:rPr>
        <w:fldChar w:fldCharType="end"/>
      </w:r>
      <w:r>
        <w:rPr>
          <w:rFonts w:eastAsia="黑体"/>
          <w:color w:val="auto"/>
          <w:highlight w:val="none"/>
        </w:rPr>
        <w:fldChar w:fldCharType="end"/>
      </w:r>
    </w:p>
    <w:p w14:paraId="686551FB">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_Toc5565 </w:instrText>
      </w:r>
      <w:r>
        <w:rPr>
          <w:rFonts w:eastAsia="黑体"/>
          <w:color w:val="auto"/>
          <w:highlight w:val="none"/>
        </w:rPr>
        <w:fldChar w:fldCharType="separate"/>
      </w:r>
      <w:r>
        <w:rPr>
          <w:rFonts w:hint="eastAsia" w:ascii="楷体" w:hAnsi="楷体" w:eastAsia="楷体"/>
          <w:color w:val="auto"/>
          <w:szCs w:val="28"/>
          <w:highlight w:val="none"/>
        </w:rPr>
        <w:t>18</w:t>
      </w:r>
      <w:r>
        <w:rPr>
          <w:rFonts w:ascii="楷体" w:hAnsi="楷体" w:eastAsia="楷体"/>
          <w:color w:val="auto"/>
          <w:szCs w:val="28"/>
          <w:highlight w:val="none"/>
        </w:rPr>
        <w:t>.</w:t>
      </w:r>
      <w:r>
        <w:rPr>
          <w:rFonts w:hint="eastAsia" w:ascii="楷体" w:hAnsi="楷体" w:eastAsia="楷体"/>
          <w:color w:val="auto"/>
          <w:szCs w:val="28"/>
          <w:highlight w:val="none"/>
        </w:rPr>
        <w:t>质疑处理</w:t>
      </w:r>
      <w:r>
        <w:rPr>
          <w:color w:val="auto"/>
          <w:highlight w:val="none"/>
        </w:rPr>
        <w:tab/>
      </w:r>
      <w:r>
        <w:rPr>
          <w:color w:val="auto"/>
          <w:highlight w:val="none"/>
        </w:rPr>
        <w:fldChar w:fldCharType="begin"/>
      </w:r>
      <w:r>
        <w:rPr>
          <w:color w:val="auto"/>
          <w:highlight w:val="none"/>
        </w:rPr>
        <w:instrText xml:space="preserve"> PAGEREF _Toc5565 \h </w:instrText>
      </w:r>
      <w:r>
        <w:rPr>
          <w:color w:val="auto"/>
          <w:highlight w:val="none"/>
        </w:rPr>
        <w:fldChar w:fldCharType="separate"/>
      </w:r>
      <w:r>
        <w:rPr>
          <w:color w:val="auto"/>
          <w:highlight w:val="none"/>
        </w:rPr>
        <w:t>43</w:t>
      </w:r>
      <w:r>
        <w:rPr>
          <w:color w:val="auto"/>
          <w:highlight w:val="none"/>
        </w:rPr>
        <w:fldChar w:fldCharType="end"/>
      </w:r>
      <w:r>
        <w:rPr>
          <w:rFonts w:eastAsia="黑体"/>
          <w:color w:val="auto"/>
          <w:highlight w:val="none"/>
        </w:rPr>
        <w:fldChar w:fldCharType="end"/>
      </w:r>
    </w:p>
    <w:p w14:paraId="5CA753B5">
      <w:pPr>
        <w:pStyle w:val="18"/>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_Toc18899 </w:instrText>
      </w:r>
      <w:r>
        <w:rPr>
          <w:rFonts w:eastAsia="黑体"/>
          <w:color w:val="auto"/>
          <w:highlight w:val="none"/>
        </w:rPr>
        <w:fldChar w:fldCharType="separate"/>
      </w:r>
      <w:r>
        <w:rPr>
          <w:rFonts w:ascii="黑体" w:hAnsi="黑体" w:eastAsia="黑体"/>
          <w:color w:val="auto"/>
          <w:szCs w:val="28"/>
          <w:highlight w:val="none"/>
        </w:rPr>
        <w:t>第七章</w:t>
      </w:r>
      <w:r>
        <w:rPr>
          <w:rFonts w:hint="eastAsia" w:ascii="黑体" w:hAnsi="黑体" w:eastAsia="黑体"/>
          <w:color w:val="auto"/>
          <w:szCs w:val="28"/>
          <w:highlight w:val="none"/>
        </w:rPr>
        <w:t xml:space="preserve">  开标、评标、定标</w:t>
      </w:r>
      <w:r>
        <w:rPr>
          <w:color w:val="auto"/>
          <w:highlight w:val="none"/>
        </w:rPr>
        <w:tab/>
      </w:r>
      <w:r>
        <w:rPr>
          <w:color w:val="auto"/>
          <w:highlight w:val="none"/>
        </w:rPr>
        <w:fldChar w:fldCharType="begin"/>
      </w:r>
      <w:r>
        <w:rPr>
          <w:color w:val="auto"/>
          <w:highlight w:val="none"/>
        </w:rPr>
        <w:instrText xml:space="preserve"> PAGEREF _Toc18899 \h </w:instrText>
      </w:r>
      <w:r>
        <w:rPr>
          <w:color w:val="auto"/>
          <w:highlight w:val="none"/>
        </w:rPr>
        <w:fldChar w:fldCharType="separate"/>
      </w:r>
      <w:r>
        <w:rPr>
          <w:color w:val="auto"/>
          <w:highlight w:val="none"/>
        </w:rPr>
        <w:t>45</w:t>
      </w:r>
      <w:r>
        <w:rPr>
          <w:color w:val="auto"/>
          <w:highlight w:val="none"/>
        </w:rPr>
        <w:fldChar w:fldCharType="end"/>
      </w:r>
      <w:r>
        <w:rPr>
          <w:rFonts w:eastAsia="黑体"/>
          <w:color w:val="auto"/>
          <w:highlight w:val="none"/>
        </w:rPr>
        <w:fldChar w:fldCharType="end"/>
      </w:r>
    </w:p>
    <w:p w14:paraId="4432CD6C">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_Toc2386 </w:instrText>
      </w:r>
      <w:r>
        <w:rPr>
          <w:rFonts w:eastAsia="黑体"/>
          <w:color w:val="auto"/>
          <w:highlight w:val="none"/>
        </w:rPr>
        <w:fldChar w:fldCharType="separate"/>
      </w:r>
      <w:r>
        <w:rPr>
          <w:rFonts w:hint="eastAsia" w:ascii="楷体" w:hAnsi="楷体" w:eastAsia="楷体"/>
          <w:color w:val="auto"/>
          <w:szCs w:val="28"/>
          <w:highlight w:val="none"/>
        </w:rPr>
        <w:t>1.开标程序</w:t>
      </w:r>
      <w:r>
        <w:rPr>
          <w:color w:val="auto"/>
          <w:highlight w:val="none"/>
        </w:rPr>
        <w:tab/>
      </w:r>
      <w:r>
        <w:rPr>
          <w:color w:val="auto"/>
          <w:highlight w:val="none"/>
        </w:rPr>
        <w:fldChar w:fldCharType="begin"/>
      </w:r>
      <w:r>
        <w:rPr>
          <w:color w:val="auto"/>
          <w:highlight w:val="none"/>
        </w:rPr>
        <w:instrText xml:space="preserve"> PAGEREF _Toc2386 \h </w:instrText>
      </w:r>
      <w:r>
        <w:rPr>
          <w:color w:val="auto"/>
          <w:highlight w:val="none"/>
        </w:rPr>
        <w:fldChar w:fldCharType="separate"/>
      </w:r>
      <w:r>
        <w:rPr>
          <w:color w:val="auto"/>
          <w:highlight w:val="none"/>
        </w:rPr>
        <w:t>45</w:t>
      </w:r>
      <w:r>
        <w:rPr>
          <w:color w:val="auto"/>
          <w:highlight w:val="none"/>
        </w:rPr>
        <w:fldChar w:fldCharType="end"/>
      </w:r>
      <w:r>
        <w:rPr>
          <w:rFonts w:eastAsia="黑体"/>
          <w:color w:val="auto"/>
          <w:highlight w:val="none"/>
        </w:rPr>
        <w:fldChar w:fldCharType="end"/>
      </w:r>
    </w:p>
    <w:p w14:paraId="0A5C71FA">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_Toc32319 </w:instrText>
      </w:r>
      <w:r>
        <w:rPr>
          <w:rFonts w:eastAsia="黑体"/>
          <w:color w:val="auto"/>
          <w:highlight w:val="none"/>
        </w:rPr>
        <w:fldChar w:fldCharType="separate"/>
      </w:r>
      <w:r>
        <w:rPr>
          <w:rFonts w:hint="eastAsia" w:ascii="楷体" w:hAnsi="楷体" w:eastAsia="楷体"/>
          <w:color w:val="auto"/>
          <w:szCs w:val="28"/>
          <w:highlight w:val="none"/>
        </w:rPr>
        <w:t>2.开标</w:t>
      </w:r>
      <w:r>
        <w:rPr>
          <w:color w:val="auto"/>
          <w:highlight w:val="none"/>
        </w:rPr>
        <w:tab/>
      </w:r>
      <w:r>
        <w:rPr>
          <w:color w:val="auto"/>
          <w:highlight w:val="none"/>
        </w:rPr>
        <w:fldChar w:fldCharType="begin"/>
      </w:r>
      <w:r>
        <w:rPr>
          <w:color w:val="auto"/>
          <w:highlight w:val="none"/>
        </w:rPr>
        <w:instrText xml:space="preserve"> PAGEREF _Toc32319 \h </w:instrText>
      </w:r>
      <w:r>
        <w:rPr>
          <w:color w:val="auto"/>
          <w:highlight w:val="none"/>
        </w:rPr>
        <w:fldChar w:fldCharType="separate"/>
      </w:r>
      <w:r>
        <w:rPr>
          <w:color w:val="auto"/>
          <w:highlight w:val="none"/>
        </w:rPr>
        <w:t>45</w:t>
      </w:r>
      <w:r>
        <w:rPr>
          <w:color w:val="auto"/>
          <w:highlight w:val="none"/>
        </w:rPr>
        <w:fldChar w:fldCharType="end"/>
      </w:r>
      <w:r>
        <w:rPr>
          <w:rFonts w:eastAsia="黑体"/>
          <w:color w:val="auto"/>
          <w:highlight w:val="none"/>
        </w:rPr>
        <w:fldChar w:fldCharType="end"/>
      </w:r>
    </w:p>
    <w:p w14:paraId="52967253">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_Toc28969 </w:instrText>
      </w:r>
      <w:r>
        <w:rPr>
          <w:rFonts w:eastAsia="黑体"/>
          <w:color w:val="auto"/>
          <w:highlight w:val="none"/>
        </w:rPr>
        <w:fldChar w:fldCharType="separate"/>
      </w:r>
      <w:r>
        <w:rPr>
          <w:rFonts w:hint="eastAsia" w:ascii="楷体" w:hAnsi="楷体" w:eastAsia="楷体"/>
          <w:color w:val="auto"/>
          <w:szCs w:val="28"/>
          <w:highlight w:val="none"/>
        </w:rPr>
        <w:t>3.评标委员会</w:t>
      </w:r>
      <w:r>
        <w:rPr>
          <w:color w:val="auto"/>
          <w:highlight w:val="none"/>
        </w:rPr>
        <w:tab/>
      </w:r>
      <w:r>
        <w:rPr>
          <w:color w:val="auto"/>
          <w:highlight w:val="none"/>
        </w:rPr>
        <w:fldChar w:fldCharType="begin"/>
      </w:r>
      <w:r>
        <w:rPr>
          <w:color w:val="auto"/>
          <w:highlight w:val="none"/>
        </w:rPr>
        <w:instrText xml:space="preserve"> PAGEREF _Toc28969 \h </w:instrText>
      </w:r>
      <w:r>
        <w:rPr>
          <w:color w:val="auto"/>
          <w:highlight w:val="none"/>
        </w:rPr>
        <w:fldChar w:fldCharType="separate"/>
      </w:r>
      <w:r>
        <w:rPr>
          <w:color w:val="auto"/>
          <w:highlight w:val="none"/>
        </w:rPr>
        <w:t>46</w:t>
      </w:r>
      <w:r>
        <w:rPr>
          <w:color w:val="auto"/>
          <w:highlight w:val="none"/>
        </w:rPr>
        <w:fldChar w:fldCharType="end"/>
      </w:r>
      <w:r>
        <w:rPr>
          <w:rFonts w:eastAsia="黑体"/>
          <w:color w:val="auto"/>
          <w:highlight w:val="none"/>
        </w:rPr>
        <w:fldChar w:fldCharType="end"/>
      </w:r>
    </w:p>
    <w:p w14:paraId="2EE3D0C8">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_Toc8072 </w:instrText>
      </w:r>
      <w:r>
        <w:rPr>
          <w:rFonts w:eastAsia="黑体"/>
          <w:color w:val="auto"/>
          <w:highlight w:val="none"/>
        </w:rPr>
        <w:fldChar w:fldCharType="separate"/>
      </w:r>
      <w:r>
        <w:rPr>
          <w:rFonts w:hint="eastAsia" w:ascii="楷体" w:hAnsi="楷体" w:eastAsia="楷体"/>
          <w:color w:val="auto"/>
          <w:szCs w:val="28"/>
          <w:highlight w:val="none"/>
        </w:rPr>
        <w:t>4.评标程序</w:t>
      </w:r>
      <w:r>
        <w:rPr>
          <w:color w:val="auto"/>
          <w:highlight w:val="none"/>
        </w:rPr>
        <w:tab/>
      </w:r>
      <w:r>
        <w:rPr>
          <w:color w:val="auto"/>
          <w:highlight w:val="none"/>
        </w:rPr>
        <w:fldChar w:fldCharType="begin"/>
      </w:r>
      <w:r>
        <w:rPr>
          <w:color w:val="auto"/>
          <w:highlight w:val="none"/>
        </w:rPr>
        <w:instrText xml:space="preserve"> PAGEREF _Toc8072 \h </w:instrText>
      </w:r>
      <w:r>
        <w:rPr>
          <w:color w:val="auto"/>
          <w:highlight w:val="none"/>
        </w:rPr>
        <w:fldChar w:fldCharType="separate"/>
      </w:r>
      <w:r>
        <w:rPr>
          <w:color w:val="auto"/>
          <w:highlight w:val="none"/>
        </w:rPr>
        <w:t>48</w:t>
      </w:r>
      <w:r>
        <w:rPr>
          <w:color w:val="auto"/>
          <w:highlight w:val="none"/>
        </w:rPr>
        <w:fldChar w:fldCharType="end"/>
      </w:r>
      <w:r>
        <w:rPr>
          <w:rFonts w:eastAsia="黑体"/>
          <w:color w:val="auto"/>
          <w:highlight w:val="none"/>
        </w:rPr>
        <w:fldChar w:fldCharType="end"/>
      </w:r>
    </w:p>
    <w:p w14:paraId="4FE0B412">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_Toc19077 </w:instrText>
      </w:r>
      <w:r>
        <w:rPr>
          <w:rFonts w:eastAsia="黑体"/>
          <w:color w:val="auto"/>
          <w:highlight w:val="none"/>
        </w:rPr>
        <w:fldChar w:fldCharType="separate"/>
      </w:r>
      <w:r>
        <w:rPr>
          <w:rFonts w:hint="eastAsia" w:ascii="楷体" w:hAnsi="楷体" w:eastAsia="楷体"/>
          <w:color w:val="auto"/>
          <w:szCs w:val="28"/>
          <w:highlight w:val="none"/>
        </w:rPr>
        <w:t>5.评标</w:t>
      </w:r>
      <w:r>
        <w:rPr>
          <w:color w:val="auto"/>
          <w:highlight w:val="none"/>
        </w:rPr>
        <w:tab/>
      </w:r>
      <w:r>
        <w:rPr>
          <w:color w:val="auto"/>
          <w:highlight w:val="none"/>
        </w:rPr>
        <w:fldChar w:fldCharType="begin"/>
      </w:r>
      <w:r>
        <w:rPr>
          <w:color w:val="auto"/>
          <w:highlight w:val="none"/>
        </w:rPr>
        <w:instrText xml:space="preserve"> PAGEREF _Toc19077 \h </w:instrText>
      </w:r>
      <w:r>
        <w:rPr>
          <w:color w:val="auto"/>
          <w:highlight w:val="none"/>
        </w:rPr>
        <w:fldChar w:fldCharType="separate"/>
      </w:r>
      <w:r>
        <w:rPr>
          <w:color w:val="auto"/>
          <w:highlight w:val="none"/>
        </w:rPr>
        <w:t>48</w:t>
      </w:r>
      <w:r>
        <w:rPr>
          <w:color w:val="auto"/>
          <w:highlight w:val="none"/>
        </w:rPr>
        <w:fldChar w:fldCharType="end"/>
      </w:r>
      <w:r>
        <w:rPr>
          <w:rFonts w:eastAsia="黑体"/>
          <w:color w:val="auto"/>
          <w:highlight w:val="none"/>
        </w:rPr>
        <w:fldChar w:fldCharType="end"/>
      </w:r>
    </w:p>
    <w:p w14:paraId="5F3377B0">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_Toc1260 </w:instrText>
      </w:r>
      <w:r>
        <w:rPr>
          <w:rFonts w:eastAsia="黑体"/>
          <w:color w:val="auto"/>
          <w:highlight w:val="none"/>
        </w:rPr>
        <w:fldChar w:fldCharType="separate"/>
      </w:r>
      <w:r>
        <w:rPr>
          <w:rFonts w:hint="eastAsia" w:ascii="楷体" w:hAnsi="楷体" w:eastAsia="楷体"/>
          <w:color w:val="auto"/>
          <w:szCs w:val="28"/>
          <w:highlight w:val="none"/>
        </w:rPr>
        <w:t>6.澄清有关问题</w:t>
      </w:r>
      <w:r>
        <w:rPr>
          <w:color w:val="auto"/>
          <w:highlight w:val="none"/>
        </w:rPr>
        <w:tab/>
      </w:r>
      <w:r>
        <w:rPr>
          <w:color w:val="auto"/>
          <w:highlight w:val="none"/>
        </w:rPr>
        <w:fldChar w:fldCharType="begin"/>
      </w:r>
      <w:r>
        <w:rPr>
          <w:color w:val="auto"/>
          <w:highlight w:val="none"/>
        </w:rPr>
        <w:instrText xml:space="preserve"> PAGEREF _Toc1260 \h </w:instrText>
      </w:r>
      <w:r>
        <w:rPr>
          <w:color w:val="auto"/>
          <w:highlight w:val="none"/>
        </w:rPr>
        <w:fldChar w:fldCharType="separate"/>
      </w:r>
      <w:r>
        <w:rPr>
          <w:color w:val="auto"/>
          <w:highlight w:val="none"/>
        </w:rPr>
        <w:t>49</w:t>
      </w:r>
      <w:r>
        <w:rPr>
          <w:color w:val="auto"/>
          <w:highlight w:val="none"/>
        </w:rPr>
        <w:fldChar w:fldCharType="end"/>
      </w:r>
      <w:r>
        <w:rPr>
          <w:rFonts w:eastAsia="黑体"/>
          <w:color w:val="auto"/>
          <w:highlight w:val="none"/>
        </w:rPr>
        <w:fldChar w:fldCharType="end"/>
      </w:r>
    </w:p>
    <w:p w14:paraId="0A415324">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_Toc19089 </w:instrText>
      </w:r>
      <w:r>
        <w:rPr>
          <w:rFonts w:eastAsia="黑体"/>
          <w:color w:val="auto"/>
          <w:highlight w:val="none"/>
        </w:rPr>
        <w:fldChar w:fldCharType="separate"/>
      </w:r>
      <w:r>
        <w:rPr>
          <w:rFonts w:hint="eastAsia" w:ascii="楷体" w:hAnsi="楷体" w:eastAsia="楷体"/>
          <w:color w:val="auto"/>
          <w:szCs w:val="28"/>
          <w:highlight w:val="none"/>
        </w:rPr>
        <w:t>7.定标</w:t>
      </w:r>
      <w:r>
        <w:rPr>
          <w:color w:val="auto"/>
          <w:highlight w:val="none"/>
        </w:rPr>
        <w:tab/>
      </w:r>
      <w:r>
        <w:rPr>
          <w:color w:val="auto"/>
          <w:highlight w:val="none"/>
        </w:rPr>
        <w:fldChar w:fldCharType="begin"/>
      </w:r>
      <w:r>
        <w:rPr>
          <w:color w:val="auto"/>
          <w:highlight w:val="none"/>
        </w:rPr>
        <w:instrText xml:space="preserve"> PAGEREF _Toc19089 \h </w:instrText>
      </w:r>
      <w:r>
        <w:rPr>
          <w:color w:val="auto"/>
          <w:highlight w:val="none"/>
        </w:rPr>
        <w:fldChar w:fldCharType="separate"/>
      </w:r>
      <w:r>
        <w:rPr>
          <w:color w:val="auto"/>
          <w:highlight w:val="none"/>
        </w:rPr>
        <w:t>49</w:t>
      </w:r>
      <w:r>
        <w:rPr>
          <w:color w:val="auto"/>
          <w:highlight w:val="none"/>
        </w:rPr>
        <w:fldChar w:fldCharType="end"/>
      </w:r>
      <w:r>
        <w:rPr>
          <w:rFonts w:eastAsia="黑体"/>
          <w:color w:val="auto"/>
          <w:highlight w:val="none"/>
        </w:rPr>
        <w:fldChar w:fldCharType="end"/>
      </w:r>
    </w:p>
    <w:p w14:paraId="44B186C7">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_Toc26181 </w:instrText>
      </w:r>
      <w:r>
        <w:rPr>
          <w:rFonts w:eastAsia="黑体"/>
          <w:color w:val="auto"/>
          <w:highlight w:val="none"/>
        </w:rPr>
        <w:fldChar w:fldCharType="separate"/>
      </w:r>
      <w:r>
        <w:rPr>
          <w:rFonts w:hint="eastAsia" w:ascii="楷体" w:hAnsi="楷体" w:eastAsia="楷体"/>
          <w:color w:val="auto"/>
          <w:szCs w:val="28"/>
          <w:highlight w:val="none"/>
        </w:rPr>
        <w:t>8.中标公告以及中标通知书</w:t>
      </w:r>
      <w:r>
        <w:rPr>
          <w:color w:val="auto"/>
          <w:highlight w:val="none"/>
        </w:rPr>
        <w:tab/>
      </w:r>
      <w:r>
        <w:rPr>
          <w:color w:val="auto"/>
          <w:highlight w:val="none"/>
        </w:rPr>
        <w:fldChar w:fldCharType="begin"/>
      </w:r>
      <w:r>
        <w:rPr>
          <w:color w:val="auto"/>
          <w:highlight w:val="none"/>
        </w:rPr>
        <w:instrText xml:space="preserve"> PAGEREF _Toc26181 \h </w:instrText>
      </w:r>
      <w:r>
        <w:rPr>
          <w:color w:val="auto"/>
          <w:highlight w:val="none"/>
        </w:rPr>
        <w:fldChar w:fldCharType="separate"/>
      </w:r>
      <w:r>
        <w:rPr>
          <w:color w:val="auto"/>
          <w:highlight w:val="none"/>
        </w:rPr>
        <w:t>51</w:t>
      </w:r>
      <w:r>
        <w:rPr>
          <w:color w:val="auto"/>
          <w:highlight w:val="none"/>
        </w:rPr>
        <w:fldChar w:fldCharType="end"/>
      </w:r>
      <w:r>
        <w:rPr>
          <w:rFonts w:eastAsia="黑体"/>
          <w:color w:val="auto"/>
          <w:highlight w:val="none"/>
        </w:rPr>
        <w:fldChar w:fldCharType="end"/>
      </w:r>
    </w:p>
    <w:p w14:paraId="69455EA7">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_Toc11180 </w:instrText>
      </w:r>
      <w:r>
        <w:rPr>
          <w:rFonts w:eastAsia="黑体"/>
          <w:color w:val="auto"/>
          <w:highlight w:val="none"/>
        </w:rPr>
        <w:fldChar w:fldCharType="separate"/>
      </w:r>
      <w:r>
        <w:rPr>
          <w:rFonts w:hint="eastAsia" w:ascii="楷体" w:hAnsi="楷体" w:eastAsia="楷体"/>
          <w:color w:val="auto"/>
          <w:szCs w:val="28"/>
          <w:highlight w:val="none"/>
        </w:rPr>
        <w:t>9.投标无效</w:t>
      </w:r>
      <w:r>
        <w:rPr>
          <w:color w:val="auto"/>
          <w:highlight w:val="none"/>
        </w:rPr>
        <w:tab/>
      </w:r>
      <w:r>
        <w:rPr>
          <w:color w:val="auto"/>
          <w:highlight w:val="none"/>
        </w:rPr>
        <w:fldChar w:fldCharType="begin"/>
      </w:r>
      <w:r>
        <w:rPr>
          <w:color w:val="auto"/>
          <w:highlight w:val="none"/>
        </w:rPr>
        <w:instrText xml:space="preserve"> PAGEREF _Toc11180 \h </w:instrText>
      </w:r>
      <w:r>
        <w:rPr>
          <w:color w:val="auto"/>
          <w:highlight w:val="none"/>
        </w:rPr>
        <w:fldChar w:fldCharType="separate"/>
      </w:r>
      <w:r>
        <w:rPr>
          <w:color w:val="auto"/>
          <w:highlight w:val="none"/>
        </w:rPr>
        <w:t>52</w:t>
      </w:r>
      <w:r>
        <w:rPr>
          <w:color w:val="auto"/>
          <w:highlight w:val="none"/>
        </w:rPr>
        <w:fldChar w:fldCharType="end"/>
      </w:r>
      <w:r>
        <w:rPr>
          <w:rFonts w:eastAsia="黑体"/>
          <w:color w:val="auto"/>
          <w:highlight w:val="none"/>
        </w:rPr>
        <w:fldChar w:fldCharType="end"/>
      </w:r>
    </w:p>
    <w:p w14:paraId="5E55B28C">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_Toc13987 </w:instrText>
      </w:r>
      <w:r>
        <w:rPr>
          <w:rFonts w:eastAsia="黑体"/>
          <w:color w:val="auto"/>
          <w:highlight w:val="none"/>
        </w:rPr>
        <w:fldChar w:fldCharType="separate"/>
      </w:r>
      <w:r>
        <w:rPr>
          <w:rFonts w:hint="eastAsia" w:ascii="楷体" w:hAnsi="楷体" w:eastAsia="楷体"/>
          <w:color w:val="auto"/>
          <w:szCs w:val="28"/>
          <w:highlight w:val="none"/>
        </w:rPr>
        <w:t>10.废标</w:t>
      </w:r>
      <w:r>
        <w:rPr>
          <w:color w:val="auto"/>
          <w:highlight w:val="none"/>
        </w:rPr>
        <w:tab/>
      </w:r>
      <w:r>
        <w:rPr>
          <w:color w:val="auto"/>
          <w:highlight w:val="none"/>
        </w:rPr>
        <w:fldChar w:fldCharType="begin"/>
      </w:r>
      <w:r>
        <w:rPr>
          <w:color w:val="auto"/>
          <w:highlight w:val="none"/>
        </w:rPr>
        <w:instrText xml:space="preserve"> PAGEREF _Toc13987 \h </w:instrText>
      </w:r>
      <w:r>
        <w:rPr>
          <w:color w:val="auto"/>
          <w:highlight w:val="none"/>
        </w:rPr>
        <w:fldChar w:fldCharType="separate"/>
      </w:r>
      <w:r>
        <w:rPr>
          <w:color w:val="auto"/>
          <w:highlight w:val="none"/>
        </w:rPr>
        <w:t>53</w:t>
      </w:r>
      <w:r>
        <w:rPr>
          <w:color w:val="auto"/>
          <w:highlight w:val="none"/>
        </w:rPr>
        <w:fldChar w:fldCharType="end"/>
      </w:r>
      <w:r>
        <w:rPr>
          <w:rFonts w:eastAsia="黑体"/>
          <w:color w:val="auto"/>
          <w:highlight w:val="none"/>
        </w:rPr>
        <w:fldChar w:fldCharType="end"/>
      </w:r>
    </w:p>
    <w:p w14:paraId="3FC224A0">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_Toc22059 </w:instrText>
      </w:r>
      <w:r>
        <w:rPr>
          <w:rFonts w:eastAsia="黑体"/>
          <w:color w:val="auto"/>
          <w:highlight w:val="none"/>
        </w:rPr>
        <w:fldChar w:fldCharType="separate"/>
      </w:r>
      <w:r>
        <w:rPr>
          <w:rFonts w:hint="eastAsia" w:ascii="楷体" w:hAnsi="楷体" w:eastAsia="楷体"/>
          <w:color w:val="auto"/>
          <w:szCs w:val="28"/>
          <w:highlight w:val="none"/>
        </w:rPr>
        <w:t>11.特殊情况处置程序</w:t>
      </w:r>
      <w:r>
        <w:rPr>
          <w:color w:val="auto"/>
          <w:highlight w:val="none"/>
        </w:rPr>
        <w:tab/>
      </w:r>
      <w:r>
        <w:rPr>
          <w:color w:val="auto"/>
          <w:highlight w:val="none"/>
        </w:rPr>
        <w:fldChar w:fldCharType="begin"/>
      </w:r>
      <w:r>
        <w:rPr>
          <w:color w:val="auto"/>
          <w:highlight w:val="none"/>
        </w:rPr>
        <w:instrText xml:space="preserve"> PAGEREF _Toc22059 \h </w:instrText>
      </w:r>
      <w:r>
        <w:rPr>
          <w:color w:val="auto"/>
          <w:highlight w:val="none"/>
        </w:rPr>
        <w:fldChar w:fldCharType="separate"/>
      </w:r>
      <w:r>
        <w:rPr>
          <w:color w:val="auto"/>
          <w:highlight w:val="none"/>
        </w:rPr>
        <w:t>53</w:t>
      </w:r>
      <w:r>
        <w:rPr>
          <w:color w:val="auto"/>
          <w:highlight w:val="none"/>
        </w:rPr>
        <w:fldChar w:fldCharType="end"/>
      </w:r>
      <w:r>
        <w:rPr>
          <w:rFonts w:eastAsia="黑体"/>
          <w:color w:val="auto"/>
          <w:highlight w:val="none"/>
        </w:rPr>
        <w:fldChar w:fldCharType="end"/>
      </w:r>
    </w:p>
    <w:p w14:paraId="2A1B3261">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_Toc123 </w:instrText>
      </w:r>
      <w:r>
        <w:rPr>
          <w:rFonts w:eastAsia="黑体"/>
          <w:color w:val="auto"/>
          <w:highlight w:val="none"/>
        </w:rPr>
        <w:fldChar w:fldCharType="separate"/>
      </w:r>
      <w:r>
        <w:rPr>
          <w:rFonts w:hint="eastAsia" w:ascii="楷体" w:hAnsi="楷体" w:eastAsia="楷体"/>
          <w:color w:val="auto"/>
          <w:szCs w:val="28"/>
          <w:highlight w:val="none"/>
        </w:rPr>
        <w:t>12.违法违规情形</w:t>
      </w:r>
      <w:r>
        <w:rPr>
          <w:color w:val="auto"/>
          <w:highlight w:val="none"/>
        </w:rPr>
        <w:tab/>
      </w:r>
      <w:r>
        <w:rPr>
          <w:color w:val="auto"/>
          <w:highlight w:val="none"/>
        </w:rPr>
        <w:fldChar w:fldCharType="begin"/>
      </w:r>
      <w:r>
        <w:rPr>
          <w:color w:val="auto"/>
          <w:highlight w:val="none"/>
        </w:rPr>
        <w:instrText xml:space="preserve"> PAGEREF _Toc123 \h </w:instrText>
      </w:r>
      <w:r>
        <w:rPr>
          <w:color w:val="auto"/>
          <w:highlight w:val="none"/>
        </w:rPr>
        <w:fldChar w:fldCharType="separate"/>
      </w:r>
      <w:r>
        <w:rPr>
          <w:color w:val="auto"/>
          <w:highlight w:val="none"/>
        </w:rPr>
        <w:t>53</w:t>
      </w:r>
      <w:r>
        <w:rPr>
          <w:color w:val="auto"/>
          <w:highlight w:val="none"/>
        </w:rPr>
        <w:fldChar w:fldCharType="end"/>
      </w:r>
      <w:r>
        <w:rPr>
          <w:rFonts w:eastAsia="黑体"/>
          <w:color w:val="auto"/>
          <w:highlight w:val="none"/>
        </w:rPr>
        <w:fldChar w:fldCharType="end"/>
      </w:r>
    </w:p>
    <w:p w14:paraId="34349EA2">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_Toc18495 </w:instrText>
      </w:r>
      <w:r>
        <w:rPr>
          <w:rFonts w:eastAsia="黑体"/>
          <w:color w:val="auto"/>
          <w:highlight w:val="none"/>
        </w:rPr>
        <w:fldChar w:fldCharType="separate"/>
      </w:r>
      <w:r>
        <w:rPr>
          <w:rFonts w:ascii="楷体" w:hAnsi="楷体" w:eastAsia="楷体"/>
          <w:color w:val="auto"/>
          <w:szCs w:val="28"/>
          <w:highlight w:val="none"/>
        </w:rPr>
        <w:t>13</w:t>
      </w:r>
      <w:r>
        <w:rPr>
          <w:rFonts w:hint="eastAsia" w:ascii="楷体" w:hAnsi="楷体" w:eastAsia="楷体"/>
          <w:color w:val="auto"/>
          <w:szCs w:val="28"/>
          <w:highlight w:val="none"/>
        </w:rPr>
        <w:t>.违规处理</w:t>
      </w:r>
      <w:r>
        <w:rPr>
          <w:color w:val="auto"/>
          <w:highlight w:val="none"/>
        </w:rPr>
        <w:tab/>
      </w:r>
      <w:r>
        <w:rPr>
          <w:color w:val="auto"/>
          <w:highlight w:val="none"/>
        </w:rPr>
        <w:fldChar w:fldCharType="begin"/>
      </w:r>
      <w:r>
        <w:rPr>
          <w:color w:val="auto"/>
          <w:highlight w:val="none"/>
        </w:rPr>
        <w:instrText xml:space="preserve"> PAGEREF _Toc18495 \h </w:instrText>
      </w:r>
      <w:r>
        <w:rPr>
          <w:color w:val="auto"/>
          <w:highlight w:val="none"/>
        </w:rPr>
        <w:fldChar w:fldCharType="separate"/>
      </w:r>
      <w:r>
        <w:rPr>
          <w:color w:val="auto"/>
          <w:highlight w:val="none"/>
        </w:rPr>
        <w:t>54</w:t>
      </w:r>
      <w:r>
        <w:rPr>
          <w:color w:val="auto"/>
          <w:highlight w:val="none"/>
        </w:rPr>
        <w:fldChar w:fldCharType="end"/>
      </w:r>
      <w:r>
        <w:rPr>
          <w:rFonts w:eastAsia="黑体"/>
          <w:color w:val="auto"/>
          <w:highlight w:val="none"/>
        </w:rPr>
        <w:fldChar w:fldCharType="end"/>
      </w:r>
    </w:p>
    <w:p w14:paraId="7AF39FAF">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_Toc14474 </w:instrText>
      </w:r>
      <w:r>
        <w:rPr>
          <w:rFonts w:eastAsia="黑体"/>
          <w:color w:val="auto"/>
          <w:highlight w:val="none"/>
        </w:rPr>
        <w:fldChar w:fldCharType="separate"/>
      </w:r>
      <w:r>
        <w:rPr>
          <w:rFonts w:hint="eastAsia" w:ascii="楷体" w:hAnsi="楷体" w:eastAsia="楷体"/>
          <w:color w:val="auto"/>
          <w:szCs w:val="28"/>
          <w:highlight w:val="none"/>
        </w:rPr>
        <w:t>14.关于中标人瑕疵滞后发现的处理规则</w:t>
      </w:r>
      <w:r>
        <w:rPr>
          <w:color w:val="auto"/>
          <w:highlight w:val="none"/>
        </w:rPr>
        <w:tab/>
      </w:r>
      <w:r>
        <w:rPr>
          <w:color w:val="auto"/>
          <w:highlight w:val="none"/>
        </w:rPr>
        <w:fldChar w:fldCharType="begin"/>
      </w:r>
      <w:r>
        <w:rPr>
          <w:color w:val="auto"/>
          <w:highlight w:val="none"/>
        </w:rPr>
        <w:instrText xml:space="preserve"> PAGEREF _Toc14474 \h </w:instrText>
      </w:r>
      <w:r>
        <w:rPr>
          <w:color w:val="auto"/>
          <w:highlight w:val="none"/>
        </w:rPr>
        <w:fldChar w:fldCharType="separate"/>
      </w:r>
      <w:r>
        <w:rPr>
          <w:color w:val="auto"/>
          <w:highlight w:val="none"/>
        </w:rPr>
        <w:t>55</w:t>
      </w:r>
      <w:r>
        <w:rPr>
          <w:color w:val="auto"/>
          <w:highlight w:val="none"/>
        </w:rPr>
        <w:fldChar w:fldCharType="end"/>
      </w:r>
      <w:r>
        <w:rPr>
          <w:rFonts w:eastAsia="黑体"/>
          <w:color w:val="auto"/>
          <w:highlight w:val="none"/>
        </w:rPr>
        <w:fldChar w:fldCharType="end"/>
      </w:r>
    </w:p>
    <w:p w14:paraId="3AA51EB7">
      <w:pPr>
        <w:pStyle w:val="18"/>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_Toc32212 </w:instrText>
      </w:r>
      <w:r>
        <w:rPr>
          <w:rFonts w:eastAsia="黑体"/>
          <w:color w:val="auto"/>
          <w:highlight w:val="none"/>
        </w:rPr>
        <w:fldChar w:fldCharType="separate"/>
      </w:r>
      <w:r>
        <w:rPr>
          <w:rFonts w:ascii="黑体" w:hAnsi="黑体" w:eastAsia="黑体"/>
          <w:color w:val="auto"/>
          <w:szCs w:val="28"/>
          <w:highlight w:val="none"/>
        </w:rPr>
        <w:t>第八章</w:t>
      </w:r>
      <w:r>
        <w:rPr>
          <w:rFonts w:hint="eastAsia" w:ascii="黑体" w:hAnsi="黑体" w:eastAsia="黑体"/>
          <w:color w:val="auto"/>
          <w:szCs w:val="28"/>
          <w:highlight w:val="none"/>
        </w:rPr>
        <w:t xml:space="preserve">  纪律要求</w:t>
      </w:r>
      <w:r>
        <w:rPr>
          <w:color w:val="auto"/>
          <w:highlight w:val="none"/>
        </w:rPr>
        <w:tab/>
      </w:r>
      <w:r>
        <w:rPr>
          <w:color w:val="auto"/>
          <w:highlight w:val="none"/>
        </w:rPr>
        <w:fldChar w:fldCharType="begin"/>
      </w:r>
      <w:r>
        <w:rPr>
          <w:color w:val="auto"/>
          <w:highlight w:val="none"/>
        </w:rPr>
        <w:instrText xml:space="preserve"> PAGEREF _Toc32212 \h </w:instrText>
      </w:r>
      <w:r>
        <w:rPr>
          <w:color w:val="auto"/>
          <w:highlight w:val="none"/>
        </w:rPr>
        <w:fldChar w:fldCharType="separate"/>
      </w:r>
      <w:r>
        <w:rPr>
          <w:color w:val="auto"/>
          <w:highlight w:val="none"/>
        </w:rPr>
        <w:t>56</w:t>
      </w:r>
      <w:r>
        <w:rPr>
          <w:color w:val="auto"/>
          <w:highlight w:val="none"/>
        </w:rPr>
        <w:fldChar w:fldCharType="end"/>
      </w:r>
      <w:r>
        <w:rPr>
          <w:rFonts w:eastAsia="黑体"/>
          <w:color w:val="auto"/>
          <w:highlight w:val="none"/>
        </w:rPr>
        <w:fldChar w:fldCharType="end"/>
      </w:r>
    </w:p>
    <w:p w14:paraId="2BBFE8C2">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_Toc25762 </w:instrText>
      </w:r>
      <w:r>
        <w:rPr>
          <w:rFonts w:eastAsia="黑体"/>
          <w:color w:val="auto"/>
          <w:highlight w:val="none"/>
        </w:rPr>
        <w:fldChar w:fldCharType="separate"/>
      </w:r>
      <w:r>
        <w:rPr>
          <w:rFonts w:hint="eastAsia" w:ascii="楷体" w:hAnsi="楷体" w:eastAsia="楷体"/>
          <w:color w:val="auto"/>
          <w:szCs w:val="28"/>
          <w:highlight w:val="none"/>
        </w:rPr>
        <w:t>1.对</w:t>
      </w:r>
      <w:r>
        <w:rPr>
          <w:rFonts w:hint="eastAsia" w:ascii="楷体" w:hAnsi="楷体" w:eastAsia="楷体"/>
          <w:color w:val="auto"/>
          <w:szCs w:val="28"/>
          <w:highlight w:val="none"/>
          <w:lang w:eastAsia="zh-CN"/>
        </w:rPr>
        <w:t>采购人</w:t>
      </w:r>
      <w:r>
        <w:rPr>
          <w:rFonts w:hint="eastAsia" w:ascii="楷体" w:hAnsi="楷体" w:eastAsia="楷体"/>
          <w:color w:val="auto"/>
          <w:szCs w:val="28"/>
          <w:highlight w:val="none"/>
        </w:rPr>
        <w:t>的纪律要求</w:t>
      </w:r>
      <w:r>
        <w:rPr>
          <w:color w:val="auto"/>
          <w:highlight w:val="none"/>
        </w:rPr>
        <w:tab/>
      </w:r>
      <w:r>
        <w:rPr>
          <w:color w:val="auto"/>
          <w:highlight w:val="none"/>
        </w:rPr>
        <w:fldChar w:fldCharType="begin"/>
      </w:r>
      <w:r>
        <w:rPr>
          <w:color w:val="auto"/>
          <w:highlight w:val="none"/>
        </w:rPr>
        <w:instrText xml:space="preserve"> PAGEREF _Toc25762 \h </w:instrText>
      </w:r>
      <w:r>
        <w:rPr>
          <w:color w:val="auto"/>
          <w:highlight w:val="none"/>
        </w:rPr>
        <w:fldChar w:fldCharType="separate"/>
      </w:r>
      <w:r>
        <w:rPr>
          <w:color w:val="auto"/>
          <w:highlight w:val="none"/>
        </w:rPr>
        <w:t>56</w:t>
      </w:r>
      <w:r>
        <w:rPr>
          <w:color w:val="auto"/>
          <w:highlight w:val="none"/>
        </w:rPr>
        <w:fldChar w:fldCharType="end"/>
      </w:r>
      <w:r>
        <w:rPr>
          <w:rFonts w:eastAsia="黑体"/>
          <w:color w:val="auto"/>
          <w:highlight w:val="none"/>
        </w:rPr>
        <w:fldChar w:fldCharType="end"/>
      </w:r>
    </w:p>
    <w:p w14:paraId="2F0912BA">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_Toc24746 </w:instrText>
      </w:r>
      <w:r>
        <w:rPr>
          <w:rFonts w:eastAsia="黑体"/>
          <w:color w:val="auto"/>
          <w:highlight w:val="none"/>
        </w:rPr>
        <w:fldChar w:fldCharType="separate"/>
      </w:r>
      <w:r>
        <w:rPr>
          <w:rFonts w:hint="eastAsia" w:ascii="楷体" w:hAnsi="楷体" w:eastAsia="楷体"/>
          <w:color w:val="auto"/>
          <w:szCs w:val="28"/>
          <w:highlight w:val="none"/>
        </w:rPr>
        <w:t>2.对投标人的纪律要求</w:t>
      </w:r>
      <w:r>
        <w:rPr>
          <w:color w:val="auto"/>
          <w:highlight w:val="none"/>
        </w:rPr>
        <w:tab/>
      </w:r>
      <w:r>
        <w:rPr>
          <w:color w:val="auto"/>
          <w:highlight w:val="none"/>
        </w:rPr>
        <w:fldChar w:fldCharType="begin"/>
      </w:r>
      <w:r>
        <w:rPr>
          <w:color w:val="auto"/>
          <w:highlight w:val="none"/>
        </w:rPr>
        <w:instrText xml:space="preserve"> PAGEREF _Toc24746 \h </w:instrText>
      </w:r>
      <w:r>
        <w:rPr>
          <w:color w:val="auto"/>
          <w:highlight w:val="none"/>
        </w:rPr>
        <w:fldChar w:fldCharType="separate"/>
      </w:r>
      <w:r>
        <w:rPr>
          <w:color w:val="auto"/>
          <w:highlight w:val="none"/>
        </w:rPr>
        <w:t>56</w:t>
      </w:r>
      <w:r>
        <w:rPr>
          <w:color w:val="auto"/>
          <w:highlight w:val="none"/>
        </w:rPr>
        <w:fldChar w:fldCharType="end"/>
      </w:r>
      <w:r>
        <w:rPr>
          <w:rFonts w:eastAsia="黑体"/>
          <w:color w:val="auto"/>
          <w:highlight w:val="none"/>
        </w:rPr>
        <w:fldChar w:fldCharType="end"/>
      </w:r>
    </w:p>
    <w:p w14:paraId="796AA239">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_Toc7663 </w:instrText>
      </w:r>
      <w:r>
        <w:rPr>
          <w:rFonts w:eastAsia="黑体"/>
          <w:color w:val="auto"/>
          <w:highlight w:val="none"/>
        </w:rPr>
        <w:fldChar w:fldCharType="separate"/>
      </w:r>
      <w:r>
        <w:rPr>
          <w:rFonts w:hint="eastAsia" w:ascii="楷体" w:hAnsi="楷体" w:eastAsia="楷体"/>
          <w:color w:val="auto"/>
          <w:szCs w:val="28"/>
          <w:highlight w:val="none"/>
        </w:rPr>
        <w:t>3.对评标委员会成员的纪律要求</w:t>
      </w:r>
      <w:r>
        <w:rPr>
          <w:color w:val="auto"/>
          <w:highlight w:val="none"/>
        </w:rPr>
        <w:tab/>
      </w:r>
      <w:r>
        <w:rPr>
          <w:color w:val="auto"/>
          <w:highlight w:val="none"/>
        </w:rPr>
        <w:fldChar w:fldCharType="begin"/>
      </w:r>
      <w:r>
        <w:rPr>
          <w:color w:val="auto"/>
          <w:highlight w:val="none"/>
        </w:rPr>
        <w:instrText xml:space="preserve"> PAGEREF _Toc7663 \h </w:instrText>
      </w:r>
      <w:r>
        <w:rPr>
          <w:color w:val="auto"/>
          <w:highlight w:val="none"/>
        </w:rPr>
        <w:fldChar w:fldCharType="separate"/>
      </w:r>
      <w:r>
        <w:rPr>
          <w:color w:val="auto"/>
          <w:highlight w:val="none"/>
        </w:rPr>
        <w:t>56</w:t>
      </w:r>
      <w:r>
        <w:rPr>
          <w:color w:val="auto"/>
          <w:highlight w:val="none"/>
        </w:rPr>
        <w:fldChar w:fldCharType="end"/>
      </w:r>
      <w:r>
        <w:rPr>
          <w:rFonts w:eastAsia="黑体"/>
          <w:color w:val="auto"/>
          <w:highlight w:val="none"/>
        </w:rPr>
        <w:fldChar w:fldCharType="end"/>
      </w:r>
    </w:p>
    <w:p w14:paraId="70966509">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_Toc18935 </w:instrText>
      </w:r>
      <w:r>
        <w:rPr>
          <w:rFonts w:eastAsia="黑体"/>
          <w:color w:val="auto"/>
          <w:highlight w:val="none"/>
        </w:rPr>
        <w:fldChar w:fldCharType="separate"/>
      </w:r>
      <w:r>
        <w:rPr>
          <w:rFonts w:hint="eastAsia" w:ascii="楷体" w:hAnsi="楷体" w:eastAsia="楷体"/>
          <w:color w:val="auto"/>
          <w:szCs w:val="28"/>
          <w:highlight w:val="none"/>
        </w:rPr>
        <w:t>4.对与评标活动有关的工作人员的纪律要求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_Toc18935 \h </w:instrText>
      </w:r>
      <w:r>
        <w:rPr>
          <w:color w:val="auto"/>
          <w:highlight w:val="none"/>
        </w:rPr>
        <w:fldChar w:fldCharType="separate"/>
      </w:r>
      <w:r>
        <w:rPr>
          <w:color w:val="auto"/>
          <w:highlight w:val="none"/>
        </w:rPr>
        <w:t>56</w:t>
      </w:r>
      <w:r>
        <w:rPr>
          <w:color w:val="auto"/>
          <w:highlight w:val="none"/>
        </w:rPr>
        <w:fldChar w:fldCharType="end"/>
      </w:r>
      <w:r>
        <w:rPr>
          <w:rFonts w:eastAsia="黑体"/>
          <w:color w:val="auto"/>
          <w:highlight w:val="none"/>
        </w:rPr>
        <w:fldChar w:fldCharType="end"/>
      </w:r>
    </w:p>
    <w:p w14:paraId="064C93DC">
      <w:pPr>
        <w:pStyle w:val="18"/>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_Toc29319 </w:instrText>
      </w:r>
      <w:r>
        <w:rPr>
          <w:rFonts w:eastAsia="黑体"/>
          <w:color w:val="auto"/>
          <w:highlight w:val="none"/>
        </w:rPr>
        <w:fldChar w:fldCharType="separate"/>
      </w:r>
      <w:r>
        <w:rPr>
          <w:rFonts w:ascii="黑体" w:hAnsi="黑体" w:eastAsia="黑体"/>
          <w:color w:val="auto"/>
          <w:szCs w:val="28"/>
          <w:highlight w:val="none"/>
        </w:rPr>
        <w:t>第九章</w:t>
      </w:r>
      <w:r>
        <w:rPr>
          <w:rFonts w:hint="eastAsia" w:ascii="黑体" w:hAnsi="黑体" w:eastAsia="黑体"/>
          <w:color w:val="auto"/>
          <w:szCs w:val="28"/>
          <w:highlight w:val="none"/>
        </w:rPr>
        <w:t xml:space="preserve">  签订合同、合同主要条款</w:t>
      </w:r>
      <w:r>
        <w:rPr>
          <w:color w:val="auto"/>
          <w:highlight w:val="none"/>
        </w:rPr>
        <w:tab/>
      </w:r>
      <w:r>
        <w:rPr>
          <w:color w:val="auto"/>
          <w:highlight w:val="none"/>
        </w:rPr>
        <w:fldChar w:fldCharType="begin"/>
      </w:r>
      <w:r>
        <w:rPr>
          <w:color w:val="auto"/>
          <w:highlight w:val="none"/>
        </w:rPr>
        <w:instrText xml:space="preserve"> PAGEREF _Toc29319 \h </w:instrText>
      </w:r>
      <w:r>
        <w:rPr>
          <w:color w:val="auto"/>
          <w:highlight w:val="none"/>
        </w:rPr>
        <w:fldChar w:fldCharType="separate"/>
      </w:r>
      <w:r>
        <w:rPr>
          <w:color w:val="auto"/>
          <w:highlight w:val="none"/>
        </w:rPr>
        <w:t>57</w:t>
      </w:r>
      <w:r>
        <w:rPr>
          <w:color w:val="auto"/>
          <w:highlight w:val="none"/>
        </w:rPr>
        <w:fldChar w:fldCharType="end"/>
      </w:r>
      <w:r>
        <w:rPr>
          <w:rFonts w:eastAsia="黑体"/>
          <w:color w:val="auto"/>
          <w:highlight w:val="none"/>
        </w:rPr>
        <w:fldChar w:fldCharType="end"/>
      </w:r>
    </w:p>
    <w:p w14:paraId="1F534081">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_Toc10831 </w:instrText>
      </w:r>
      <w:r>
        <w:rPr>
          <w:rFonts w:eastAsia="黑体"/>
          <w:color w:val="auto"/>
          <w:highlight w:val="none"/>
        </w:rPr>
        <w:fldChar w:fldCharType="separate"/>
      </w:r>
      <w:r>
        <w:rPr>
          <w:rFonts w:hint="eastAsia" w:ascii="楷体" w:hAnsi="楷体" w:eastAsia="楷体"/>
          <w:color w:val="auto"/>
          <w:szCs w:val="28"/>
          <w:highlight w:val="none"/>
        </w:rPr>
        <w:t>1.签订合同</w:t>
      </w:r>
      <w:r>
        <w:rPr>
          <w:color w:val="auto"/>
          <w:highlight w:val="none"/>
        </w:rPr>
        <w:tab/>
      </w:r>
      <w:r>
        <w:rPr>
          <w:color w:val="auto"/>
          <w:highlight w:val="none"/>
        </w:rPr>
        <w:fldChar w:fldCharType="begin"/>
      </w:r>
      <w:r>
        <w:rPr>
          <w:color w:val="auto"/>
          <w:highlight w:val="none"/>
        </w:rPr>
        <w:instrText xml:space="preserve"> PAGEREF _Toc10831 \h </w:instrText>
      </w:r>
      <w:r>
        <w:rPr>
          <w:color w:val="auto"/>
          <w:highlight w:val="none"/>
        </w:rPr>
        <w:fldChar w:fldCharType="separate"/>
      </w:r>
      <w:r>
        <w:rPr>
          <w:color w:val="auto"/>
          <w:highlight w:val="none"/>
        </w:rPr>
        <w:t>57</w:t>
      </w:r>
      <w:r>
        <w:rPr>
          <w:color w:val="auto"/>
          <w:highlight w:val="none"/>
        </w:rPr>
        <w:fldChar w:fldCharType="end"/>
      </w:r>
      <w:r>
        <w:rPr>
          <w:rFonts w:eastAsia="黑体"/>
          <w:color w:val="auto"/>
          <w:highlight w:val="none"/>
        </w:rPr>
        <w:fldChar w:fldCharType="end"/>
      </w:r>
    </w:p>
    <w:p w14:paraId="35612743">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_Toc2104 </w:instrText>
      </w:r>
      <w:r>
        <w:rPr>
          <w:rFonts w:eastAsia="黑体"/>
          <w:color w:val="auto"/>
          <w:highlight w:val="none"/>
        </w:rPr>
        <w:fldChar w:fldCharType="separate"/>
      </w:r>
      <w:r>
        <w:rPr>
          <w:rFonts w:hint="eastAsia" w:ascii="楷体" w:hAnsi="楷体" w:eastAsia="楷体"/>
          <w:color w:val="auto"/>
          <w:szCs w:val="28"/>
          <w:highlight w:val="none"/>
        </w:rPr>
        <w:t>2.追加合同金额</w:t>
      </w:r>
      <w:r>
        <w:rPr>
          <w:color w:val="auto"/>
          <w:highlight w:val="none"/>
        </w:rPr>
        <w:tab/>
      </w:r>
      <w:r>
        <w:rPr>
          <w:color w:val="auto"/>
          <w:highlight w:val="none"/>
        </w:rPr>
        <w:fldChar w:fldCharType="begin"/>
      </w:r>
      <w:r>
        <w:rPr>
          <w:color w:val="auto"/>
          <w:highlight w:val="none"/>
        </w:rPr>
        <w:instrText xml:space="preserve"> PAGEREF _Toc2104 \h </w:instrText>
      </w:r>
      <w:r>
        <w:rPr>
          <w:color w:val="auto"/>
          <w:highlight w:val="none"/>
        </w:rPr>
        <w:fldChar w:fldCharType="separate"/>
      </w:r>
      <w:r>
        <w:rPr>
          <w:color w:val="auto"/>
          <w:highlight w:val="none"/>
        </w:rPr>
        <w:t>57</w:t>
      </w:r>
      <w:r>
        <w:rPr>
          <w:color w:val="auto"/>
          <w:highlight w:val="none"/>
        </w:rPr>
        <w:fldChar w:fldCharType="end"/>
      </w:r>
      <w:r>
        <w:rPr>
          <w:rFonts w:eastAsia="黑体"/>
          <w:color w:val="auto"/>
          <w:highlight w:val="none"/>
        </w:rPr>
        <w:fldChar w:fldCharType="end"/>
      </w:r>
    </w:p>
    <w:p w14:paraId="10966CAC">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_Toc20911 </w:instrText>
      </w:r>
      <w:r>
        <w:rPr>
          <w:rFonts w:eastAsia="黑体"/>
          <w:color w:val="auto"/>
          <w:highlight w:val="none"/>
        </w:rPr>
        <w:fldChar w:fldCharType="separate"/>
      </w:r>
      <w:r>
        <w:rPr>
          <w:rFonts w:hint="eastAsia" w:ascii="楷体" w:hAnsi="楷体" w:eastAsia="楷体"/>
          <w:color w:val="auto"/>
          <w:szCs w:val="28"/>
          <w:highlight w:val="none"/>
        </w:rPr>
        <w:t>3.货物质量与验收</w:t>
      </w:r>
      <w:r>
        <w:rPr>
          <w:color w:val="auto"/>
          <w:highlight w:val="none"/>
        </w:rPr>
        <w:tab/>
      </w:r>
      <w:r>
        <w:rPr>
          <w:color w:val="auto"/>
          <w:highlight w:val="none"/>
        </w:rPr>
        <w:fldChar w:fldCharType="begin"/>
      </w:r>
      <w:r>
        <w:rPr>
          <w:color w:val="auto"/>
          <w:highlight w:val="none"/>
        </w:rPr>
        <w:instrText xml:space="preserve"> PAGEREF _Toc20911 \h </w:instrText>
      </w:r>
      <w:r>
        <w:rPr>
          <w:color w:val="auto"/>
          <w:highlight w:val="none"/>
        </w:rPr>
        <w:fldChar w:fldCharType="separate"/>
      </w:r>
      <w:r>
        <w:rPr>
          <w:color w:val="auto"/>
          <w:highlight w:val="none"/>
        </w:rPr>
        <w:t>57</w:t>
      </w:r>
      <w:r>
        <w:rPr>
          <w:color w:val="auto"/>
          <w:highlight w:val="none"/>
        </w:rPr>
        <w:fldChar w:fldCharType="end"/>
      </w:r>
      <w:r>
        <w:rPr>
          <w:rFonts w:eastAsia="黑体"/>
          <w:color w:val="auto"/>
          <w:highlight w:val="none"/>
        </w:rPr>
        <w:fldChar w:fldCharType="end"/>
      </w:r>
    </w:p>
    <w:p w14:paraId="43C13445">
      <w:pPr>
        <w:pStyle w:val="12"/>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_Toc13032 </w:instrText>
      </w:r>
      <w:r>
        <w:rPr>
          <w:rFonts w:eastAsia="黑体"/>
          <w:color w:val="auto"/>
          <w:highlight w:val="none"/>
        </w:rPr>
        <w:fldChar w:fldCharType="separate"/>
      </w:r>
      <w:r>
        <w:rPr>
          <w:rFonts w:hint="eastAsia" w:ascii="楷体" w:hAnsi="楷体" w:eastAsia="楷体"/>
          <w:color w:val="auto"/>
          <w:szCs w:val="28"/>
          <w:highlight w:val="none"/>
        </w:rPr>
        <w:t>4.合同主要条款</w:t>
      </w:r>
      <w:r>
        <w:rPr>
          <w:color w:val="auto"/>
          <w:highlight w:val="none"/>
        </w:rPr>
        <w:tab/>
      </w:r>
      <w:r>
        <w:rPr>
          <w:color w:val="auto"/>
          <w:highlight w:val="none"/>
        </w:rPr>
        <w:fldChar w:fldCharType="begin"/>
      </w:r>
      <w:r>
        <w:rPr>
          <w:color w:val="auto"/>
          <w:highlight w:val="none"/>
        </w:rPr>
        <w:instrText xml:space="preserve"> PAGEREF _Toc13032 \h </w:instrText>
      </w:r>
      <w:r>
        <w:rPr>
          <w:color w:val="auto"/>
          <w:highlight w:val="none"/>
        </w:rPr>
        <w:fldChar w:fldCharType="separate"/>
      </w:r>
      <w:r>
        <w:rPr>
          <w:color w:val="auto"/>
          <w:highlight w:val="none"/>
        </w:rPr>
        <w:t>58</w:t>
      </w:r>
      <w:r>
        <w:rPr>
          <w:color w:val="auto"/>
          <w:highlight w:val="none"/>
        </w:rPr>
        <w:fldChar w:fldCharType="end"/>
      </w:r>
      <w:r>
        <w:rPr>
          <w:rFonts w:eastAsia="黑体"/>
          <w:color w:val="auto"/>
          <w:highlight w:val="none"/>
        </w:rPr>
        <w:fldChar w:fldCharType="end"/>
      </w:r>
    </w:p>
    <w:p w14:paraId="4B63BDEE">
      <w:pPr>
        <w:pStyle w:val="18"/>
        <w:tabs>
          <w:tab w:val="right" w:leader="dot" w:pos="9072"/>
        </w:tabs>
        <w:rPr>
          <w:color w:val="auto"/>
          <w:highlight w:val="none"/>
        </w:rPr>
      </w:pPr>
      <w:r>
        <w:rPr>
          <w:rFonts w:eastAsia="黑体"/>
          <w:color w:val="auto"/>
          <w:highlight w:val="none"/>
        </w:rPr>
        <w:fldChar w:fldCharType="begin"/>
      </w:r>
      <w:r>
        <w:rPr>
          <w:rFonts w:eastAsia="黑体"/>
          <w:color w:val="auto"/>
          <w:highlight w:val="none"/>
        </w:rPr>
        <w:instrText xml:space="preserve"> HYPERLINK \l _Toc24783 </w:instrText>
      </w:r>
      <w:r>
        <w:rPr>
          <w:rFonts w:eastAsia="黑体"/>
          <w:color w:val="auto"/>
          <w:highlight w:val="none"/>
        </w:rPr>
        <w:fldChar w:fldCharType="separate"/>
      </w:r>
      <w:r>
        <w:rPr>
          <w:rFonts w:ascii="黑体" w:hAnsi="黑体" w:eastAsia="黑体"/>
          <w:color w:val="auto"/>
          <w:szCs w:val="28"/>
          <w:highlight w:val="none"/>
        </w:rPr>
        <w:t>第十章</w:t>
      </w:r>
      <w:r>
        <w:rPr>
          <w:rFonts w:hint="eastAsia" w:ascii="黑体" w:hAnsi="黑体" w:eastAsia="黑体"/>
          <w:color w:val="auto"/>
          <w:szCs w:val="28"/>
          <w:highlight w:val="none"/>
        </w:rPr>
        <w:t xml:space="preserve">  投标文件格式</w:t>
      </w:r>
      <w:r>
        <w:rPr>
          <w:color w:val="auto"/>
          <w:highlight w:val="none"/>
        </w:rPr>
        <w:tab/>
      </w:r>
      <w:r>
        <w:rPr>
          <w:color w:val="auto"/>
          <w:highlight w:val="none"/>
        </w:rPr>
        <w:fldChar w:fldCharType="begin"/>
      </w:r>
      <w:r>
        <w:rPr>
          <w:color w:val="auto"/>
          <w:highlight w:val="none"/>
        </w:rPr>
        <w:instrText xml:space="preserve"> PAGEREF _Toc24783 \h </w:instrText>
      </w:r>
      <w:r>
        <w:rPr>
          <w:color w:val="auto"/>
          <w:highlight w:val="none"/>
        </w:rPr>
        <w:fldChar w:fldCharType="separate"/>
      </w:r>
      <w:r>
        <w:rPr>
          <w:color w:val="auto"/>
          <w:highlight w:val="none"/>
        </w:rPr>
        <w:t>63</w:t>
      </w:r>
      <w:r>
        <w:rPr>
          <w:color w:val="auto"/>
          <w:highlight w:val="none"/>
        </w:rPr>
        <w:fldChar w:fldCharType="end"/>
      </w:r>
      <w:r>
        <w:rPr>
          <w:rFonts w:eastAsia="黑体"/>
          <w:color w:val="auto"/>
          <w:highlight w:val="none"/>
        </w:rPr>
        <w:fldChar w:fldCharType="end"/>
      </w:r>
    </w:p>
    <w:p w14:paraId="6D4D978C">
      <w:pPr>
        <w:rPr>
          <w:rFonts w:eastAsia="黑体"/>
          <w:color w:val="auto"/>
          <w:sz w:val="20"/>
          <w:highlight w:val="none"/>
        </w:rPr>
        <w:sectPr>
          <w:footerReference r:id="rId5" w:type="default"/>
          <w:pgSz w:w="11906" w:h="16838"/>
          <w:pgMar w:top="1417" w:right="1417" w:bottom="1417" w:left="1417"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eastAsia="黑体"/>
          <w:color w:val="auto"/>
          <w:highlight w:val="none"/>
        </w:rPr>
        <w:fldChar w:fldCharType="end"/>
      </w:r>
    </w:p>
    <w:p w14:paraId="6602200E">
      <w:pPr>
        <w:rPr>
          <w:rFonts w:hint="eastAsia" w:ascii="黑体" w:hAnsi="黑体" w:eastAsia="黑体"/>
          <w:color w:val="auto"/>
          <w:sz w:val="28"/>
          <w:szCs w:val="28"/>
          <w:highlight w:val="none"/>
        </w:rPr>
      </w:pPr>
    </w:p>
    <w:p w14:paraId="302263B9">
      <w:pPr>
        <w:spacing w:after="156" w:afterLines="50"/>
        <w:jc w:val="center"/>
        <w:outlineLvl w:val="1"/>
        <w:rPr>
          <w:rFonts w:hint="eastAsia" w:ascii="黑体" w:hAnsi="黑体" w:eastAsia="黑体"/>
          <w:color w:val="auto"/>
          <w:sz w:val="28"/>
          <w:szCs w:val="28"/>
          <w:highlight w:val="none"/>
        </w:rPr>
      </w:pPr>
      <w:bookmarkStart w:id="0" w:name="_Toc543"/>
      <w:r>
        <w:rPr>
          <w:rFonts w:hint="eastAsia" w:ascii="黑体" w:hAnsi="黑体" w:eastAsia="黑体"/>
          <w:color w:val="auto"/>
          <w:sz w:val="28"/>
          <w:szCs w:val="28"/>
          <w:highlight w:val="none"/>
        </w:rPr>
        <w:t>第一章  招标公告</w:t>
      </w:r>
      <w:bookmarkEnd w:id="0"/>
    </w:p>
    <w:p w14:paraId="4E8D61E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嘉信全过程项目咨询管理有限公司受</w:t>
      </w:r>
      <w:r>
        <w:rPr>
          <w:rFonts w:hint="eastAsia" w:ascii="仿宋" w:hAnsi="仿宋" w:eastAsia="仿宋"/>
          <w:color w:val="auto"/>
          <w:sz w:val="24"/>
          <w:szCs w:val="24"/>
          <w:highlight w:val="none"/>
          <w:lang w:eastAsia="zh-CN"/>
        </w:rPr>
        <w:t>山东大学齐鲁医院（青岛）</w:t>
      </w:r>
      <w:r>
        <w:rPr>
          <w:rFonts w:hint="eastAsia" w:ascii="仿宋" w:hAnsi="仿宋" w:eastAsia="仿宋"/>
          <w:color w:val="auto"/>
          <w:sz w:val="24"/>
          <w:szCs w:val="24"/>
          <w:highlight w:val="none"/>
        </w:rPr>
        <w:t>的委托，对</w:t>
      </w:r>
      <w:r>
        <w:rPr>
          <w:rFonts w:hint="eastAsia" w:ascii="仿宋" w:hAnsi="仿宋" w:eastAsia="仿宋"/>
          <w:color w:val="auto"/>
          <w:sz w:val="24"/>
          <w:szCs w:val="24"/>
          <w:highlight w:val="none"/>
          <w:lang w:eastAsia="zh-CN"/>
        </w:rPr>
        <w:t>山东大学齐鲁医院（青岛）康复科设备包采购项目</w:t>
      </w:r>
      <w:r>
        <w:rPr>
          <w:rFonts w:hint="eastAsia" w:ascii="仿宋" w:hAnsi="仿宋" w:eastAsia="仿宋"/>
          <w:color w:val="auto"/>
          <w:sz w:val="24"/>
          <w:szCs w:val="24"/>
          <w:highlight w:val="none"/>
        </w:rPr>
        <w:t>以公开招标方式组织采购，欢迎符合条件的投标人参加投标。</w:t>
      </w:r>
    </w:p>
    <w:p w14:paraId="072D34BA">
      <w:pPr>
        <w:spacing w:line="360" w:lineRule="auto"/>
        <w:ind w:firstLine="560" w:firstLineChars="200"/>
        <w:rPr>
          <w:rStyle w:val="38"/>
          <w:rFonts w:hint="eastAsia" w:ascii="仿宋" w:hAnsi="仿宋" w:eastAsia="仿宋" w:cs="仿宋"/>
          <w:color w:val="auto"/>
          <w:sz w:val="24"/>
          <w:szCs w:val="24"/>
          <w:highlight w:val="none"/>
        </w:rPr>
      </w:pPr>
      <w:r>
        <w:rPr>
          <w:rStyle w:val="38"/>
          <w:rFonts w:hint="eastAsia"/>
          <w:color w:val="auto"/>
          <w:highlight w:val="none"/>
        </w:rPr>
        <w:t>1.项目编号：</w:t>
      </w:r>
      <w:r>
        <w:rPr>
          <w:rStyle w:val="38"/>
          <w:rFonts w:hint="eastAsia" w:ascii="仿宋" w:hAnsi="仿宋" w:eastAsia="仿宋" w:cs="仿宋"/>
          <w:color w:val="auto"/>
          <w:sz w:val="24"/>
          <w:szCs w:val="24"/>
          <w:highlight w:val="none"/>
          <w:lang w:eastAsia="zh-CN"/>
        </w:rPr>
        <w:t>JXQGC-01-20260809</w:t>
      </w:r>
      <w:r>
        <w:rPr>
          <w:rStyle w:val="38"/>
          <w:rFonts w:hint="eastAsia" w:ascii="仿宋" w:hAnsi="仿宋" w:eastAsia="仿宋" w:cs="仿宋"/>
          <w:color w:val="auto"/>
          <w:sz w:val="24"/>
          <w:szCs w:val="24"/>
          <w:highlight w:val="none"/>
        </w:rPr>
        <w:t xml:space="preserve"> </w:t>
      </w:r>
    </w:p>
    <w:p w14:paraId="60E0EF38">
      <w:pPr>
        <w:spacing w:line="360" w:lineRule="auto"/>
        <w:ind w:firstLine="560" w:firstLineChars="200"/>
        <w:rPr>
          <w:rStyle w:val="38"/>
          <w:rFonts w:hint="eastAsia" w:ascii="仿宋" w:hAnsi="仿宋" w:eastAsia="楷体" w:cs="仿宋"/>
          <w:color w:val="auto"/>
          <w:sz w:val="24"/>
          <w:szCs w:val="24"/>
          <w:highlight w:val="none"/>
          <w:lang w:eastAsia="zh-CN"/>
        </w:rPr>
      </w:pPr>
      <w:r>
        <w:rPr>
          <w:rStyle w:val="38"/>
          <w:rFonts w:hint="eastAsia"/>
          <w:color w:val="auto"/>
          <w:highlight w:val="none"/>
        </w:rPr>
        <w:t>2.项目名称：</w:t>
      </w:r>
      <w:r>
        <w:rPr>
          <w:rStyle w:val="38"/>
          <w:rFonts w:hint="eastAsia" w:ascii="仿宋" w:hAnsi="仿宋" w:eastAsia="仿宋" w:cs="仿宋"/>
          <w:color w:val="auto"/>
          <w:sz w:val="24"/>
          <w:szCs w:val="24"/>
          <w:highlight w:val="none"/>
          <w:lang w:eastAsia="zh-CN"/>
        </w:rPr>
        <w:t>山东大学齐鲁医院（青岛）康复科设备包采购项目</w:t>
      </w:r>
    </w:p>
    <w:p w14:paraId="71DE87E4">
      <w:pPr>
        <w:spacing w:line="360" w:lineRule="auto"/>
        <w:ind w:firstLine="560" w:firstLineChars="200"/>
        <w:rPr>
          <w:rFonts w:hint="eastAsia" w:ascii="仿宋" w:hAnsi="仿宋" w:eastAsia="仿宋"/>
          <w:color w:val="auto"/>
          <w:kern w:val="1"/>
          <w:sz w:val="24"/>
          <w:szCs w:val="24"/>
          <w:highlight w:val="none"/>
        </w:rPr>
      </w:pPr>
      <w:r>
        <w:rPr>
          <w:rStyle w:val="38"/>
          <w:rFonts w:hint="eastAsia"/>
          <w:color w:val="auto"/>
          <w:highlight w:val="none"/>
        </w:rPr>
        <w:t>3.项目内容：</w:t>
      </w:r>
      <w:r>
        <w:rPr>
          <w:rStyle w:val="38"/>
          <w:rFonts w:hint="eastAsia" w:ascii="仿宋" w:hAnsi="仿宋" w:eastAsia="仿宋" w:cs="仿宋"/>
          <w:color w:val="auto"/>
          <w:sz w:val="24"/>
          <w:szCs w:val="24"/>
          <w:highlight w:val="none"/>
          <w:lang w:val="en-US" w:eastAsia="zh-CN"/>
        </w:rPr>
        <w:t>第一包：康复科设备包1，第二包：康复科设备包2</w:t>
      </w:r>
      <w:r>
        <w:rPr>
          <w:rStyle w:val="38"/>
          <w:rFonts w:hint="eastAsia" w:ascii="仿宋" w:hAnsi="仿宋" w:eastAsia="仿宋" w:cs="仿宋"/>
          <w:color w:val="auto"/>
          <w:sz w:val="24"/>
          <w:szCs w:val="24"/>
          <w:highlight w:val="none"/>
          <w:lang w:eastAsia="zh-CN"/>
        </w:rPr>
        <w:t>，具体详见采购需求。</w:t>
      </w:r>
    </w:p>
    <w:p w14:paraId="40260909">
      <w:pPr>
        <w:spacing w:line="360" w:lineRule="auto"/>
        <w:ind w:firstLine="560" w:firstLineChars="200"/>
        <w:rPr>
          <w:rStyle w:val="38"/>
          <w:rFonts w:hint="default" w:eastAsia="楷体"/>
          <w:color w:val="auto"/>
          <w:highlight w:val="none"/>
          <w:lang w:val="en-US" w:eastAsia="zh-CN"/>
        </w:rPr>
      </w:pPr>
      <w:r>
        <w:rPr>
          <w:rStyle w:val="38"/>
          <w:rFonts w:hint="eastAsia"/>
          <w:color w:val="auto"/>
          <w:highlight w:val="none"/>
        </w:rPr>
        <w:t>4.采购预算：</w:t>
      </w:r>
      <w:r>
        <w:rPr>
          <w:rStyle w:val="38"/>
          <w:rFonts w:hint="eastAsia" w:ascii="仿宋" w:hAnsi="仿宋" w:eastAsia="仿宋" w:cs="仿宋"/>
          <w:color w:val="auto"/>
          <w:sz w:val="24"/>
          <w:szCs w:val="24"/>
          <w:highlight w:val="none"/>
          <w:lang w:val="en-US" w:eastAsia="zh-CN"/>
        </w:rPr>
        <w:t>本项目采购预算为：79.164万元，其中</w:t>
      </w:r>
    </w:p>
    <w:p w14:paraId="7E0B990D">
      <w:pPr>
        <w:spacing w:line="360" w:lineRule="auto"/>
        <w:ind w:firstLine="560" w:firstLineChars="200"/>
        <w:rPr>
          <w:rStyle w:val="38"/>
          <w:rFonts w:hint="eastAsia" w:eastAsia="仿宋"/>
          <w:color w:val="auto"/>
          <w:highlight w:val="none"/>
          <w:lang w:eastAsia="zh-CN"/>
        </w:rPr>
      </w:pPr>
      <w:r>
        <w:rPr>
          <w:rStyle w:val="38"/>
          <w:rFonts w:hint="eastAsia" w:eastAsia="仿宋"/>
          <w:color w:val="auto"/>
          <w:highlight w:val="none"/>
          <w:lang w:val="en-US" w:eastAsia="zh-CN"/>
        </w:rPr>
        <w:t>第一包：</w:t>
      </w:r>
      <w:r>
        <w:rPr>
          <w:rFonts w:hint="eastAsia" w:ascii="仿宋" w:hAnsi="仿宋" w:eastAsia="仿宋"/>
          <w:color w:val="auto"/>
          <w:kern w:val="1"/>
          <w:sz w:val="24"/>
          <w:szCs w:val="24"/>
          <w:highlight w:val="none"/>
        </w:rPr>
        <w:t>采购预算为</w:t>
      </w:r>
      <w:r>
        <w:rPr>
          <w:rFonts w:hint="eastAsia" w:ascii="仿宋" w:hAnsi="仿宋" w:eastAsia="仿宋"/>
          <w:color w:val="auto"/>
          <w:kern w:val="1"/>
          <w:sz w:val="24"/>
          <w:szCs w:val="24"/>
          <w:highlight w:val="none"/>
          <w:lang w:val="en-US" w:eastAsia="zh-CN"/>
        </w:rPr>
        <w:t>42.404</w:t>
      </w:r>
      <w:r>
        <w:rPr>
          <w:rFonts w:hint="eastAsia" w:ascii="仿宋" w:hAnsi="仿宋" w:eastAsia="仿宋"/>
          <w:color w:val="auto"/>
          <w:kern w:val="1"/>
          <w:sz w:val="24"/>
          <w:szCs w:val="24"/>
          <w:highlight w:val="none"/>
        </w:rPr>
        <w:t>万元</w:t>
      </w:r>
      <w:r>
        <w:rPr>
          <w:rFonts w:hint="eastAsia" w:ascii="仿宋" w:hAnsi="仿宋" w:eastAsia="仿宋"/>
          <w:color w:val="auto"/>
          <w:kern w:val="1"/>
          <w:sz w:val="24"/>
          <w:szCs w:val="24"/>
          <w:highlight w:val="none"/>
          <w:lang w:eastAsia="zh-CN"/>
        </w:rPr>
        <w:t>；</w:t>
      </w:r>
    </w:p>
    <w:p w14:paraId="6CE90CBC">
      <w:pPr>
        <w:spacing w:line="360" w:lineRule="auto"/>
        <w:ind w:firstLine="560" w:firstLineChars="200"/>
        <w:rPr>
          <w:rStyle w:val="38"/>
          <w:rFonts w:hint="eastAsia" w:eastAsia="仿宋"/>
          <w:color w:val="auto"/>
          <w:highlight w:val="none"/>
          <w:lang w:val="en-US" w:eastAsia="zh-CN"/>
        </w:rPr>
      </w:pPr>
      <w:r>
        <w:rPr>
          <w:rStyle w:val="38"/>
          <w:rFonts w:hint="eastAsia" w:eastAsia="仿宋"/>
          <w:color w:val="auto"/>
          <w:highlight w:val="none"/>
          <w:lang w:val="en-US" w:eastAsia="zh-CN"/>
        </w:rPr>
        <w:t>第二包：</w:t>
      </w:r>
      <w:r>
        <w:rPr>
          <w:rFonts w:hint="eastAsia" w:ascii="仿宋" w:hAnsi="仿宋" w:eastAsia="仿宋"/>
          <w:color w:val="auto"/>
          <w:kern w:val="1"/>
          <w:sz w:val="24"/>
          <w:szCs w:val="24"/>
          <w:highlight w:val="none"/>
        </w:rPr>
        <w:t>采购预算为36.76万元。</w:t>
      </w:r>
    </w:p>
    <w:p w14:paraId="7A5A7F25">
      <w:pPr>
        <w:spacing w:line="360" w:lineRule="auto"/>
        <w:ind w:firstLine="560" w:firstLineChars="200"/>
        <w:rPr>
          <w:rStyle w:val="38"/>
          <w:rFonts w:hint="eastAsia"/>
          <w:color w:val="auto"/>
          <w:highlight w:val="none"/>
        </w:rPr>
      </w:pPr>
      <w:r>
        <w:rPr>
          <w:rStyle w:val="38"/>
          <w:rFonts w:hint="eastAsia"/>
          <w:color w:val="auto"/>
          <w:highlight w:val="none"/>
        </w:rPr>
        <w:t>5.投标人资格要求</w:t>
      </w:r>
    </w:p>
    <w:p w14:paraId="7B7A3C2B">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lang w:val="en-US" w:eastAsia="zh-CN"/>
        </w:rPr>
        <w:t>5.</w:t>
      </w:r>
      <w:r>
        <w:rPr>
          <w:rFonts w:hint="eastAsia" w:ascii="仿宋" w:hAnsi="仿宋" w:eastAsia="仿宋"/>
          <w:color w:val="auto"/>
          <w:kern w:val="1"/>
          <w:sz w:val="24"/>
          <w:szCs w:val="24"/>
          <w:highlight w:val="none"/>
        </w:rPr>
        <w:t>1符合《中华人民共和国政府采购法》第二十二条的规定；</w:t>
      </w:r>
    </w:p>
    <w:p w14:paraId="351C75EF">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lang w:val="en-US" w:eastAsia="zh-CN"/>
        </w:rPr>
        <w:t>5.2</w:t>
      </w:r>
      <w:r>
        <w:rPr>
          <w:rFonts w:hint="eastAsia" w:ascii="仿宋" w:hAnsi="仿宋" w:eastAsia="仿宋"/>
          <w:color w:val="auto"/>
          <w:kern w:val="1"/>
          <w:sz w:val="24"/>
          <w:szCs w:val="24"/>
          <w:highlight w:val="none"/>
        </w:rPr>
        <w:t>落实政府采购政策需满足的资格要求：本项目专门面向中小微企业采购；</w:t>
      </w:r>
    </w:p>
    <w:p w14:paraId="2EE90E05">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lang w:val="en-US" w:eastAsia="zh-CN"/>
        </w:rPr>
        <w:t>5.3</w:t>
      </w:r>
      <w:r>
        <w:rPr>
          <w:rFonts w:hint="eastAsia" w:ascii="仿宋" w:hAnsi="仿宋" w:eastAsia="仿宋"/>
          <w:color w:val="auto"/>
          <w:kern w:val="1"/>
          <w:sz w:val="24"/>
          <w:szCs w:val="24"/>
          <w:highlight w:val="none"/>
        </w:rPr>
        <w:t>本项目的特定资格要求：</w:t>
      </w:r>
    </w:p>
    <w:p w14:paraId="2F4DF659">
      <w:pPr>
        <w:spacing w:line="360" w:lineRule="auto"/>
        <w:ind w:firstLine="480" w:firstLineChars="200"/>
        <w:rPr>
          <w:rFonts w:hint="eastAsia" w:ascii="仿宋" w:hAnsi="仿宋" w:eastAsia="仿宋"/>
          <w:color w:val="auto"/>
          <w:kern w:val="1"/>
          <w:sz w:val="24"/>
          <w:szCs w:val="24"/>
          <w:highlight w:val="none"/>
          <w:lang w:val="en-US" w:eastAsia="zh-CN"/>
        </w:rPr>
      </w:pPr>
      <w:r>
        <w:rPr>
          <w:rFonts w:hint="eastAsia" w:ascii="仿宋" w:hAnsi="仿宋" w:eastAsia="仿宋"/>
          <w:color w:val="auto"/>
          <w:kern w:val="1"/>
          <w:sz w:val="24"/>
          <w:szCs w:val="24"/>
          <w:highlight w:val="none"/>
          <w:lang w:val="en-US" w:eastAsia="zh-CN"/>
        </w:rPr>
        <w:t xml:space="preserve">5.3.1投标人须按照国家最新的《医疗器械监督管理条例》的规定生产或经营医疗器械； </w:t>
      </w:r>
    </w:p>
    <w:p w14:paraId="7389A685">
      <w:pPr>
        <w:spacing w:line="360" w:lineRule="auto"/>
        <w:ind w:firstLine="480" w:firstLineChars="200"/>
        <w:rPr>
          <w:rFonts w:hint="eastAsia" w:ascii="仿宋" w:hAnsi="仿宋" w:eastAsia="仿宋"/>
          <w:color w:val="auto"/>
          <w:kern w:val="1"/>
          <w:sz w:val="24"/>
          <w:szCs w:val="24"/>
          <w:highlight w:val="none"/>
          <w:lang w:val="en-US" w:eastAsia="zh-CN"/>
        </w:rPr>
      </w:pPr>
      <w:r>
        <w:rPr>
          <w:rFonts w:hint="eastAsia" w:ascii="仿宋" w:hAnsi="仿宋" w:eastAsia="仿宋"/>
          <w:color w:val="auto"/>
          <w:kern w:val="1"/>
          <w:sz w:val="24"/>
          <w:szCs w:val="24"/>
          <w:highlight w:val="none"/>
          <w:lang w:val="en-US" w:eastAsia="zh-CN"/>
        </w:rPr>
        <w:t>5.3.2所投产品为医疗器械的须提供所投产品医疗器械注册证或医疗器械备案凭证；</w:t>
      </w:r>
    </w:p>
    <w:p w14:paraId="57268E36">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lang w:val="en-US" w:eastAsia="zh-CN"/>
        </w:rPr>
        <w:t>5.3.3</w:t>
      </w:r>
      <w:r>
        <w:rPr>
          <w:rFonts w:hint="eastAsia" w:ascii="仿宋" w:hAnsi="仿宋" w:eastAsia="仿宋"/>
          <w:color w:val="auto"/>
          <w:kern w:val="1"/>
          <w:sz w:val="24"/>
          <w:szCs w:val="24"/>
          <w:highlight w:val="none"/>
        </w:rPr>
        <w:t>通过“信用中国”（www.creditchina.gov.cn）、“中国政府采购网”（www.ccgp.gov.cn）、“信用山东”(http://credit.shandong.gov.cn)及“信用青岛”（http://www.qingdao.gov.cn/credit）网站查询，未被列入失信被执行人、重大税收违法失信主体、政府采购严重违法失信行为记录名单；</w:t>
      </w:r>
    </w:p>
    <w:p w14:paraId="68929B3A">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lang w:val="en-US" w:eastAsia="zh-CN"/>
        </w:rPr>
        <w:t>5.</w:t>
      </w:r>
      <w:r>
        <w:rPr>
          <w:rFonts w:hint="eastAsia" w:ascii="仿宋" w:hAnsi="仿宋" w:eastAsia="仿宋"/>
          <w:color w:val="auto"/>
          <w:kern w:val="1"/>
          <w:sz w:val="24"/>
          <w:szCs w:val="24"/>
          <w:highlight w:val="none"/>
        </w:rPr>
        <w:t>3.</w:t>
      </w:r>
      <w:r>
        <w:rPr>
          <w:rFonts w:hint="eastAsia" w:ascii="仿宋" w:hAnsi="仿宋" w:eastAsia="仿宋"/>
          <w:color w:val="auto"/>
          <w:kern w:val="1"/>
          <w:sz w:val="24"/>
          <w:szCs w:val="24"/>
          <w:highlight w:val="none"/>
          <w:lang w:val="en-US" w:eastAsia="zh-CN"/>
        </w:rPr>
        <w:t>4</w:t>
      </w:r>
      <w:r>
        <w:rPr>
          <w:rFonts w:hint="eastAsia" w:ascii="仿宋" w:hAnsi="仿宋" w:eastAsia="仿宋"/>
          <w:color w:val="auto"/>
          <w:kern w:val="1"/>
          <w:sz w:val="24"/>
          <w:szCs w:val="24"/>
          <w:highlight w:val="none"/>
        </w:rPr>
        <w:t>单位负责人为同一人或者存在直接控股、管理关系的不同投标人,不得参加同一合同项下的采购活动；</w:t>
      </w:r>
    </w:p>
    <w:p w14:paraId="57DA2E93">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lang w:val="en-US" w:eastAsia="zh-CN"/>
        </w:rPr>
        <w:t>5.</w:t>
      </w:r>
      <w:r>
        <w:rPr>
          <w:rFonts w:hint="eastAsia" w:ascii="仿宋" w:hAnsi="仿宋" w:eastAsia="仿宋"/>
          <w:color w:val="auto"/>
          <w:kern w:val="1"/>
          <w:sz w:val="24"/>
          <w:szCs w:val="24"/>
          <w:highlight w:val="none"/>
        </w:rPr>
        <w:t>3.</w:t>
      </w:r>
      <w:r>
        <w:rPr>
          <w:rFonts w:hint="eastAsia" w:ascii="仿宋" w:hAnsi="仿宋" w:eastAsia="仿宋"/>
          <w:color w:val="auto"/>
          <w:kern w:val="1"/>
          <w:sz w:val="24"/>
          <w:szCs w:val="24"/>
          <w:highlight w:val="none"/>
          <w:lang w:val="en-US" w:eastAsia="zh-CN"/>
        </w:rPr>
        <w:t>5</w:t>
      </w:r>
      <w:r>
        <w:rPr>
          <w:rFonts w:hint="eastAsia" w:ascii="仿宋" w:hAnsi="仿宋" w:eastAsia="仿宋"/>
          <w:color w:val="auto"/>
          <w:kern w:val="1"/>
          <w:sz w:val="24"/>
          <w:szCs w:val="24"/>
          <w:highlight w:val="none"/>
        </w:rPr>
        <w:t>为采购项目提供整体设计、规范编制或者项目管理、监理、检测等服务的投标人，不得再参加该采购项目的其他采购活动；</w:t>
      </w:r>
    </w:p>
    <w:p w14:paraId="521FF60D">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lang w:val="en-US" w:eastAsia="zh-CN"/>
        </w:rPr>
        <w:t>5.</w:t>
      </w:r>
      <w:r>
        <w:rPr>
          <w:rFonts w:hint="eastAsia" w:ascii="仿宋" w:hAnsi="仿宋" w:eastAsia="仿宋"/>
          <w:color w:val="auto"/>
          <w:kern w:val="1"/>
          <w:sz w:val="24"/>
          <w:szCs w:val="24"/>
          <w:highlight w:val="none"/>
        </w:rPr>
        <w:t>3.</w:t>
      </w:r>
      <w:r>
        <w:rPr>
          <w:rFonts w:hint="eastAsia" w:ascii="仿宋" w:hAnsi="仿宋" w:eastAsia="仿宋"/>
          <w:color w:val="auto"/>
          <w:kern w:val="1"/>
          <w:sz w:val="24"/>
          <w:szCs w:val="24"/>
          <w:highlight w:val="none"/>
          <w:lang w:val="en-US" w:eastAsia="zh-CN"/>
        </w:rPr>
        <w:t>6</w:t>
      </w:r>
      <w:r>
        <w:rPr>
          <w:rFonts w:hint="eastAsia" w:ascii="仿宋" w:hAnsi="仿宋" w:eastAsia="仿宋"/>
          <w:color w:val="auto"/>
          <w:kern w:val="1"/>
          <w:sz w:val="24"/>
          <w:szCs w:val="24"/>
          <w:highlight w:val="none"/>
        </w:rPr>
        <w:t>本项目不接受联合体投标。</w:t>
      </w:r>
    </w:p>
    <w:p w14:paraId="326CD603">
      <w:pPr>
        <w:spacing w:line="360" w:lineRule="auto"/>
        <w:ind w:firstLine="560" w:firstLineChars="200"/>
        <w:rPr>
          <w:rStyle w:val="38"/>
          <w:rFonts w:hint="eastAsia"/>
          <w:color w:val="auto"/>
          <w:highlight w:val="none"/>
        </w:rPr>
      </w:pPr>
      <w:r>
        <w:rPr>
          <w:rStyle w:val="38"/>
          <w:rFonts w:hint="eastAsia"/>
          <w:color w:val="auto"/>
          <w:highlight w:val="none"/>
        </w:rPr>
        <w:t>6.公告媒介</w:t>
      </w:r>
    </w:p>
    <w:p w14:paraId="006C19E6">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rPr>
        <w:t>本次招标公告在</w:t>
      </w:r>
      <w:r>
        <w:rPr>
          <w:rFonts w:hint="eastAsia" w:ascii="仿宋" w:hAnsi="仿宋" w:eastAsia="仿宋"/>
          <w:color w:val="auto"/>
          <w:kern w:val="1"/>
          <w:sz w:val="24"/>
          <w:szCs w:val="24"/>
          <w:highlight w:val="none"/>
          <w:lang w:eastAsia="zh-CN"/>
        </w:rPr>
        <w:t>中国招标投标公共服务平台和山东大学齐鲁医院（青岛）官网</w:t>
      </w:r>
      <w:r>
        <w:rPr>
          <w:rFonts w:hint="eastAsia" w:ascii="仿宋" w:hAnsi="仿宋" w:eastAsia="仿宋"/>
          <w:color w:val="auto"/>
          <w:kern w:val="1"/>
          <w:sz w:val="24"/>
          <w:szCs w:val="24"/>
          <w:highlight w:val="none"/>
        </w:rPr>
        <w:t>上发布。</w:t>
      </w:r>
    </w:p>
    <w:p w14:paraId="189BB70F">
      <w:pPr>
        <w:spacing w:line="360" w:lineRule="auto"/>
        <w:ind w:firstLine="560" w:firstLineChars="200"/>
        <w:rPr>
          <w:rStyle w:val="38"/>
          <w:rFonts w:hint="eastAsia"/>
          <w:color w:val="auto"/>
          <w:highlight w:val="none"/>
        </w:rPr>
      </w:pPr>
      <w:r>
        <w:rPr>
          <w:rStyle w:val="38"/>
          <w:rFonts w:hint="eastAsia"/>
          <w:color w:val="auto"/>
          <w:highlight w:val="none"/>
        </w:rPr>
        <w:t>7.招标文件的获取</w:t>
      </w:r>
    </w:p>
    <w:p w14:paraId="32B18698">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rPr>
        <w:t>7.</w:t>
      </w:r>
      <w:r>
        <w:rPr>
          <w:rFonts w:ascii="仿宋" w:hAnsi="仿宋" w:eastAsia="仿宋"/>
          <w:color w:val="auto"/>
          <w:kern w:val="1"/>
          <w:sz w:val="24"/>
          <w:szCs w:val="24"/>
          <w:highlight w:val="none"/>
        </w:rPr>
        <w:t>1</w:t>
      </w:r>
      <w:r>
        <w:rPr>
          <w:rFonts w:hint="eastAsia" w:ascii="仿宋" w:hAnsi="仿宋" w:eastAsia="仿宋"/>
          <w:color w:val="auto"/>
          <w:kern w:val="1"/>
          <w:sz w:val="24"/>
          <w:szCs w:val="24"/>
          <w:highlight w:val="none"/>
        </w:rPr>
        <w:t>时间：自202</w:t>
      </w:r>
      <w:r>
        <w:rPr>
          <w:rFonts w:hint="eastAsia" w:ascii="仿宋" w:hAnsi="仿宋" w:eastAsia="仿宋"/>
          <w:color w:val="auto"/>
          <w:kern w:val="1"/>
          <w:sz w:val="24"/>
          <w:szCs w:val="24"/>
          <w:highlight w:val="none"/>
          <w:lang w:val="en-US" w:eastAsia="zh-CN"/>
        </w:rPr>
        <w:t>6</w:t>
      </w:r>
      <w:r>
        <w:rPr>
          <w:rFonts w:hint="eastAsia" w:ascii="仿宋" w:hAnsi="仿宋" w:eastAsia="仿宋"/>
          <w:color w:val="auto"/>
          <w:kern w:val="1"/>
          <w:sz w:val="24"/>
          <w:szCs w:val="24"/>
          <w:highlight w:val="none"/>
        </w:rPr>
        <w:t>年</w:t>
      </w:r>
      <w:r>
        <w:rPr>
          <w:rFonts w:hint="eastAsia" w:ascii="仿宋" w:hAnsi="仿宋" w:eastAsia="仿宋"/>
          <w:color w:val="auto"/>
          <w:kern w:val="1"/>
          <w:sz w:val="24"/>
          <w:szCs w:val="24"/>
          <w:highlight w:val="none"/>
          <w:lang w:val="en-US" w:eastAsia="zh-CN"/>
        </w:rPr>
        <w:t>8</w:t>
      </w:r>
      <w:r>
        <w:rPr>
          <w:rFonts w:hint="eastAsia" w:ascii="仿宋" w:hAnsi="仿宋" w:eastAsia="仿宋"/>
          <w:color w:val="auto"/>
          <w:kern w:val="1"/>
          <w:sz w:val="24"/>
          <w:szCs w:val="24"/>
          <w:highlight w:val="none"/>
        </w:rPr>
        <w:t>月</w:t>
      </w:r>
      <w:r>
        <w:rPr>
          <w:rFonts w:hint="eastAsia" w:ascii="仿宋" w:hAnsi="仿宋" w:eastAsia="仿宋"/>
          <w:color w:val="auto"/>
          <w:kern w:val="1"/>
          <w:sz w:val="24"/>
          <w:szCs w:val="24"/>
          <w:highlight w:val="none"/>
          <w:lang w:val="en-US" w:eastAsia="zh-CN"/>
        </w:rPr>
        <w:t>20</w:t>
      </w:r>
      <w:r>
        <w:rPr>
          <w:rFonts w:hint="eastAsia" w:ascii="仿宋" w:hAnsi="仿宋" w:eastAsia="仿宋"/>
          <w:color w:val="auto"/>
          <w:kern w:val="1"/>
          <w:sz w:val="24"/>
          <w:szCs w:val="24"/>
          <w:highlight w:val="none"/>
        </w:rPr>
        <w:t>日起至202</w:t>
      </w:r>
      <w:r>
        <w:rPr>
          <w:rFonts w:hint="eastAsia" w:ascii="仿宋" w:hAnsi="仿宋" w:eastAsia="仿宋"/>
          <w:color w:val="auto"/>
          <w:kern w:val="1"/>
          <w:sz w:val="24"/>
          <w:szCs w:val="24"/>
          <w:highlight w:val="none"/>
          <w:lang w:val="en-US" w:eastAsia="zh-CN"/>
        </w:rPr>
        <w:t>6</w:t>
      </w:r>
      <w:r>
        <w:rPr>
          <w:rFonts w:hint="eastAsia" w:ascii="仿宋" w:hAnsi="仿宋" w:eastAsia="仿宋"/>
          <w:color w:val="auto"/>
          <w:kern w:val="1"/>
          <w:sz w:val="24"/>
          <w:szCs w:val="24"/>
          <w:highlight w:val="none"/>
        </w:rPr>
        <w:t>年</w:t>
      </w:r>
      <w:r>
        <w:rPr>
          <w:rFonts w:hint="eastAsia" w:ascii="仿宋" w:hAnsi="仿宋" w:eastAsia="仿宋"/>
          <w:color w:val="auto"/>
          <w:kern w:val="1"/>
          <w:sz w:val="24"/>
          <w:szCs w:val="24"/>
          <w:highlight w:val="none"/>
          <w:lang w:val="en-US" w:eastAsia="zh-CN"/>
        </w:rPr>
        <w:t>8</w:t>
      </w:r>
      <w:r>
        <w:rPr>
          <w:rFonts w:hint="eastAsia" w:ascii="仿宋" w:hAnsi="仿宋" w:eastAsia="仿宋"/>
          <w:color w:val="auto"/>
          <w:kern w:val="1"/>
          <w:sz w:val="24"/>
          <w:szCs w:val="24"/>
          <w:highlight w:val="none"/>
        </w:rPr>
        <w:t>月</w:t>
      </w:r>
      <w:r>
        <w:rPr>
          <w:rFonts w:hint="eastAsia" w:ascii="仿宋" w:hAnsi="仿宋" w:eastAsia="仿宋"/>
          <w:color w:val="auto"/>
          <w:kern w:val="1"/>
          <w:sz w:val="24"/>
          <w:szCs w:val="24"/>
          <w:highlight w:val="none"/>
          <w:lang w:val="en-US" w:eastAsia="zh-CN"/>
        </w:rPr>
        <w:t>26</w:t>
      </w:r>
      <w:r>
        <w:rPr>
          <w:rFonts w:hint="eastAsia" w:ascii="仿宋" w:hAnsi="仿宋" w:eastAsia="仿宋"/>
          <w:color w:val="auto"/>
          <w:kern w:val="1"/>
          <w:sz w:val="24"/>
          <w:szCs w:val="24"/>
          <w:highlight w:val="none"/>
        </w:rPr>
        <w:t>日，每天上午</w:t>
      </w:r>
      <w:r>
        <w:rPr>
          <w:rFonts w:hint="eastAsia" w:ascii="仿宋" w:hAnsi="仿宋" w:eastAsia="仿宋"/>
          <w:color w:val="auto"/>
          <w:kern w:val="1"/>
          <w:sz w:val="24"/>
          <w:szCs w:val="24"/>
          <w:highlight w:val="none"/>
          <w:lang w:val="en-US" w:eastAsia="zh-CN"/>
        </w:rPr>
        <w:t>8</w:t>
      </w:r>
      <w:r>
        <w:rPr>
          <w:rFonts w:hint="eastAsia" w:ascii="仿宋" w:hAnsi="仿宋" w:eastAsia="仿宋"/>
          <w:color w:val="auto"/>
          <w:kern w:val="1"/>
          <w:sz w:val="24"/>
          <w:szCs w:val="24"/>
          <w:highlight w:val="none"/>
        </w:rPr>
        <w:t>：</w:t>
      </w:r>
      <w:r>
        <w:rPr>
          <w:rFonts w:hint="eastAsia" w:ascii="仿宋" w:hAnsi="仿宋" w:eastAsia="仿宋"/>
          <w:color w:val="auto"/>
          <w:kern w:val="1"/>
          <w:sz w:val="24"/>
          <w:szCs w:val="24"/>
          <w:highlight w:val="none"/>
          <w:lang w:val="en-US" w:eastAsia="zh-CN"/>
        </w:rPr>
        <w:t>3</w:t>
      </w:r>
      <w:r>
        <w:rPr>
          <w:rFonts w:hint="eastAsia" w:ascii="仿宋" w:hAnsi="仿宋" w:eastAsia="仿宋"/>
          <w:color w:val="auto"/>
          <w:kern w:val="1"/>
          <w:sz w:val="24"/>
          <w:szCs w:val="24"/>
          <w:highlight w:val="none"/>
        </w:rPr>
        <w:t>0至</w:t>
      </w:r>
      <w:r>
        <w:rPr>
          <w:rFonts w:hint="eastAsia" w:ascii="仿宋" w:hAnsi="仿宋" w:eastAsia="仿宋"/>
          <w:color w:val="auto"/>
          <w:kern w:val="1"/>
          <w:sz w:val="24"/>
          <w:szCs w:val="24"/>
          <w:highlight w:val="none"/>
          <w:lang w:val="en-US" w:eastAsia="zh-CN"/>
        </w:rPr>
        <w:t>12</w:t>
      </w:r>
      <w:r>
        <w:rPr>
          <w:rFonts w:hint="eastAsia" w:ascii="仿宋" w:hAnsi="仿宋" w:eastAsia="仿宋"/>
          <w:color w:val="auto"/>
          <w:kern w:val="1"/>
          <w:sz w:val="24"/>
          <w:szCs w:val="24"/>
          <w:highlight w:val="none"/>
        </w:rPr>
        <w:t>：</w:t>
      </w:r>
      <w:r>
        <w:rPr>
          <w:rFonts w:hint="eastAsia" w:ascii="仿宋" w:hAnsi="仿宋" w:eastAsia="仿宋"/>
          <w:color w:val="auto"/>
          <w:kern w:val="1"/>
          <w:sz w:val="24"/>
          <w:szCs w:val="24"/>
          <w:highlight w:val="none"/>
          <w:lang w:val="en-US" w:eastAsia="zh-CN"/>
        </w:rPr>
        <w:t>0</w:t>
      </w:r>
      <w:r>
        <w:rPr>
          <w:rFonts w:hint="eastAsia" w:ascii="仿宋" w:hAnsi="仿宋" w:eastAsia="仿宋"/>
          <w:color w:val="auto"/>
          <w:kern w:val="1"/>
          <w:sz w:val="24"/>
          <w:szCs w:val="24"/>
          <w:highlight w:val="none"/>
        </w:rPr>
        <w:t>0，下午13：</w:t>
      </w:r>
      <w:r>
        <w:rPr>
          <w:rFonts w:hint="eastAsia" w:ascii="仿宋" w:hAnsi="仿宋" w:eastAsia="仿宋"/>
          <w:color w:val="auto"/>
          <w:kern w:val="1"/>
          <w:sz w:val="24"/>
          <w:szCs w:val="24"/>
          <w:highlight w:val="none"/>
          <w:lang w:val="en-US" w:eastAsia="zh-CN"/>
        </w:rPr>
        <w:t>0</w:t>
      </w:r>
      <w:r>
        <w:rPr>
          <w:rFonts w:hint="eastAsia" w:ascii="仿宋" w:hAnsi="仿宋" w:eastAsia="仿宋"/>
          <w:color w:val="auto"/>
          <w:kern w:val="1"/>
          <w:sz w:val="24"/>
          <w:szCs w:val="24"/>
          <w:highlight w:val="none"/>
        </w:rPr>
        <w:t>0至1</w:t>
      </w:r>
      <w:r>
        <w:rPr>
          <w:rFonts w:hint="eastAsia" w:ascii="仿宋" w:hAnsi="仿宋" w:eastAsia="仿宋"/>
          <w:color w:val="auto"/>
          <w:kern w:val="1"/>
          <w:sz w:val="24"/>
          <w:szCs w:val="24"/>
          <w:highlight w:val="none"/>
          <w:lang w:val="en-US" w:eastAsia="zh-CN"/>
        </w:rPr>
        <w:t>7</w:t>
      </w:r>
      <w:r>
        <w:rPr>
          <w:rFonts w:hint="eastAsia" w:ascii="仿宋" w:hAnsi="仿宋" w:eastAsia="仿宋"/>
          <w:color w:val="auto"/>
          <w:kern w:val="1"/>
          <w:sz w:val="24"/>
          <w:szCs w:val="24"/>
          <w:highlight w:val="none"/>
        </w:rPr>
        <w:t>：30（北京时间，节假日除外，下同）；</w:t>
      </w:r>
    </w:p>
    <w:p w14:paraId="203B0200">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rPr>
        <w:t>7</w:t>
      </w:r>
      <w:r>
        <w:rPr>
          <w:rFonts w:ascii="仿宋" w:hAnsi="仿宋" w:eastAsia="仿宋"/>
          <w:color w:val="auto"/>
          <w:kern w:val="1"/>
          <w:sz w:val="24"/>
          <w:szCs w:val="24"/>
          <w:highlight w:val="none"/>
        </w:rPr>
        <w:t>.2</w:t>
      </w:r>
      <w:r>
        <w:rPr>
          <w:rFonts w:hint="eastAsia" w:ascii="仿宋" w:hAnsi="仿宋" w:eastAsia="仿宋"/>
          <w:color w:val="auto"/>
          <w:kern w:val="1"/>
          <w:sz w:val="24"/>
          <w:szCs w:val="24"/>
          <w:highlight w:val="none"/>
        </w:rPr>
        <w:t>地点：青岛市市北区台柳路196号和达新都汇三层313室；</w:t>
      </w:r>
    </w:p>
    <w:p w14:paraId="13208F84">
      <w:pPr>
        <w:spacing w:line="360" w:lineRule="auto"/>
        <w:ind w:firstLine="480" w:firstLineChars="200"/>
        <w:rPr>
          <w:rFonts w:hint="eastAsia" w:ascii="仿宋" w:hAnsi="仿宋" w:eastAsia="仿宋" w:cs="仿宋"/>
          <w:color w:val="auto"/>
          <w:kern w:val="1"/>
          <w:sz w:val="24"/>
          <w:szCs w:val="24"/>
          <w:highlight w:val="none"/>
          <w:lang w:val="en-US" w:eastAsia="zh-CN"/>
        </w:rPr>
      </w:pPr>
      <w:r>
        <w:rPr>
          <w:rFonts w:hint="eastAsia" w:ascii="仿宋" w:hAnsi="仿宋" w:eastAsia="仿宋"/>
          <w:color w:val="auto"/>
          <w:kern w:val="1"/>
          <w:sz w:val="24"/>
          <w:szCs w:val="24"/>
          <w:highlight w:val="none"/>
          <w:lang w:val="en-US" w:eastAsia="zh-CN"/>
        </w:rPr>
        <w:t>7</w:t>
      </w:r>
      <w:r>
        <w:rPr>
          <w:rFonts w:hint="eastAsia" w:ascii="仿宋" w:hAnsi="仿宋" w:eastAsia="仿宋"/>
          <w:color w:val="auto"/>
          <w:kern w:val="1"/>
          <w:sz w:val="24"/>
          <w:szCs w:val="24"/>
          <w:highlight w:val="none"/>
        </w:rPr>
        <w:t>.</w:t>
      </w:r>
      <w:r>
        <w:rPr>
          <w:rFonts w:ascii="仿宋" w:hAnsi="仿宋" w:eastAsia="仿宋"/>
          <w:color w:val="auto"/>
          <w:kern w:val="1"/>
          <w:sz w:val="24"/>
          <w:szCs w:val="24"/>
          <w:highlight w:val="none"/>
        </w:rPr>
        <w:t>3</w:t>
      </w:r>
      <w:r>
        <w:rPr>
          <w:rFonts w:hint="eastAsia" w:ascii="仿宋" w:hAnsi="仿宋" w:eastAsia="仿宋" w:cs="仿宋"/>
          <w:color w:val="auto"/>
          <w:kern w:val="1"/>
          <w:sz w:val="24"/>
          <w:szCs w:val="24"/>
          <w:highlight w:val="none"/>
        </w:rPr>
        <w:t>方式：在获取招标文件时间内需携带</w:t>
      </w:r>
      <w:r>
        <w:rPr>
          <w:rFonts w:hint="eastAsia" w:ascii="仿宋" w:hAnsi="仿宋" w:eastAsia="仿宋" w:cs="仿宋"/>
          <w:color w:val="auto"/>
          <w:kern w:val="1"/>
          <w:sz w:val="24"/>
          <w:szCs w:val="24"/>
          <w:highlight w:val="none"/>
          <w:lang w:val="en-US" w:eastAsia="zh-CN"/>
        </w:rPr>
        <w:t>以下材料现场登记获取招标文件：</w:t>
      </w:r>
    </w:p>
    <w:p w14:paraId="24ACA1D8">
      <w:pPr>
        <w:spacing w:line="360" w:lineRule="auto"/>
        <w:ind w:firstLine="480" w:firstLineChars="200"/>
        <w:rPr>
          <w:rFonts w:hint="eastAsia" w:ascii="仿宋" w:hAnsi="仿宋" w:eastAsia="仿宋" w:cs="仿宋"/>
          <w:color w:val="auto"/>
          <w:kern w:val="1"/>
          <w:sz w:val="24"/>
          <w:szCs w:val="24"/>
          <w:highlight w:val="none"/>
          <w:lang w:val="en-US" w:eastAsia="zh-CN"/>
        </w:rPr>
      </w:pPr>
      <w:r>
        <w:rPr>
          <w:rFonts w:hint="eastAsia" w:ascii="仿宋" w:hAnsi="仿宋" w:eastAsia="仿宋" w:cs="仿宋"/>
          <w:color w:val="auto"/>
          <w:kern w:val="1"/>
          <w:sz w:val="24"/>
          <w:szCs w:val="24"/>
          <w:highlight w:val="none"/>
          <w:lang w:val="en-US" w:eastAsia="zh-CN"/>
        </w:rPr>
        <w:t>（1）</w:t>
      </w:r>
      <w:r>
        <w:rPr>
          <w:rFonts w:hint="eastAsia" w:ascii="仿宋" w:hAnsi="仿宋" w:eastAsia="仿宋" w:cs="仿宋"/>
          <w:color w:val="auto"/>
          <w:kern w:val="1"/>
          <w:sz w:val="24"/>
          <w:szCs w:val="24"/>
          <w:highlight w:val="none"/>
        </w:rPr>
        <w:t>营业执照复印件加盖投标人公章</w:t>
      </w:r>
      <w:r>
        <w:rPr>
          <w:rFonts w:hint="eastAsia" w:ascii="仿宋" w:hAnsi="仿宋" w:eastAsia="仿宋" w:cs="仿宋"/>
          <w:color w:val="auto"/>
          <w:kern w:val="1"/>
          <w:sz w:val="24"/>
          <w:szCs w:val="24"/>
          <w:highlight w:val="none"/>
          <w:lang w:eastAsia="zh-CN"/>
        </w:rPr>
        <w:t>；</w:t>
      </w:r>
    </w:p>
    <w:p w14:paraId="39B06803">
      <w:pPr>
        <w:spacing w:line="360" w:lineRule="auto"/>
        <w:ind w:firstLine="480" w:firstLineChars="200"/>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lang w:eastAsia="zh-CN"/>
        </w:rPr>
        <w:t>（</w:t>
      </w:r>
      <w:r>
        <w:rPr>
          <w:rFonts w:hint="eastAsia" w:ascii="仿宋" w:hAnsi="仿宋" w:eastAsia="仿宋" w:cs="仿宋"/>
          <w:color w:val="auto"/>
          <w:kern w:val="1"/>
          <w:sz w:val="24"/>
          <w:szCs w:val="24"/>
          <w:highlight w:val="none"/>
          <w:lang w:val="en-US" w:eastAsia="zh-CN"/>
        </w:rPr>
        <w:t>2</w:t>
      </w:r>
      <w:r>
        <w:rPr>
          <w:rFonts w:hint="eastAsia" w:ascii="仿宋" w:hAnsi="仿宋" w:eastAsia="仿宋" w:cs="仿宋"/>
          <w:color w:val="auto"/>
          <w:kern w:val="1"/>
          <w:sz w:val="24"/>
          <w:szCs w:val="24"/>
          <w:highlight w:val="none"/>
          <w:lang w:eastAsia="zh-CN"/>
        </w:rPr>
        <w:t>）</w:t>
      </w:r>
      <w:r>
        <w:rPr>
          <w:rFonts w:hint="eastAsia" w:ascii="仿宋" w:hAnsi="仿宋" w:eastAsia="仿宋" w:cs="仿宋"/>
          <w:color w:val="auto"/>
          <w:kern w:val="1"/>
          <w:sz w:val="24"/>
          <w:szCs w:val="24"/>
          <w:highlight w:val="none"/>
        </w:rPr>
        <w:t>以下两项提供任意一项：</w:t>
      </w:r>
    </w:p>
    <w:p w14:paraId="33BEA6C9">
      <w:pPr>
        <w:spacing w:line="360" w:lineRule="auto"/>
        <w:ind w:firstLine="480" w:firstLineChars="200"/>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w:t>
      </w:r>
      <w:r>
        <w:rPr>
          <w:rFonts w:hint="eastAsia" w:ascii="仿宋" w:hAnsi="仿宋" w:eastAsia="仿宋" w:cs="仿宋"/>
          <w:color w:val="auto"/>
          <w:kern w:val="1"/>
          <w:sz w:val="24"/>
          <w:szCs w:val="24"/>
          <w:highlight w:val="none"/>
          <w:lang w:val="en-US" w:eastAsia="zh-CN"/>
        </w:rPr>
        <w:t>2.1</w:t>
      </w:r>
      <w:r>
        <w:rPr>
          <w:rFonts w:hint="eastAsia" w:ascii="仿宋" w:hAnsi="仿宋" w:eastAsia="仿宋" w:cs="仿宋"/>
          <w:color w:val="auto"/>
          <w:kern w:val="1"/>
          <w:sz w:val="24"/>
          <w:szCs w:val="24"/>
          <w:highlight w:val="none"/>
        </w:rPr>
        <w:t>）法定代表人购买招标文件需提供法定代表人身份证明原件（格式自拟，须附法定代表人身份证正反面照片并加盖公章</w:t>
      </w:r>
      <w:r>
        <w:rPr>
          <w:rFonts w:hint="eastAsia" w:ascii="仿宋" w:hAnsi="仿宋" w:eastAsia="仿宋" w:cs="仿宋"/>
          <w:color w:val="auto"/>
          <w:kern w:val="1"/>
          <w:sz w:val="24"/>
          <w:szCs w:val="24"/>
          <w:highlight w:val="none"/>
          <w:lang w:val="en-US" w:eastAsia="zh-CN"/>
        </w:rPr>
        <w:t>及同时提供身份证原件</w:t>
      </w:r>
      <w:r>
        <w:rPr>
          <w:rFonts w:hint="eastAsia" w:ascii="仿宋" w:hAnsi="仿宋" w:eastAsia="仿宋" w:cs="仿宋"/>
          <w:color w:val="auto"/>
          <w:kern w:val="1"/>
          <w:sz w:val="24"/>
          <w:szCs w:val="24"/>
          <w:highlight w:val="none"/>
        </w:rPr>
        <w:t>）；</w:t>
      </w:r>
    </w:p>
    <w:p w14:paraId="423991BC">
      <w:pPr>
        <w:spacing w:line="360" w:lineRule="auto"/>
        <w:ind w:firstLine="480" w:firstLineChars="200"/>
        <w:rPr>
          <w:rFonts w:hint="default" w:ascii="仿宋" w:hAnsi="仿宋" w:eastAsia="仿宋" w:cs="仿宋"/>
          <w:color w:val="auto"/>
          <w:kern w:val="1"/>
          <w:sz w:val="24"/>
          <w:szCs w:val="24"/>
          <w:highlight w:val="none"/>
          <w:lang w:val="en-US" w:eastAsia="zh-CN"/>
        </w:rPr>
      </w:pPr>
      <w:r>
        <w:rPr>
          <w:rFonts w:hint="eastAsia" w:ascii="仿宋" w:hAnsi="仿宋" w:eastAsia="仿宋" w:cs="仿宋"/>
          <w:color w:val="auto"/>
          <w:kern w:val="1"/>
          <w:sz w:val="24"/>
          <w:szCs w:val="24"/>
          <w:highlight w:val="none"/>
        </w:rPr>
        <w:t>（</w:t>
      </w:r>
      <w:r>
        <w:rPr>
          <w:rFonts w:hint="eastAsia" w:ascii="仿宋" w:hAnsi="仿宋" w:eastAsia="仿宋" w:cs="仿宋"/>
          <w:color w:val="auto"/>
          <w:kern w:val="1"/>
          <w:sz w:val="24"/>
          <w:szCs w:val="24"/>
          <w:highlight w:val="none"/>
          <w:lang w:val="en-US" w:eastAsia="zh-CN"/>
        </w:rPr>
        <w:t>2.2</w:t>
      </w:r>
      <w:r>
        <w:rPr>
          <w:rFonts w:hint="eastAsia" w:ascii="仿宋" w:hAnsi="仿宋" w:eastAsia="仿宋" w:cs="仿宋"/>
          <w:color w:val="auto"/>
          <w:kern w:val="1"/>
          <w:sz w:val="24"/>
          <w:szCs w:val="24"/>
          <w:highlight w:val="none"/>
        </w:rPr>
        <w:t>）授权委托人购买招标文件需提供授权委托书原件（格式自拟，须附法定代表人及授权委托人身份证正反面照片并加盖公章</w:t>
      </w:r>
      <w:r>
        <w:rPr>
          <w:rFonts w:hint="eastAsia" w:ascii="仿宋" w:hAnsi="仿宋" w:eastAsia="仿宋" w:cs="仿宋"/>
          <w:color w:val="auto"/>
          <w:kern w:val="1"/>
          <w:sz w:val="24"/>
          <w:szCs w:val="24"/>
          <w:highlight w:val="none"/>
          <w:lang w:val="en-US" w:eastAsia="zh-CN"/>
        </w:rPr>
        <w:t>及同时提供</w:t>
      </w:r>
      <w:r>
        <w:rPr>
          <w:rFonts w:hint="eastAsia" w:ascii="仿宋" w:hAnsi="仿宋" w:eastAsia="仿宋" w:cs="仿宋"/>
          <w:color w:val="auto"/>
          <w:kern w:val="1"/>
          <w:sz w:val="24"/>
          <w:szCs w:val="24"/>
          <w:highlight w:val="none"/>
        </w:rPr>
        <w:t>授权委托人</w:t>
      </w:r>
      <w:r>
        <w:rPr>
          <w:rFonts w:hint="eastAsia" w:ascii="仿宋" w:hAnsi="仿宋" w:eastAsia="仿宋" w:cs="仿宋"/>
          <w:color w:val="auto"/>
          <w:kern w:val="1"/>
          <w:sz w:val="24"/>
          <w:szCs w:val="24"/>
          <w:highlight w:val="none"/>
          <w:lang w:val="en-US" w:eastAsia="zh-CN"/>
        </w:rPr>
        <w:t>身份证原件</w:t>
      </w:r>
      <w:r>
        <w:rPr>
          <w:rFonts w:hint="eastAsia" w:ascii="仿宋" w:hAnsi="仿宋" w:eastAsia="仿宋" w:cs="仿宋"/>
          <w:color w:val="auto"/>
          <w:kern w:val="1"/>
          <w:sz w:val="24"/>
          <w:szCs w:val="24"/>
          <w:highlight w:val="none"/>
        </w:rPr>
        <w:t>）</w:t>
      </w:r>
      <w:r>
        <w:rPr>
          <w:rFonts w:hint="eastAsia" w:ascii="仿宋" w:hAnsi="仿宋" w:eastAsia="仿宋" w:cs="仿宋"/>
          <w:color w:val="auto"/>
          <w:kern w:val="1"/>
          <w:sz w:val="24"/>
          <w:szCs w:val="24"/>
          <w:highlight w:val="none"/>
          <w:lang w:val="en-US" w:eastAsia="zh-CN"/>
        </w:rPr>
        <w:t>以及</w:t>
      </w:r>
      <w:r>
        <w:rPr>
          <w:rFonts w:hint="eastAsia" w:ascii="仿宋" w:hAnsi="仿宋" w:eastAsia="仿宋" w:cs="仿宋"/>
          <w:color w:val="auto"/>
          <w:kern w:val="1"/>
          <w:sz w:val="24"/>
          <w:szCs w:val="24"/>
          <w:highlight w:val="none"/>
        </w:rPr>
        <w:t>投标</w:t>
      </w:r>
      <w:r>
        <w:rPr>
          <w:rFonts w:hint="eastAsia" w:ascii="仿宋" w:hAnsi="仿宋" w:eastAsia="仿宋" w:cs="仿宋"/>
          <w:color w:val="auto"/>
          <w:kern w:val="1"/>
          <w:sz w:val="24"/>
          <w:szCs w:val="24"/>
          <w:highlight w:val="none"/>
          <w:lang w:val="en-US" w:eastAsia="zh-CN"/>
        </w:rPr>
        <w:t>人为授权委托人缴纳的社保证明材料</w:t>
      </w:r>
      <w:r>
        <w:rPr>
          <w:rFonts w:hint="eastAsia" w:ascii="仿宋" w:hAnsi="仿宋" w:eastAsia="仿宋" w:cs="仿宋"/>
          <w:color w:val="auto"/>
          <w:kern w:val="1"/>
          <w:sz w:val="24"/>
          <w:szCs w:val="24"/>
          <w:highlight w:val="none"/>
        </w:rPr>
        <w:t>复印件加盖投标人公章</w:t>
      </w:r>
      <w:r>
        <w:rPr>
          <w:rFonts w:hint="eastAsia" w:ascii="仿宋" w:hAnsi="仿宋" w:eastAsia="仿宋" w:cs="仿宋"/>
          <w:color w:val="auto"/>
          <w:kern w:val="1"/>
          <w:sz w:val="24"/>
          <w:szCs w:val="24"/>
          <w:highlight w:val="none"/>
          <w:lang w:val="en-US" w:eastAsia="zh-CN"/>
        </w:rPr>
        <w:t>（社保证明材料须提供自报名之日起前三个月内任意一月的社保证明，社保证明须体现授权委托人姓名、缴纳单位名称、缴纳月份等信息，若社保为第三方代缴还须提供投标人与第三方签订的代缴社保合同或协议复印件加盖投标人公章）；</w:t>
      </w:r>
    </w:p>
    <w:p w14:paraId="039753C2">
      <w:pPr>
        <w:spacing w:line="360" w:lineRule="auto"/>
        <w:ind w:firstLine="480" w:firstLineChars="200"/>
        <w:rPr>
          <w:rFonts w:hint="default" w:ascii="仿宋" w:hAnsi="仿宋" w:eastAsia="仿宋"/>
          <w:color w:val="auto"/>
          <w:kern w:val="1"/>
          <w:sz w:val="24"/>
          <w:szCs w:val="24"/>
          <w:highlight w:val="none"/>
          <w:lang w:val="en-US" w:eastAsia="zh-CN"/>
        </w:rPr>
      </w:pPr>
      <w:r>
        <w:rPr>
          <w:rFonts w:hint="eastAsia" w:ascii="仿宋" w:hAnsi="仿宋" w:eastAsia="仿宋"/>
          <w:color w:val="auto"/>
          <w:kern w:val="1"/>
          <w:sz w:val="24"/>
          <w:szCs w:val="24"/>
          <w:highlight w:val="none"/>
          <w:lang w:val="en-US" w:eastAsia="zh-CN"/>
        </w:rPr>
        <w:t>7.4以上报名材料中要求</w:t>
      </w:r>
      <w:r>
        <w:rPr>
          <w:rFonts w:hint="eastAsia" w:ascii="仿宋" w:hAnsi="仿宋" w:eastAsia="仿宋" w:cs="仿宋"/>
          <w:color w:val="auto"/>
          <w:kern w:val="1"/>
          <w:sz w:val="24"/>
          <w:szCs w:val="24"/>
          <w:highlight w:val="none"/>
        </w:rPr>
        <w:t>加盖投标人公章</w:t>
      </w:r>
      <w:r>
        <w:rPr>
          <w:rFonts w:hint="eastAsia" w:ascii="仿宋" w:hAnsi="仿宋" w:eastAsia="仿宋" w:cs="仿宋"/>
          <w:color w:val="auto"/>
          <w:kern w:val="1"/>
          <w:sz w:val="24"/>
          <w:szCs w:val="24"/>
          <w:highlight w:val="none"/>
          <w:lang w:eastAsia="zh-CN"/>
        </w:rPr>
        <w:t>，</w:t>
      </w:r>
      <w:r>
        <w:rPr>
          <w:rFonts w:hint="eastAsia" w:ascii="仿宋" w:hAnsi="仿宋" w:eastAsia="仿宋" w:cs="仿宋"/>
          <w:color w:val="auto"/>
          <w:kern w:val="1"/>
          <w:sz w:val="24"/>
          <w:szCs w:val="24"/>
          <w:highlight w:val="none"/>
          <w:lang w:val="en-US" w:eastAsia="zh-CN"/>
        </w:rPr>
        <w:t>须加盖鲜章，不接受彩印件、电子签章等材料。</w:t>
      </w:r>
      <w:r>
        <w:rPr>
          <w:rFonts w:hint="eastAsia" w:ascii="仿宋" w:hAnsi="仿宋" w:eastAsia="仿宋"/>
          <w:color w:val="auto"/>
          <w:kern w:val="1"/>
          <w:sz w:val="24"/>
          <w:szCs w:val="24"/>
          <w:highlight w:val="none"/>
          <w:lang w:val="en-US" w:eastAsia="zh-CN"/>
        </w:rPr>
        <w:t>投标人按照上述时间、地点及方式要求现场登记获取招标文件，本项目不允许代买标书、不接受邮寄报名。若报名材料不全或不符合要求，代理机构不予接收；</w:t>
      </w:r>
    </w:p>
    <w:p w14:paraId="02DCE9E3">
      <w:pPr>
        <w:spacing w:line="360" w:lineRule="auto"/>
        <w:ind w:firstLine="480" w:firstLineChars="200"/>
        <w:rPr>
          <w:rFonts w:hint="eastAsia" w:ascii="仿宋" w:hAnsi="仿宋" w:eastAsia="仿宋"/>
          <w:color w:val="auto"/>
          <w:kern w:val="1"/>
          <w:sz w:val="24"/>
          <w:szCs w:val="24"/>
          <w:highlight w:val="none"/>
          <w:lang w:val="en-US" w:eastAsia="zh-CN"/>
        </w:rPr>
      </w:pPr>
      <w:r>
        <w:rPr>
          <w:rFonts w:hint="eastAsia" w:ascii="仿宋" w:hAnsi="仿宋" w:eastAsia="仿宋"/>
          <w:color w:val="auto"/>
          <w:kern w:val="1"/>
          <w:sz w:val="24"/>
          <w:szCs w:val="24"/>
          <w:highlight w:val="none"/>
          <w:lang w:val="en-US" w:eastAsia="zh-CN"/>
        </w:rPr>
        <w:t>7.5售价：每本300元整人民币（现金），售后不退；</w:t>
      </w:r>
    </w:p>
    <w:p w14:paraId="4ECAF0E6">
      <w:pPr>
        <w:spacing w:line="360" w:lineRule="auto"/>
        <w:ind w:firstLine="480" w:firstLineChars="200"/>
        <w:rPr>
          <w:rFonts w:hint="eastAsia" w:ascii="仿宋" w:hAnsi="仿宋" w:eastAsia="仿宋"/>
          <w:color w:val="auto"/>
          <w:kern w:val="1"/>
          <w:sz w:val="24"/>
          <w:szCs w:val="24"/>
          <w:highlight w:val="none"/>
          <w:lang w:val="en-US" w:eastAsia="zh-CN"/>
        </w:rPr>
      </w:pPr>
      <w:r>
        <w:rPr>
          <w:rFonts w:hint="eastAsia" w:ascii="仿宋" w:hAnsi="仿宋" w:eastAsia="仿宋"/>
          <w:color w:val="auto"/>
          <w:kern w:val="1"/>
          <w:sz w:val="24"/>
          <w:szCs w:val="24"/>
          <w:highlight w:val="none"/>
          <w:lang w:val="en-US" w:eastAsia="zh-CN"/>
        </w:rPr>
        <w:t>7.6未按规定获取的招标文件不受法律保护且无资格参与本项目投标，由此引起的一切后果，投标人自负。</w:t>
      </w:r>
    </w:p>
    <w:p w14:paraId="02893933">
      <w:pPr>
        <w:spacing w:line="360" w:lineRule="auto"/>
        <w:ind w:firstLine="560" w:firstLineChars="200"/>
        <w:rPr>
          <w:rStyle w:val="38"/>
          <w:rFonts w:hint="eastAsia"/>
          <w:color w:val="auto"/>
          <w:highlight w:val="none"/>
        </w:rPr>
      </w:pPr>
      <w:r>
        <w:rPr>
          <w:rStyle w:val="38"/>
          <w:rFonts w:hint="eastAsia"/>
          <w:color w:val="auto"/>
          <w:highlight w:val="none"/>
        </w:rPr>
        <w:t>8.投标文件递交时间以及地点</w:t>
      </w:r>
    </w:p>
    <w:p w14:paraId="246827DB">
      <w:pPr>
        <w:wordWrap w:val="0"/>
        <w:spacing w:line="360" w:lineRule="auto"/>
        <w:ind w:firstLine="480" w:firstLineChars="200"/>
        <w:jc w:val="left"/>
        <w:rPr>
          <w:rFonts w:hint="eastAsia" w:ascii="仿宋" w:hAnsi="仿宋" w:eastAsia="仿宋" w:cs="仿宋"/>
          <w:color w:val="auto"/>
          <w:kern w:val="1"/>
          <w:sz w:val="24"/>
          <w:szCs w:val="24"/>
          <w:highlight w:val="none"/>
        </w:rPr>
      </w:pPr>
      <w:r>
        <w:rPr>
          <w:rFonts w:hint="eastAsia" w:ascii="仿宋" w:hAnsi="仿宋" w:eastAsia="仿宋"/>
          <w:color w:val="auto"/>
          <w:kern w:val="1"/>
          <w:sz w:val="24"/>
          <w:szCs w:val="24"/>
          <w:highlight w:val="none"/>
        </w:rPr>
        <w:t>8.</w:t>
      </w:r>
      <w:r>
        <w:rPr>
          <w:rFonts w:ascii="仿宋" w:hAnsi="仿宋" w:eastAsia="仿宋"/>
          <w:color w:val="auto"/>
          <w:kern w:val="1"/>
          <w:sz w:val="24"/>
          <w:szCs w:val="24"/>
          <w:highlight w:val="none"/>
        </w:rPr>
        <w:t>1</w:t>
      </w:r>
      <w:r>
        <w:rPr>
          <w:rFonts w:hint="eastAsia" w:ascii="仿宋" w:hAnsi="仿宋" w:eastAsia="仿宋" w:cs="仿宋"/>
          <w:color w:val="auto"/>
          <w:kern w:val="1"/>
          <w:sz w:val="24"/>
          <w:szCs w:val="24"/>
          <w:highlight w:val="none"/>
        </w:rPr>
        <w:t>时间：202</w:t>
      </w:r>
      <w:r>
        <w:rPr>
          <w:rFonts w:hint="eastAsia" w:ascii="仿宋" w:hAnsi="仿宋" w:eastAsia="仿宋" w:cs="仿宋"/>
          <w:color w:val="auto"/>
          <w:kern w:val="1"/>
          <w:sz w:val="24"/>
          <w:szCs w:val="24"/>
          <w:highlight w:val="none"/>
          <w:lang w:val="en-US" w:eastAsia="zh-CN"/>
        </w:rPr>
        <w:t>6</w:t>
      </w:r>
      <w:r>
        <w:rPr>
          <w:rFonts w:hint="eastAsia" w:ascii="仿宋" w:hAnsi="仿宋" w:eastAsia="仿宋" w:cs="仿宋"/>
          <w:color w:val="auto"/>
          <w:kern w:val="1"/>
          <w:sz w:val="24"/>
          <w:szCs w:val="24"/>
          <w:highlight w:val="none"/>
        </w:rPr>
        <w:t>年</w:t>
      </w:r>
      <w:r>
        <w:rPr>
          <w:rFonts w:hint="eastAsia" w:ascii="仿宋" w:hAnsi="仿宋" w:eastAsia="仿宋" w:cs="仿宋"/>
          <w:color w:val="auto"/>
          <w:kern w:val="1"/>
          <w:sz w:val="24"/>
          <w:szCs w:val="24"/>
          <w:highlight w:val="none"/>
          <w:lang w:val="en-US" w:eastAsia="zh-CN"/>
        </w:rPr>
        <w:t>9</w:t>
      </w:r>
      <w:r>
        <w:rPr>
          <w:rFonts w:hint="eastAsia" w:ascii="仿宋" w:hAnsi="仿宋" w:eastAsia="仿宋" w:cs="仿宋"/>
          <w:color w:val="auto"/>
          <w:kern w:val="1"/>
          <w:sz w:val="24"/>
          <w:szCs w:val="24"/>
          <w:highlight w:val="none"/>
        </w:rPr>
        <w:t>月</w:t>
      </w:r>
      <w:r>
        <w:rPr>
          <w:rFonts w:hint="eastAsia" w:ascii="仿宋" w:hAnsi="仿宋" w:eastAsia="仿宋" w:cs="仿宋"/>
          <w:color w:val="auto"/>
          <w:kern w:val="1"/>
          <w:sz w:val="24"/>
          <w:szCs w:val="24"/>
          <w:highlight w:val="none"/>
          <w:lang w:val="en-US" w:eastAsia="zh-CN"/>
        </w:rPr>
        <w:t>10</w:t>
      </w:r>
      <w:r>
        <w:rPr>
          <w:rFonts w:hint="eastAsia" w:ascii="仿宋" w:hAnsi="仿宋" w:eastAsia="仿宋" w:cs="仿宋"/>
          <w:color w:val="auto"/>
          <w:kern w:val="1"/>
          <w:sz w:val="24"/>
          <w:szCs w:val="24"/>
          <w:highlight w:val="none"/>
        </w:rPr>
        <w:t>日</w:t>
      </w:r>
      <w:r>
        <w:rPr>
          <w:rFonts w:hint="eastAsia" w:ascii="仿宋" w:hAnsi="仿宋" w:eastAsia="仿宋" w:cs="仿宋"/>
          <w:color w:val="auto"/>
          <w:kern w:val="1"/>
          <w:sz w:val="24"/>
          <w:szCs w:val="24"/>
          <w:highlight w:val="none"/>
          <w:lang w:val="en-US" w:eastAsia="zh-CN"/>
        </w:rPr>
        <w:t>13</w:t>
      </w:r>
      <w:r>
        <w:rPr>
          <w:rFonts w:hint="eastAsia" w:ascii="仿宋" w:hAnsi="仿宋" w:eastAsia="仿宋" w:cs="仿宋"/>
          <w:color w:val="auto"/>
          <w:kern w:val="1"/>
          <w:sz w:val="24"/>
          <w:szCs w:val="24"/>
          <w:highlight w:val="none"/>
        </w:rPr>
        <w:t>时</w:t>
      </w:r>
      <w:r>
        <w:rPr>
          <w:rFonts w:hint="eastAsia" w:ascii="仿宋" w:hAnsi="仿宋" w:eastAsia="仿宋" w:cs="仿宋"/>
          <w:color w:val="auto"/>
          <w:kern w:val="1"/>
          <w:sz w:val="24"/>
          <w:szCs w:val="24"/>
          <w:highlight w:val="none"/>
          <w:lang w:val="en-US" w:eastAsia="zh-CN"/>
        </w:rPr>
        <w:t>30</w:t>
      </w:r>
      <w:r>
        <w:rPr>
          <w:rFonts w:hint="eastAsia" w:ascii="仿宋" w:hAnsi="仿宋" w:eastAsia="仿宋" w:cs="仿宋"/>
          <w:color w:val="auto"/>
          <w:kern w:val="1"/>
          <w:sz w:val="24"/>
          <w:szCs w:val="24"/>
          <w:highlight w:val="none"/>
        </w:rPr>
        <w:t>分起至</w:t>
      </w:r>
      <w:r>
        <w:rPr>
          <w:rFonts w:hint="eastAsia" w:ascii="仿宋" w:hAnsi="仿宋" w:eastAsia="仿宋" w:cs="仿宋"/>
          <w:color w:val="auto"/>
          <w:kern w:val="1"/>
          <w:sz w:val="24"/>
          <w:szCs w:val="24"/>
          <w:highlight w:val="none"/>
          <w:lang w:val="en-US" w:eastAsia="zh-CN"/>
        </w:rPr>
        <w:t>14</w:t>
      </w:r>
      <w:r>
        <w:rPr>
          <w:rFonts w:hint="eastAsia" w:ascii="仿宋" w:hAnsi="仿宋" w:eastAsia="仿宋" w:cs="仿宋"/>
          <w:color w:val="auto"/>
          <w:kern w:val="1"/>
          <w:sz w:val="24"/>
          <w:szCs w:val="24"/>
          <w:highlight w:val="none"/>
        </w:rPr>
        <w:t>时</w:t>
      </w:r>
      <w:r>
        <w:rPr>
          <w:rFonts w:hint="eastAsia" w:ascii="仿宋" w:hAnsi="仿宋" w:eastAsia="仿宋" w:cs="仿宋"/>
          <w:color w:val="auto"/>
          <w:kern w:val="1"/>
          <w:sz w:val="24"/>
          <w:szCs w:val="24"/>
          <w:highlight w:val="none"/>
          <w:lang w:val="en-US" w:eastAsia="zh-CN"/>
        </w:rPr>
        <w:t>00</w:t>
      </w:r>
      <w:r>
        <w:rPr>
          <w:rFonts w:hint="eastAsia" w:ascii="仿宋" w:hAnsi="仿宋" w:eastAsia="仿宋" w:cs="仿宋"/>
          <w:color w:val="auto"/>
          <w:kern w:val="1"/>
          <w:sz w:val="24"/>
          <w:szCs w:val="24"/>
          <w:highlight w:val="none"/>
        </w:rPr>
        <w:t>分止。</w:t>
      </w:r>
    </w:p>
    <w:p w14:paraId="04A6BCFD">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8.2地点：</w:t>
      </w:r>
      <w:r>
        <w:rPr>
          <w:rFonts w:hint="eastAsia" w:ascii="仿宋" w:hAnsi="仿宋" w:eastAsia="仿宋"/>
          <w:color w:val="auto"/>
          <w:kern w:val="1"/>
          <w:sz w:val="24"/>
          <w:szCs w:val="24"/>
          <w:highlight w:val="none"/>
        </w:rPr>
        <w:t>青岛市市北区台柳路196号和达新都汇三层309开标室</w:t>
      </w:r>
      <w:r>
        <w:rPr>
          <w:rFonts w:hint="eastAsia" w:ascii="仿宋" w:hAnsi="仿宋" w:eastAsia="仿宋" w:cs="仿宋"/>
          <w:color w:val="auto"/>
          <w:kern w:val="1"/>
          <w:sz w:val="24"/>
          <w:szCs w:val="24"/>
          <w:highlight w:val="none"/>
        </w:rPr>
        <w:t>。</w:t>
      </w:r>
    </w:p>
    <w:p w14:paraId="5239E01B">
      <w:pPr>
        <w:tabs>
          <w:tab w:val="left" w:pos="6113"/>
        </w:tabs>
        <w:spacing w:line="360" w:lineRule="auto"/>
        <w:ind w:firstLine="560" w:firstLineChars="200"/>
        <w:rPr>
          <w:rStyle w:val="38"/>
          <w:rFonts w:hint="eastAsia"/>
          <w:color w:val="auto"/>
          <w:highlight w:val="none"/>
        </w:rPr>
      </w:pPr>
      <w:r>
        <w:rPr>
          <w:rStyle w:val="38"/>
          <w:rFonts w:hint="eastAsia"/>
          <w:color w:val="auto"/>
          <w:highlight w:val="none"/>
        </w:rPr>
        <w:t>9.开标时间以及地点</w:t>
      </w:r>
    </w:p>
    <w:p w14:paraId="3A884F2D">
      <w:pPr>
        <w:wordWrap w:val="0"/>
        <w:spacing w:line="360" w:lineRule="auto"/>
        <w:ind w:firstLine="480" w:firstLineChars="200"/>
        <w:jc w:val="left"/>
        <w:rPr>
          <w:rFonts w:hint="eastAsia" w:ascii="仿宋" w:hAnsi="仿宋" w:eastAsia="仿宋" w:cs="仿宋"/>
          <w:color w:val="auto"/>
          <w:kern w:val="1"/>
          <w:sz w:val="24"/>
          <w:szCs w:val="24"/>
          <w:highlight w:val="none"/>
        </w:rPr>
      </w:pPr>
      <w:r>
        <w:rPr>
          <w:rFonts w:hint="eastAsia" w:ascii="仿宋" w:hAnsi="仿宋" w:eastAsia="仿宋"/>
          <w:color w:val="auto"/>
          <w:kern w:val="1"/>
          <w:sz w:val="24"/>
          <w:szCs w:val="24"/>
          <w:highlight w:val="none"/>
        </w:rPr>
        <w:t>9.</w:t>
      </w:r>
      <w:r>
        <w:rPr>
          <w:rFonts w:ascii="仿宋" w:hAnsi="仿宋" w:eastAsia="仿宋"/>
          <w:color w:val="auto"/>
          <w:kern w:val="1"/>
          <w:sz w:val="24"/>
          <w:szCs w:val="24"/>
          <w:highlight w:val="none"/>
        </w:rPr>
        <w:t>1</w:t>
      </w:r>
      <w:r>
        <w:rPr>
          <w:rFonts w:hint="eastAsia" w:ascii="仿宋" w:hAnsi="仿宋" w:eastAsia="仿宋"/>
          <w:color w:val="auto"/>
          <w:kern w:val="1"/>
          <w:sz w:val="24"/>
          <w:szCs w:val="24"/>
          <w:highlight w:val="none"/>
        </w:rPr>
        <w:t>时间：</w:t>
      </w:r>
      <w:r>
        <w:rPr>
          <w:rFonts w:hint="eastAsia" w:ascii="仿宋" w:hAnsi="仿宋" w:eastAsia="仿宋" w:cs="仿宋"/>
          <w:color w:val="auto"/>
          <w:kern w:val="1"/>
          <w:sz w:val="24"/>
          <w:szCs w:val="24"/>
          <w:highlight w:val="none"/>
        </w:rPr>
        <w:t>202</w:t>
      </w:r>
      <w:r>
        <w:rPr>
          <w:rFonts w:hint="eastAsia" w:ascii="仿宋" w:hAnsi="仿宋" w:eastAsia="仿宋" w:cs="仿宋"/>
          <w:color w:val="auto"/>
          <w:kern w:val="1"/>
          <w:sz w:val="24"/>
          <w:szCs w:val="24"/>
          <w:highlight w:val="none"/>
          <w:lang w:val="en-US" w:eastAsia="zh-CN"/>
        </w:rPr>
        <w:t>6</w:t>
      </w:r>
      <w:r>
        <w:rPr>
          <w:rFonts w:hint="eastAsia" w:ascii="仿宋" w:hAnsi="仿宋" w:eastAsia="仿宋" w:cs="仿宋"/>
          <w:color w:val="auto"/>
          <w:kern w:val="1"/>
          <w:sz w:val="24"/>
          <w:szCs w:val="24"/>
          <w:highlight w:val="none"/>
        </w:rPr>
        <w:t>年</w:t>
      </w:r>
      <w:r>
        <w:rPr>
          <w:rFonts w:hint="eastAsia" w:ascii="仿宋" w:hAnsi="仿宋" w:eastAsia="仿宋" w:cs="仿宋"/>
          <w:color w:val="auto"/>
          <w:kern w:val="1"/>
          <w:sz w:val="24"/>
          <w:szCs w:val="24"/>
          <w:highlight w:val="none"/>
          <w:lang w:val="en-US" w:eastAsia="zh-CN"/>
        </w:rPr>
        <w:t>9</w:t>
      </w:r>
      <w:r>
        <w:rPr>
          <w:rFonts w:hint="eastAsia" w:ascii="仿宋" w:hAnsi="仿宋" w:eastAsia="仿宋" w:cs="仿宋"/>
          <w:color w:val="auto"/>
          <w:kern w:val="1"/>
          <w:sz w:val="24"/>
          <w:szCs w:val="24"/>
          <w:highlight w:val="none"/>
        </w:rPr>
        <w:t>月</w:t>
      </w:r>
      <w:r>
        <w:rPr>
          <w:rFonts w:hint="eastAsia" w:ascii="仿宋" w:hAnsi="仿宋" w:eastAsia="仿宋" w:cs="仿宋"/>
          <w:color w:val="auto"/>
          <w:kern w:val="1"/>
          <w:sz w:val="24"/>
          <w:szCs w:val="24"/>
          <w:highlight w:val="none"/>
          <w:lang w:val="en-US" w:eastAsia="zh-CN"/>
        </w:rPr>
        <w:t>10</w:t>
      </w:r>
      <w:r>
        <w:rPr>
          <w:rFonts w:hint="eastAsia" w:ascii="仿宋" w:hAnsi="仿宋" w:eastAsia="仿宋" w:cs="仿宋"/>
          <w:color w:val="auto"/>
          <w:kern w:val="1"/>
          <w:sz w:val="24"/>
          <w:szCs w:val="24"/>
          <w:highlight w:val="none"/>
        </w:rPr>
        <w:t>日</w:t>
      </w:r>
      <w:r>
        <w:rPr>
          <w:rFonts w:hint="eastAsia" w:ascii="仿宋" w:hAnsi="仿宋" w:eastAsia="仿宋" w:cs="仿宋"/>
          <w:color w:val="auto"/>
          <w:kern w:val="1"/>
          <w:sz w:val="24"/>
          <w:szCs w:val="24"/>
          <w:highlight w:val="none"/>
          <w:lang w:val="en-US" w:eastAsia="zh-CN"/>
        </w:rPr>
        <w:t>14</w:t>
      </w:r>
      <w:r>
        <w:rPr>
          <w:rFonts w:hint="eastAsia" w:ascii="仿宋" w:hAnsi="仿宋" w:eastAsia="仿宋" w:cs="仿宋"/>
          <w:color w:val="auto"/>
          <w:kern w:val="1"/>
          <w:sz w:val="24"/>
          <w:szCs w:val="24"/>
          <w:highlight w:val="none"/>
        </w:rPr>
        <w:t>时</w:t>
      </w:r>
      <w:r>
        <w:rPr>
          <w:rFonts w:hint="eastAsia" w:ascii="仿宋" w:hAnsi="仿宋" w:eastAsia="仿宋" w:cs="仿宋"/>
          <w:color w:val="auto"/>
          <w:kern w:val="1"/>
          <w:sz w:val="24"/>
          <w:szCs w:val="24"/>
          <w:highlight w:val="none"/>
          <w:lang w:val="en-US" w:eastAsia="zh-CN"/>
        </w:rPr>
        <w:t>00</w:t>
      </w:r>
      <w:r>
        <w:rPr>
          <w:rFonts w:hint="eastAsia" w:ascii="仿宋" w:hAnsi="仿宋" w:eastAsia="仿宋" w:cs="仿宋"/>
          <w:color w:val="auto"/>
          <w:kern w:val="1"/>
          <w:sz w:val="24"/>
          <w:szCs w:val="24"/>
          <w:highlight w:val="none"/>
        </w:rPr>
        <w:t>分。</w:t>
      </w:r>
    </w:p>
    <w:p w14:paraId="657BEE95">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9.2地点：</w:t>
      </w:r>
      <w:r>
        <w:rPr>
          <w:rFonts w:hint="eastAsia" w:ascii="仿宋" w:hAnsi="仿宋" w:eastAsia="仿宋"/>
          <w:color w:val="auto"/>
          <w:kern w:val="1"/>
          <w:sz w:val="24"/>
          <w:szCs w:val="24"/>
          <w:highlight w:val="none"/>
        </w:rPr>
        <w:t>青岛市市北区台柳路196号和达新都汇三层309开标室。</w:t>
      </w:r>
    </w:p>
    <w:p w14:paraId="2223B11B">
      <w:pPr>
        <w:spacing w:line="360" w:lineRule="auto"/>
        <w:ind w:firstLine="560" w:firstLineChars="200"/>
        <w:rPr>
          <w:rStyle w:val="38"/>
          <w:rFonts w:hint="eastAsia"/>
          <w:color w:val="auto"/>
          <w:highlight w:val="none"/>
        </w:rPr>
      </w:pPr>
      <w:r>
        <w:rPr>
          <w:rStyle w:val="38"/>
          <w:rFonts w:hint="eastAsia"/>
          <w:color w:val="auto"/>
          <w:highlight w:val="none"/>
        </w:rPr>
        <w:t>10.联系方式</w:t>
      </w:r>
    </w:p>
    <w:p w14:paraId="3E5E84DC">
      <w:pPr>
        <w:spacing w:line="360" w:lineRule="auto"/>
        <w:ind w:firstLine="480" w:firstLineChars="20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rPr>
        <w:t>10.1</w:t>
      </w:r>
      <w:r>
        <w:rPr>
          <w:rFonts w:hint="eastAsia" w:ascii="仿宋" w:hAnsi="仿宋" w:eastAsia="仿宋"/>
          <w:color w:val="auto"/>
          <w:kern w:val="1"/>
          <w:sz w:val="24"/>
          <w:szCs w:val="24"/>
          <w:highlight w:val="none"/>
          <w:lang w:val="en-US" w:eastAsia="zh-CN"/>
        </w:rPr>
        <w:t>采 购 人</w:t>
      </w:r>
      <w:r>
        <w:rPr>
          <w:rFonts w:hint="eastAsia" w:ascii="仿宋" w:hAnsi="仿宋" w:eastAsia="仿宋"/>
          <w:color w:val="auto"/>
          <w:kern w:val="1"/>
          <w:sz w:val="24"/>
          <w:szCs w:val="24"/>
          <w:highlight w:val="none"/>
        </w:rPr>
        <w:t>：</w:t>
      </w:r>
      <w:r>
        <w:rPr>
          <w:rFonts w:hint="eastAsia" w:ascii="仿宋" w:hAnsi="仿宋" w:eastAsia="仿宋"/>
          <w:color w:val="auto"/>
          <w:kern w:val="1"/>
          <w:sz w:val="24"/>
          <w:szCs w:val="24"/>
          <w:highlight w:val="none"/>
          <w:lang w:eastAsia="zh-CN"/>
        </w:rPr>
        <w:t>山东大学齐鲁医院（青岛）</w:t>
      </w:r>
      <w:r>
        <w:rPr>
          <w:rFonts w:hint="eastAsia" w:ascii="仿宋" w:hAnsi="仿宋" w:eastAsia="仿宋"/>
          <w:color w:val="auto"/>
          <w:kern w:val="1"/>
          <w:sz w:val="24"/>
          <w:szCs w:val="24"/>
          <w:highlight w:val="none"/>
        </w:rPr>
        <w:t xml:space="preserve"> </w:t>
      </w:r>
    </w:p>
    <w:p w14:paraId="2D2340A3">
      <w:pPr>
        <w:spacing w:line="360" w:lineRule="auto"/>
        <w:ind w:firstLine="960" w:firstLineChars="400"/>
        <w:rPr>
          <w:rFonts w:hint="eastAsia" w:ascii="仿宋" w:hAnsi="仿宋" w:eastAsia="仿宋" w:cs="Times New Roman"/>
          <w:color w:val="auto"/>
          <w:kern w:val="1"/>
          <w:sz w:val="24"/>
          <w:szCs w:val="24"/>
          <w:highlight w:val="none"/>
          <w:lang w:eastAsia="zh-CN"/>
        </w:rPr>
      </w:pPr>
      <w:r>
        <w:rPr>
          <w:rFonts w:hint="eastAsia" w:ascii="仿宋" w:hAnsi="仿宋" w:eastAsia="仿宋" w:cs="Times New Roman"/>
          <w:color w:val="auto"/>
          <w:kern w:val="1"/>
          <w:sz w:val="24"/>
          <w:szCs w:val="24"/>
          <w:highlight w:val="none"/>
        </w:rPr>
        <w:t>地  址：青岛市市北区合肥路758号</w:t>
      </w:r>
    </w:p>
    <w:p w14:paraId="47940C59">
      <w:pPr>
        <w:spacing w:line="360" w:lineRule="auto"/>
        <w:ind w:firstLine="960" w:firstLineChars="400"/>
        <w:rPr>
          <w:rFonts w:hint="default" w:ascii="仿宋" w:hAnsi="仿宋" w:eastAsia="仿宋" w:cs="Times New Roman"/>
          <w:color w:val="auto"/>
          <w:kern w:val="1"/>
          <w:sz w:val="24"/>
          <w:szCs w:val="24"/>
          <w:highlight w:val="none"/>
          <w:lang w:val="en-US" w:eastAsia="zh-CN"/>
        </w:rPr>
      </w:pPr>
      <w:r>
        <w:rPr>
          <w:rFonts w:hint="eastAsia" w:ascii="仿宋" w:hAnsi="仿宋" w:eastAsia="仿宋" w:cs="Times New Roman"/>
          <w:color w:val="auto"/>
          <w:kern w:val="1"/>
          <w:sz w:val="24"/>
          <w:szCs w:val="24"/>
          <w:highlight w:val="none"/>
        </w:rPr>
        <w:t>联系人：</w:t>
      </w:r>
      <w:r>
        <w:rPr>
          <w:rFonts w:hint="eastAsia" w:ascii="仿宋" w:hAnsi="仿宋" w:eastAsia="仿宋" w:cs="Times New Roman"/>
          <w:color w:val="auto"/>
          <w:kern w:val="1"/>
          <w:sz w:val="24"/>
          <w:szCs w:val="24"/>
          <w:highlight w:val="none"/>
          <w:lang w:val="en-US" w:eastAsia="zh-CN"/>
        </w:rPr>
        <w:t xml:space="preserve"> 王老师、姜老师</w:t>
      </w:r>
    </w:p>
    <w:p w14:paraId="6F246D5B">
      <w:pPr>
        <w:spacing w:line="360" w:lineRule="auto"/>
        <w:ind w:firstLine="960" w:firstLineChars="400"/>
        <w:rPr>
          <w:rFonts w:hint="default" w:ascii="仿宋" w:hAnsi="仿宋" w:eastAsia="仿宋" w:cs="Times New Roman"/>
          <w:color w:val="auto"/>
          <w:kern w:val="1"/>
          <w:sz w:val="24"/>
          <w:szCs w:val="24"/>
          <w:highlight w:val="none"/>
          <w:lang w:val="en-US" w:eastAsia="zh-CN"/>
        </w:rPr>
      </w:pPr>
      <w:r>
        <w:rPr>
          <w:rFonts w:hint="eastAsia" w:ascii="仿宋" w:hAnsi="仿宋" w:eastAsia="仿宋" w:cs="Times New Roman"/>
          <w:color w:val="auto"/>
          <w:kern w:val="1"/>
          <w:sz w:val="24"/>
          <w:szCs w:val="24"/>
          <w:highlight w:val="none"/>
        </w:rPr>
        <w:t>联系方式：0532-</w:t>
      </w:r>
      <w:r>
        <w:rPr>
          <w:rFonts w:hint="eastAsia" w:ascii="仿宋" w:hAnsi="仿宋" w:eastAsia="仿宋" w:cs="Times New Roman"/>
          <w:color w:val="auto"/>
          <w:kern w:val="1"/>
          <w:sz w:val="24"/>
          <w:szCs w:val="24"/>
          <w:highlight w:val="none"/>
          <w:lang w:val="en-US" w:eastAsia="zh-CN"/>
        </w:rPr>
        <w:t>66852882、66852884</w:t>
      </w:r>
    </w:p>
    <w:p w14:paraId="122B6E03">
      <w:pPr>
        <w:spacing w:line="360" w:lineRule="auto"/>
        <w:ind w:firstLine="480" w:firstLineChars="200"/>
        <w:rPr>
          <w:rFonts w:hint="eastAsia" w:ascii="仿宋" w:hAnsi="仿宋" w:eastAsia="仿宋" w:cs="仿宋"/>
          <w:color w:val="auto"/>
          <w:kern w:val="1"/>
          <w:sz w:val="24"/>
          <w:szCs w:val="24"/>
          <w:highlight w:val="none"/>
        </w:rPr>
      </w:pPr>
      <w:r>
        <w:rPr>
          <w:rFonts w:hint="eastAsia" w:ascii="仿宋" w:hAnsi="仿宋" w:eastAsia="仿宋"/>
          <w:color w:val="auto"/>
          <w:kern w:val="1"/>
          <w:sz w:val="24"/>
          <w:szCs w:val="24"/>
          <w:highlight w:val="none"/>
        </w:rPr>
        <w:t>10.2</w:t>
      </w:r>
      <w:r>
        <w:rPr>
          <w:rFonts w:hint="eastAsia" w:ascii="仿宋" w:hAnsi="仿宋" w:eastAsia="仿宋" w:cs="仿宋"/>
          <w:color w:val="auto"/>
          <w:kern w:val="1"/>
          <w:sz w:val="24"/>
          <w:szCs w:val="24"/>
          <w:highlight w:val="none"/>
        </w:rPr>
        <w:t>代理机构：</w:t>
      </w:r>
      <w:r>
        <w:rPr>
          <w:rFonts w:hint="eastAsia" w:ascii="仿宋" w:hAnsi="仿宋" w:eastAsia="仿宋"/>
          <w:color w:val="auto"/>
          <w:kern w:val="1"/>
          <w:sz w:val="24"/>
          <w:szCs w:val="24"/>
          <w:highlight w:val="none"/>
        </w:rPr>
        <w:t>嘉信全过程项目咨询管理有限公司</w:t>
      </w:r>
    </w:p>
    <w:p w14:paraId="58BAD994">
      <w:pPr>
        <w:spacing w:line="360" w:lineRule="auto"/>
        <w:ind w:left="479" w:leftChars="228" w:firstLine="540" w:firstLineChars="225"/>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地    址：</w:t>
      </w:r>
      <w:r>
        <w:rPr>
          <w:rFonts w:hint="eastAsia" w:ascii="仿宋" w:hAnsi="仿宋" w:eastAsia="仿宋"/>
          <w:color w:val="auto"/>
          <w:kern w:val="1"/>
          <w:sz w:val="24"/>
          <w:szCs w:val="24"/>
          <w:highlight w:val="none"/>
        </w:rPr>
        <w:t>青岛市市北区台柳路196号和达新都汇三层</w:t>
      </w:r>
    </w:p>
    <w:p w14:paraId="241C36D9">
      <w:pPr>
        <w:spacing w:line="360" w:lineRule="auto"/>
        <w:ind w:firstLine="1020" w:firstLineChars="425"/>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电子信箱：</w:t>
      </w:r>
      <w:r>
        <w:rPr>
          <w:rFonts w:hint="eastAsia" w:ascii="仿宋" w:hAnsi="仿宋" w:eastAsia="仿宋"/>
          <w:color w:val="auto"/>
          <w:kern w:val="1"/>
          <w:sz w:val="24"/>
          <w:szCs w:val="24"/>
          <w:highlight w:val="none"/>
        </w:rPr>
        <w:t>jiaxinzhaobiao@163.com</w:t>
      </w:r>
    </w:p>
    <w:p w14:paraId="11D5D562">
      <w:pPr>
        <w:spacing w:line="360" w:lineRule="auto"/>
        <w:ind w:firstLine="1020" w:firstLineChars="425"/>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联 系 人：</w:t>
      </w:r>
      <w:r>
        <w:rPr>
          <w:rFonts w:hint="eastAsia" w:ascii="仿宋" w:hAnsi="仿宋" w:eastAsia="仿宋"/>
          <w:color w:val="auto"/>
          <w:kern w:val="1"/>
          <w:sz w:val="24"/>
          <w:szCs w:val="24"/>
          <w:highlight w:val="none"/>
        </w:rPr>
        <w:t>周涛</w:t>
      </w:r>
    </w:p>
    <w:p w14:paraId="77BE4C85">
      <w:pPr>
        <w:spacing w:line="360" w:lineRule="auto"/>
        <w:ind w:firstLine="1020" w:firstLineChars="425"/>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电    话：</w:t>
      </w:r>
      <w:r>
        <w:rPr>
          <w:rFonts w:hint="eastAsia" w:ascii="仿宋" w:hAnsi="仿宋" w:eastAsia="仿宋"/>
          <w:color w:val="auto"/>
          <w:kern w:val="1"/>
          <w:sz w:val="24"/>
          <w:szCs w:val="24"/>
          <w:highlight w:val="none"/>
        </w:rPr>
        <w:t>13605327893</w:t>
      </w:r>
    </w:p>
    <w:p w14:paraId="51D7E334">
      <w:pPr>
        <w:spacing w:line="360" w:lineRule="auto"/>
        <w:ind w:firstLine="960" w:firstLineChars="400"/>
        <w:jc w:val="left"/>
        <w:rPr>
          <w:rFonts w:hint="eastAsia" w:ascii="仿宋" w:hAnsi="仿宋" w:eastAsia="仿宋" w:cs="仿宋"/>
          <w:color w:val="auto"/>
          <w:kern w:val="1"/>
          <w:sz w:val="24"/>
          <w:szCs w:val="24"/>
          <w:highlight w:val="none"/>
        </w:rPr>
      </w:pPr>
    </w:p>
    <w:p w14:paraId="3B20C739">
      <w:pPr>
        <w:wordWrap w:val="0"/>
        <w:spacing w:line="360" w:lineRule="auto"/>
        <w:jc w:val="right"/>
        <w:rPr>
          <w:rFonts w:hint="eastAsia" w:ascii="仿宋" w:hAnsi="仿宋" w:eastAsia="仿宋" w:cs="仿宋"/>
          <w:color w:val="auto"/>
          <w:kern w:val="1"/>
          <w:sz w:val="24"/>
          <w:szCs w:val="24"/>
          <w:highlight w:val="none"/>
        </w:rPr>
      </w:pPr>
    </w:p>
    <w:p w14:paraId="72828BA1">
      <w:pPr>
        <w:spacing w:line="420" w:lineRule="exact"/>
        <w:ind w:firstLine="480" w:firstLineChars="200"/>
        <w:jc w:val="right"/>
        <w:rPr>
          <w:rFonts w:hint="eastAsia" w:ascii="宋体" w:hAnsi="宋体"/>
          <w:color w:val="auto"/>
          <w:highlight w:val="none"/>
        </w:rPr>
      </w:pPr>
      <w:r>
        <w:rPr>
          <w:rFonts w:hint="eastAsia" w:ascii="仿宋" w:hAnsi="仿宋" w:eastAsia="仿宋" w:cs="仿宋"/>
          <w:color w:val="auto"/>
          <w:kern w:val="1"/>
          <w:sz w:val="24"/>
          <w:szCs w:val="24"/>
          <w:highlight w:val="none"/>
        </w:rPr>
        <w:t>202</w:t>
      </w:r>
      <w:r>
        <w:rPr>
          <w:rFonts w:hint="eastAsia" w:ascii="仿宋" w:hAnsi="仿宋" w:eastAsia="仿宋" w:cs="仿宋"/>
          <w:color w:val="auto"/>
          <w:kern w:val="1"/>
          <w:sz w:val="24"/>
          <w:szCs w:val="24"/>
          <w:highlight w:val="none"/>
          <w:lang w:val="en-US" w:eastAsia="zh-CN"/>
        </w:rPr>
        <w:t>6</w:t>
      </w:r>
      <w:r>
        <w:rPr>
          <w:rFonts w:hint="eastAsia" w:ascii="仿宋" w:hAnsi="仿宋" w:eastAsia="仿宋" w:cs="仿宋"/>
          <w:color w:val="auto"/>
          <w:kern w:val="1"/>
          <w:sz w:val="24"/>
          <w:szCs w:val="24"/>
          <w:highlight w:val="none"/>
        </w:rPr>
        <w:t>年</w:t>
      </w:r>
      <w:r>
        <w:rPr>
          <w:rFonts w:hint="eastAsia" w:ascii="仿宋" w:hAnsi="仿宋" w:eastAsia="仿宋" w:cs="仿宋"/>
          <w:color w:val="auto"/>
          <w:kern w:val="1"/>
          <w:sz w:val="24"/>
          <w:szCs w:val="24"/>
          <w:highlight w:val="none"/>
          <w:lang w:val="en-US" w:eastAsia="zh-CN"/>
        </w:rPr>
        <w:t>8</w:t>
      </w:r>
      <w:r>
        <w:rPr>
          <w:rFonts w:hint="eastAsia" w:ascii="仿宋" w:hAnsi="仿宋" w:eastAsia="仿宋" w:cs="仿宋"/>
          <w:color w:val="auto"/>
          <w:kern w:val="1"/>
          <w:sz w:val="24"/>
          <w:szCs w:val="24"/>
          <w:highlight w:val="none"/>
        </w:rPr>
        <w:t>月</w:t>
      </w:r>
      <w:r>
        <w:rPr>
          <w:rFonts w:hint="eastAsia" w:ascii="仿宋" w:hAnsi="仿宋" w:eastAsia="仿宋" w:cs="仿宋"/>
          <w:color w:val="auto"/>
          <w:kern w:val="1"/>
          <w:sz w:val="24"/>
          <w:szCs w:val="24"/>
          <w:highlight w:val="none"/>
          <w:lang w:val="en-US" w:eastAsia="zh-CN"/>
        </w:rPr>
        <w:t>19</w:t>
      </w:r>
      <w:r>
        <w:rPr>
          <w:rFonts w:hint="eastAsia" w:ascii="仿宋" w:hAnsi="仿宋" w:eastAsia="仿宋" w:cs="仿宋"/>
          <w:color w:val="auto"/>
          <w:kern w:val="1"/>
          <w:sz w:val="24"/>
          <w:szCs w:val="24"/>
          <w:highlight w:val="none"/>
        </w:rPr>
        <w:t>日</w:t>
      </w:r>
    </w:p>
    <w:p w14:paraId="6F0358B4">
      <w:pPr>
        <w:spacing w:after="312" w:afterLines="100"/>
        <w:jc w:val="center"/>
        <w:outlineLvl w:val="1"/>
        <w:rPr>
          <w:rFonts w:hint="eastAsia" w:ascii="黑体" w:hAnsi="黑体" w:eastAsia="黑体"/>
          <w:color w:val="auto"/>
          <w:sz w:val="28"/>
          <w:szCs w:val="28"/>
          <w:highlight w:val="none"/>
        </w:rPr>
      </w:pPr>
      <w:r>
        <w:rPr>
          <w:rFonts w:ascii="黑体" w:hAnsi="黑体" w:eastAsia="黑体"/>
          <w:color w:val="auto"/>
          <w:sz w:val="28"/>
          <w:szCs w:val="28"/>
          <w:highlight w:val="none"/>
        </w:rPr>
        <w:br w:type="page"/>
      </w:r>
      <w:bookmarkStart w:id="1" w:name="_Toc13208"/>
      <w:r>
        <w:rPr>
          <w:rFonts w:ascii="黑体" w:hAnsi="黑体" w:eastAsia="黑体"/>
          <w:color w:val="auto"/>
          <w:sz w:val="28"/>
          <w:szCs w:val="28"/>
          <w:highlight w:val="none"/>
        </w:rPr>
        <w:t>第二章</w:t>
      </w:r>
      <w:r>
        <w:rPr>
          <w:rFonts w:hint="eastAsia" w:ascii="黑体" w:hAnsi="黑体" w:eastAsia="黑体"/>
          <w:color w:val="auto"/>
          <w:sz w:val="28"/>
          <w:szCs w:val="28"/>
          <w:highlight w:val="none"/>
        </w:rPr>
        <w:t xml:space="preserve">  投标人须知前附表</w:t>
      </w:r>
      <w:bookmarkEnd w:id="1"/>
    </w:p>
    <w:tbl>
      <w:tblPr>
        <w:tblStyle w:val="23"/>
        <w:tblW w:w="0" w:type="auto"/>
        <w:tblInd w:w="0" w:type="dxa"/>
        <w:tblLayout w:type="fixed"/>
        <w:tblCellMar>
          <w:top w:w="0" w:type="dxa"/>
          <w:left w:w="108" w:type="dxa"/>
          <w:bottom w:w="0" w:type="dxa"/>
          <w:right w:w="108" w:type="dxa"/>
        </w:tblCellMar>
      </w:tblPr>
      <w:tblGrid>
        <w:gridCol w:w="959"/>
        <w:gridCol w:w="2793"/>
        <w:gridCol w:w="5534"/>
      </w:tblGrid>
      <w:tr w14:paraId="207D2E0D">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2F3FC28C">
            <w:pPr>
              <w:tabs>
                <w:tab w:val="left" w:pos="7665"/>
              </w:tabs>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序号</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125101A7">
            <w:pPr>
              <w:tabs>
                <w:tab w:val="left" w:pos="7665"/>
              </w:tabs>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条款名称</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05141D68">
            <w:pPr>
              <w:tabs>
                <w:tab w:val="left" w:pos="7665"/>
              </w:tabs>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编列内容</w:t>
            </w:r>
          </w:p>
        </w:tc>
      </w:tr>
      <w:tr w14:paraId="737498CB">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7DC8134">
            <w:pPr>
              <w:spacing w:line="360" w:lineRule="auto"/>
              <w:jc w:val="center"/>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5C7664E8">
            <w:pPr>
              <w:spacing w:line="360" w:lineRule="auto"/>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采购人</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7D7EA06F">
            <w:pPr>
              <w:spacing w:line="360" w:lineRule="auto"/>
              <w:rPr>
                <w:rFonts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山东大学齐鲁医院（青岛）</w:t>
            </w:r>
          </w:p>
        </w:tc>
      </w:tr>
      <w:tr w14:paraId="773176B0">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119786A">
            <w:pPr>
              <w:spacing w:line="360" w:lineRule="auto"/>
              <w:jc w:val="center"/>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1EB916B9">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代理机构</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7F1434D8">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嘉信全过程项目咨询管理有限公司</w:t>
            </w:r>
          </w:p>
        </w:tc>
      </w:tr>
      <w:tr w14:paraId="40C8131A">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702EC2B9">
            <w:pPr>
              <w:spacing w:line="360" w:lineRule="auto"/>
              <w:jc w:val="center"/>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1C2578E5">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项目名称</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318FA435">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山东大学齐鲁医院（青岛）康复科设备包采购项目</w:t>
            </w:r>
          </w:p>
        </w:tc>
      </w:tr>
      <w:tr w14:paraId="44890D64">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5D56928">
            <w:pPr>
              <w:spacing w:line="360" w:lineRule="auto"/>
              <w:jc w:val="center"/>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4</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69B10BFA">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分包情况</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069C9594">
            <w:pPr>
              <w:spacing w:line="360" w:lineRule="auto"/>
              <w:rPr>
                <w:rFonts w:hint="default" w:ascii="仿宋" w:hAnsi="仿宋" w:eastAsia="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本项目分多个包采购，投标人可以投标多个包，中标包数不受限制</w:t>
            </w:r>
          </w:p>
        </w:tc>
      </w:tr>
      <w:tr w14:paraId="443A05F4">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496D760C">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6F13FEB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资金来源以及资金构成</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76A858B6">
            <w:pPr>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自筹</w:t>
            </w:r>
            <w:r>
              <w:rPr>
                <w:rFonts w:hint="eastAsia" w:ascii="仿宋" w:hAnsi="仿宋" w:eastAsia="仿宋" w:cs="仿宋"/>
                <w:color w:val="auto"/>
                <w:sz w:val="24"/>
                <w:szCs w:val="24"/>
                <w:highlight w:val="none"/>
              </w:rPr>
              <w:t>资金100%</w:t>
            </w:r>
          </w:p>
        </w:tc>
      </w:tr>
      <w:tr w14:paraId="7D8ECE90">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E607B7A">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6</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7BCBB1AA">
            <w:pPr>
              <w:spacing w:line="360" w:lineRule="auto"/>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rPr>
              <w:t>是否接受联合体投标</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69003154">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fldChar w:fldCharType="begin"/>
            </w:r>
            <w:r>
              <w:rPr>
                <w:rFonts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rPr>
              <w:instrText xml:space="preserve">□</w:instrText>
            </w:r>
            <w:r>
              <w:rPr>
                <w:rFonts w:ascii="仿宋" w:hAnsi="仿宋" w:eastAsia="仿宋"/>
                <w:color w:val="auto"/>
                <w:sz w:val="24"/>
                <w:szCs w:val="24"/>
                <w:highlight w:val="none"/>
              </w:rPr>
              <w:instrText xml:space="preserve">,</w:instrText>
            </w:r>
            <w:r>
              <w:rPr>
                <w:rFonts w:hint="eastAsia" w:ascii="仿宋" w:hAnsi="仿宋" w:eastAsia="仿宋"/>
                <w:color w:val="auto"/>
                <w:sz w:val="24"/>
                <w:szCs w:val="24"/>
                <w:highlight w:val="none"/>
              </w:rPr>
              <w:instrText xml:space="preserve">√</w:instrText>
            </w:r>
            <w:r>
              <w:rPr>
                <w:rFonts w:ascii="仿宋" w:hAnsi="仿宋" w:eastAsia="仿宋"/>
                <w:color w:val="auto"/>
                <w:sz w:val="24"/>
                <w:szCs w:val="24"/>
                <w:highlight w:val="none"/>
              </w:rPr>
              <w:instrText xml:space="preserve">)</w:instrText>
            </w:r>
            <w:r>
              <w:rPr>
                <w:rFonts w:ascii="仿宋" w:hAnsi="仿宋" w:eastAsia="仿宋"/>
                <w:color w:val="auto"/>
                <w:sz w:val="24"/>
                <w:szCs w:val="24"/>
                <w:highlight w:val="none"/>
              </w:rPr>
              <w:fldChar w:fldCharType="end"/>
            </w:r>
            <w:r>
              <w:rPr>
                <w:rFonts w:hint="eastAsia" w:ascii="仿宋" w:hAnsi="仿宋" w:eastAsia="仿宋"/>
                <w:color w:val="auto"/>
                <w:sz w:val="24"/>
                <w:szCs w:val="24"/>
                <w:highlight w:val="none"/>
              </w:rPr>
              <w:t xml:space="preserve"> 不接受</w:t>
            </w:r>
          </w:p>
          <w:p w14:paraId="24C38879">
            <w:pPr>
              <w:spacing w:line="360" w:lineRule="auto"/>
              <w:rPr>
                <w:rFonts w:ascii="仿宋" w:hAnsi="仿宋" w:eastAsia="仿宋"/>
                <w:color w:val="auto"/>
                <w:sz w:val="24"/>
                <w:szCs w:val="24"/>
                <w:highlight w:val="none"/>
                <w:lang w:val="zh-CN"/>
              </w:rPr>
            </w:pPr>
            <w:r>
              <w:rPr>
                <w:rFonts w:hint="eastAsia" w:ascii="仿宋" w:hAnsi="仿宋" w:eastAsia="仿宋"/>
                <w:color w:val="auto"/>
                <w:sz w:val="24"/>
                <w:szCs w:val="24"/>
                <w:highlight w:val="none"/>
              </w:rPr>
              <w:t>□ 接受，应满足下列要求：</w:t>
            </w:r>
            <w:r>
              <w:rPr>
                <w:rFonts w:hint="eastAsia" w:ascii="仿宋" w:hAnsi="仿宋" w:eastAsia="仿宋"/>
                <w:color w:val="auto"/>
                <w:sz w:val="24"/>
                <w:szCs w:val="24"/>
                <w:highlight w:val="none"/>
                <w:u w:val="single"/>
              </w:rPr>
              <w:t xml:space="preserve">           </w:t>
            </w:r>
          </w:p>
        </w:tc>
      </w:tr>
      <w:tr w14:paraId="5C6BD14A">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C298D70">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7</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0D269DF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zh-CN"/>
              </w:rPr>
              <w:t>投标有效期</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0F7F1764">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自投标截止之日起</w:t>
            </w:r>
            <w:r>
              <w:rPr>
                <w:rFonts w:hint="eastAsia" w:ascii="仿宋" w:hAnsi="仿宋" w:eastAsia="仿宋"/>
                <w:color w:val="auto"/>
                <w:sz w:val="24"/>
                <w:szCs w:val="24"/>
                <w:highlight w:val="none"/>
                <w:u w:val="single"/>
              </w:rPr>
              <w:t xml:space="preserve"> 90</w:t>
            </w:r>
            <w:r>
              <w:rPr>
                <w:rFonts w:ascii="仿宋" w:hAnsi="仿宋" w:eastAsia="仿宋"/>
                <w:color w:val="auto"/>
                <w:sz w:val="24"/>
                <w:szCs w:val="24"/>
                <w:highlight w:val="none"/>
                <w:u w:val="single"/>
              </w:rPr>
              <w:t xml:space="preserve"> </w:t>
            </w:r>
            <w:r>
              <w:rPr>
                <w:rFonts w:hint="eastAsia" w:ascii="仿宋" w:hAnsi="仿宋" w:eastAsia="仿宋"/>
                <w:color w:val="auto"/>
                <w:sz w:val="24"/>
                <w:szCs w:val="24"/>
                <w:highlight w:val="none"/>
              </w:rPr>
              <w:t>个日历天。</w:t>
            </w:r>
          </w:p>
        </w:tc>
      </w:tr>
      <w:tr w14:paraId="414298D0">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C708D0C">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8</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50B10373">
            <w:pPr>
              <w:spacing w:line="360" w:lineRule="auto"/>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踏勘现场</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544456A5">
            <w:pPr>
              <w:spacing w:line="360" w:lineRule="auto"/>
              <w:rPr>
                <w:rFonts w:hint="eastAsia" w:ascii="仿宋" w:hAnsi="仿宋" w:eastAsia="仿宋" w:cs="仿宋"/>
                <w:color w:val="auto"/>
                <w:sz w:val="24"/>
                <w:szCs w:val="24"/>
                <w:highlight w:val="none"/>
                <w:lang w:val="zh-CN"/>
              </w:rPr>
            </w:pPr>
            <w:r>
              <w:rPr>
                <w:rFonts w:ascii="仿宋" w:hAnsi="仿宋" w:eastAsia="仿宋"/>
                <w:color w:val="auto"/>
                <w:sz w:val="24"/>
                <w:szCs w:val="24"/>
                <w:highlight w:val="none"/>
              </w:rPr>
              <w:fldChar w:fldCharType="begin"/>
            </w:r>
            <w:r>
              <w:rPr>
                <w:rFonts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rPr>
              <w:instrText xml:space="preserve">□</w:instrText>
            </w:r>
            <w:r>
              <w:rPr>
                <w:rFonts w:ascii="仿宋" w:hAnsi="仿宋" w:eastAsia="仿宋"/>
                <w:color w:val="auto"/>
                <w:sz w:val="24"/>
                <w:szCs w:val="24"/>
                <w:highlight w:val="none"/>
              </w:rPr>
              <w:instrText xml:space="preserve">,</w:instrText>
            </w:r>
            <w:r>
              <w:rPr>
                <w:rFonts w:hint="eastAsia" w:ascii="仿宋" w:hAnsi="仿宋" w:eastAsia="仿宋"/>
                <w:color w:val="auto"/>
                <w:sz w:val="24"/>
                <w:szCs w:val="24"/>
                <w:highlight w:val="none"/>
              </w:rPr>
              <w:instrText xml:space="preserve">√</w:instrText>
            </w:r>
            <w:r>
              <w:rPr>
                <w:rFonts w:ascii="仿宋" w:hAnsi="仿宋" w:eastAsia="仿宋"/>
                <w:color w:val="auto"/>
                <w:sz w:val="24"/>
                <w:szCs w:val="24"/>
                <w:highlight w:val="none"/>
              </w:rPr>
              <w:instrText xml:space="preserve">)</w:instrText>
            </w:r>
            <w:r>
              <w:rPr>
                <w:rFonts w:ascii="仿宋" w:hAnsi="仿宋" w:eastAsia="仿宋"/>
                <w:color w:val="auto"/>
                <w:sz w:val="24"/>
                <w:szCs w:val="24"/>
                <w:highlight w:val="none"/>
              </w:rPr>
              <w:fldChar w:fldCharType="end"/>
            </w:r>
            <w:r>
              <w:rPr>
                <w:rFonts w:hint="eastAsia" w:ascii="仿宋" w:hAnsi="仿宋" w:eastAsia="仿宋" w:cs="仿宋"/>
                <w:color w:val="auto"/>
                <w:sz w:val="24"/>
                <w:szCs w:val="24"/>
                <w:highlight w:val="none"/>
                <w:lang w:val="zh-CN"/>
              </w:rPr>
              <w:t xml:space="preserve"> 不组织，自行踏勘</w:t>
            </w:r>
          </w:p>
          <w:p w14:paraId="70C1C02B">
            <w:pPr>
              <w:tabs>
                <w:tab w:val="left" w:pos="7665"/>
              </w:tabs>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 组织</w:t>
            </w:r>
          </w:p>
        </w:tc>
      </w:tr>
      <w:tr w14:paraId="61DAEF99">
        <w:tblPrEx>
          <w:tblCellMar>
            <w:top w:w="0" w:type="dxa"/>
            <w:left w:w="108" w:type="dxa"/>
            <w:bottom w:w="0" w:type="dxa"/>
            <w:right w:w="108" w:type="dxa"/>
          </w:tblCellMar>
        </w:tblPrEx>
        <w:trPr>
          <w:trHeight w:val="912"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40E57B9">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9</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75629E20">
            <w:pPr>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履约保证金</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0DEA881A">
            <w:pPr>
              <w:spacing w:line="360" w:lineRule="auto"/>
              <w:rPr>
                <w:rFonts w:ascii="仿宋" w:hAnsi="仿宋" w:eastAsia="仿宋"/>
                <w:color w:val="auto"/>
                <w:sz w:val="24"/>
                <w:szCs w:val="24"/>
                <w:highlight w:val="none"/>
              </w:rPr>
            </w:pPr>
            <w:r>
              <w:rPr>
                <w:rFonts w:ascii="仿宋" w:hAnsi="仿宋" w:eastAsia="仿宋" w:cs="仿宋"/>
                <w:color w:val="auto"/>
                <w:sz w:val="24"/>
                <w:highlight w:val="none"/>
              </w:rPr>
              <w:fldChar w:fldCharType="begin"/>
            </w:r>
            <w:r>
              <w:rPr>
                <w:rFonts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instrText xml:space="preserve">□</w:instrText>
            </w:r>
            <w:r>
              <w:rPr>
                <w:rFonts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instrText xml:space="preserve">√</w:instrText>
            </w:r>
            <w:r>
              <w:rPr>
                <w:rFonts w:ascii="仿宋" w:hAnsi="仿宋" w:eastAsia="仿宋" w:cs="仿宋"/>
                <w:color w:val="auto"/>
                <w:sz w:val="24"/>
                <w:highlight w:val="none"/>
              </w:rPr>
              <w:instrText xml:space="preserve">)</w:instrText>
            </w:r>
            <w:r>
              <w:rPr>
                <w:rFonts w:ascii="仿宋" w:hAnsi="仿宋" w:eastAsia="仿宋" w:cs="仿宋"/>
                <w:color w:val="auto"/>
                <w:sz w:val="24"/>
                <w:highlight w:val="none"/>
              </w:rPr>
              <w:fldChar w:fldCharType="end"/>
            </w:r>
            <w:r>
              <w:rPr>
                <w:rFonts w:hint="eastAsia" w:ascii="仿宋" w:hAnsi="仿宋" w:eastAsia="仿宋"/>
                <w:color w:val="auto"/>
                <w:sz w:val="24"/>
                <w:szCs w:val="24"/>
                <w:highlight w:val="none"/>
              </w:rPr>
              <w:t xml:space="preserve"> 不需要</w:t>
            </w:r>
          </w:p>
          <w:p w14:paraId="721CC1EA">
            <w:pPr>
              <w:spacing w:line="360" w:lineRule="auto"/>
              <w:rPr>
                <w:rFonts w:hint="eastAsia" w:ascii="仿宋" w:hAnsi="仿宋" w:eastAsia="仿宋" w:cs="仿宋"/>
                <w:color w:val="auto"/>
                <w:sz w:val="24"/>
                <w:szCs w:val="24"/>
                <w:highlight w:val="none"/>
              </w:rPr>
            </w:pPr>
            <w:r>
              <w:rPr>
                <w:rFonts w:hint="eastAsia" w:ascii="仿宋" w:hAnsi="仿宋" w:eastAsia="仿宋"/>
                <w:color w:val="auto"/>
                <w:sz w:val="24"/>
                <w:szCs w:val="24"/>
                <w:highlight w:val="none"/>
              </w:rPr>
              <w:t>□ 需要，履约保证金的金额：成交合同金额的</w:t>
            </w:r>
            <w:r>
              <w:rPr>
                <w:rFonts w:ascii="仿宋" w:hAnsi="仿宋" w:eastAsia="仿宋"/>
                <w:color w:val="auto"/>
                <w:sz w:val="24"/>
                <w:szCs w:val="24"/>
                <w:highlight w:val="none"/>
                <w:u w:val="single"/>
              </w:rPr>
              <w:t xml:space="preserve">   </w:t>
            </w:r>
            <w:r>
              <w:rPr>
                <w:rFonts w:hint="eastAsia" w:ascii="仿宋" w:hAnsi="仿宋" w:eastAsia="仿宋"/>
                <w:color w:val="auto"/>
                <w:sz w:val="24"/>
                <w:szCs w:val="24"/>
                <w:highlight w:val="none"/>
              </w:rPr>
              <w:t>%（履约保证金须以</w:t>
            </w:r>
            <w:r>
              <w:rPr>
                <w:rFonts w:ascii="仿宋" w:hAnsi="仿宋" w:eastAsia="仿宋"/>
                <w:color w:val="auto"/>
                <w:sz w:val="24"/>
                <w:szCs w:val="24"/>
                <w:highlight w:val="none"/>
              </w:rPr>
              <w:t>支票、汇票、本票或者金融机构、担保机构出具的保函等非现金形式提交</w:t>
            </w:r>
            <w:r>
              <w:rPr>
                <w:rFonts w:hint="eastAsia" w:ascii="仿宋" w:hAnsi="仿宋" w:eastAsia="仿宋"/>
                <w:color w:val="auto"/>
                <w:sz w:val="24"/>
                <w:szCs w:val="24"/>
                <w:highlight w:val="none"/>
              </w:rPr>
              <w:t>）</w:t>
            </w:r>
          </w:p>
        </w:tc>
      </w:tr>
      <w:tr w14:paraId="22FBE441">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05CD80C">
            <w:pPr>
              <w:spacing w:line="360" w:lineRule="auto"/>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30131A9F">
            <w:pPr>
              <w:spacing w:line="360" w:lineRule="auto"/>
              <w:rPr>
                <w:rFonts w:ascii="仿宋" w:hAnsi="仿宋" w:eastAsia="仿宋" w:cs="仿宋"/>
                <w:color w:val="auto"/>
                <w:sz w:val="24"/>
                <w:szCs w:val="24"/>
                <w:highlight w:val="none"/>
                <w:lang w:val="zh-CN"/>
              </w:rPr>
            </w:pPr>
            <w:r>
              <w:rPr>
                <w:rFonts w:hint="eastAsia" w:ascii="仿宋" w:hAnsi="仿宋" w:eastAsia="仿宋"/>
                <w:color w:val="auto"/>
                <w:sz w:val="24"/>
                <w:szCs w:val="24"/>
                <w:highlight w:val="none"/>
                <w:lang w:val="zh-CN"/>
              </w:rPr>
              <w:t>招标代理服务费支付</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3D6AFC2C">
            <w:pPr>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 xml:space="preserve">□ </w:t>
            </w:r>
            <w:r>
              <w:rPr>
                <w:rFonts w:hint="eastAsia" w:ascii="仿宋" w:hAnsi="仿宋" w:eastAsia="仿宋"/>
                <w:color w:val="auto"/>
                <w:sz w:val="24"/>
                <w:szCs w:val="24"/>
                <w:highlight w:val="none"/>
                <w:lang w:val="zh-CN"/>
              </w:rPr>
              <w:t>由采购人支付</w:t>
            </w:r>
          </w:p>
          <w:p w14:paraId="7C78CC90">
            <w:pPr>
              <w:spacing w:line="360" w:lineRule="auto"/>
              <w:rPr>
                <w:rFonts w:hint="eastAsia" w:ascii="仿宋" w:hAnsi="仿宋" w:eastAsia="仿宋"/>
                <w:color w:val="auto"/>
                <w:sz w:val="24"/>
                <w:szCs w:val="24"/>
                <w:highlight w:val="none"/>
                <w:lang w:val="zh-CN"/>
              </w:rPr>
            </w:pPr>
            <w:r>
              <w:rPr>
                <w:rFonts w:ascii="仿宋" w:hAnsi="仿宋" w:eastAsia="仿宋"/>
                <w:color w:val="auto"/>
                <w:sz w:val="24"/>
                <w:szCs w:val="24"/>
                <w:highlight w:val="none"/>
              </w:rPr>
              <w:fldChar w:fldCharType="begin"/>
            </w:r>
            <w:r>
              <w:rPr>
                <w:rFonts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rPr>
              <w:instrText xml:space="preserve">□</w:instrText>
            </w:r>
            <w:r>
              <w:rPr>
                <w:rFonts w:ascii="仿宋" w:hAnsi="仿宋" w:eastAsia="仿宋"/>
                <w:color w:val="auto"/>
                <w:sz w:val="24"/>
                <w:szCs w:val="24"/>
                <w:highlight w:val="none"/>
              </w:rPr>
              <w:instrText xml:space="preserve">,</w:instrText>
            </w:r>
            <w:r>
              <w:rPr>
                <w:rFonts w:hint="eastAsia" w:ascii="仿宋" w:hAnsi="仿宋" w:eastAsia="仿宋"/>
                <w:color w:val="auto"/>
                <w:sz w:val="24"/>
                <w:szCs w:val="24"/>
                <w:highlight w:val="none"/>
              </w:rPr>
              <w:instrText xml:space="preserve">√</w:instrText>
            </w:r>
            <w:r>
              <w:rPr>
                <w:rFonts w:ascii="仿宋" w:hAnsi="仿宋" w:eastAsia="仿宋"/>
                <w:color w:val="auto"/>
                <w:sz w:val="24"/>
                <w:szCs w:val="24"/>
                <w:highlight w:val="none"/>
              </w:rPr>
              <w:instrText xml:space="preserve">)</w:instrText>
            </w:r>
            <w:r>
              <w:rPr>
                <w:rFonts w:ascii="仿宋" w:hAnsi="仿宋" w:eastAsia="仿宋"/>
                <w:color w:val="auto"/>
                <w:sz w:val="24"/>
                <w:szCs w:val="24"/>
                <w:highlight w:val="none"/>
              </w:rPr>
              <w:fldChar w:fldCharType="end"/>
            </w:r>
            <w:r>
              <w:rPr>
                <w:rFonts w:hint="eastAsia" w:ascii="仿宋" w:hAnsi="仿宋" w:eastAsia="仿宋" w:cs="仿宋"/>
                <w:color w:val="auto"/>
                <w:sz w:val="24"/>
                <w:szCs w:val="24"/>
                <w:highlight w:val="none"/>
                <w:lang w:val="zh-CN"/>
              </w:rPr>
              <w:t xml:space="preserve"> </w:t>
            </w:r>
            <w:r>
              <w:rPr>
                <w:rFonts w:hint="eastAsia" w:ascii="仿宋" w:hAnsi="仿宋" w:eastAsia="仿宋"/>
                <w:color w:val="auto"/>
                <w:sz w:val="24"/>
                <w:szCs w:val="24"/>
                <w:highlight w:val="none"/>
                <w:lang w:val="zh-CN"/>
              </w:rPr>
              <w:t>由中标人支付</w:t>
            </w:r>
          </w:p>
          <w:p w14:paraId="65BBF93B">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val="zh-CN"/>
              </w:rPr>
              <w:t>本项目</w:t>
            </w:r>
            <w:r>
              <w:rPr>
                <w:rFonts w:hint="eastAsia" w:ascii="仿宋" w:hAnsi="仿宋" w:eastAsia="仿宋"/>
                <w:color w:val="auto"/>
                <w:sz w:val="24"/>
                <w:szCs w:val="24"/>
                <w:highlight w:val="none"/>
                <w:lang w:val="en-US" w:eastAsia="zh-CN"/>
              </w:rPr>
              <w:t>招标</w:t>
            </w:r>
            <w:r>
              <w:rPr>
                <w:rFonts w:hint="eastAsia" w:ascii="仿宋" w:hAnsi="仿宋" w:eastAsia="仿宋"/>
                <w:color w:val="auto"/>
                <w:sz w:val="24"/>
                <w:szCs w:val="24"/>
                <w:highlight w:val="none"/>
                <w:lang w:val="zh-CN"/>
              </w:rPr>
              <w:t>代理服务费：参照原国家计委《招标代理服务收费管理暂行办法》（计价格【2002】1980号）收费标准的60%收取。</w:t>
            </w:r>
          </w:p>
          <w:p w14:paraId="07A2F546">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注：</w:t>
            </w:r>
            <w:r>
              <w:rPr>
                <w:rFonts w:hint="eastAsia" w:ascii="仿宋" w:hAnsi="仿宋" w:eastAsia="仿宋"/>
                <w:color w:val="auto"/>
                <w:sz w:val="24"/>
                <w:szCs w:val="24"/>
                <w:highlight w:val="none"/>
                <w:lang w:val="en-US" w:eastAsia="zh-CN"/>
              </w:rPr>
              <w:t>招标</w:t>
            </w:r>
            <w:r>
              <w:rPr>
                <w:rFonts w:hint="eastAsia" w:ascii="仿宋" w:hAnsi="仿宋" w:eastAsia="仿宋"/>
                <w:color w:val="auto"/>
                <w:sz w:val="24"/>
                <w:szCs w:val="24"/>
                <w:highlight w:val="none"/>
                <w:lang w:val="zh-CN"/>
              </w:rPr>
              <w:t>代理服务费收费不足3000元的按照3000元收取。</w:t>
            </w:r>
          </w:p>
          <w:p w14:paraId="5AFC1073">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招标代理服务费由</w:t>
            </w:r>
            <w:r>
              <w:rPr>
                <w:rFonts w:hint="eastAsia" w:ascii="仿宋" w:hAnsi="仿宋" w:eastAsia="仿宋"/>
                <w:color w:val="auto"/>
                <w:sz w:val="24"/>
                <w:szCs w:val="24"/>
                <w:highlight w:val="none"/>
                <w:lang w:val="en-US" w:eastAsia="zh-CN"/>
              </w:rPr>
              <w:t>投标人</w:t>
            </w:r>
            <w:r>
              <w:rPr>
                <w:rFonts w:hint="eastAsia" w:ascii="仿宋" w:hAnsi="仿宋" w:eastAsia="仿宋"/>
                <w:color w:val="auto"/>
                <w:sz w:val="24"/>
                <w:szCs w:val="24"/>
                <w:highlight w:val="none"/>
                <w:lang w:val="zh-CN"/>
              </w:rPr>
              <w:t>在报价时综合考虑，投标报价中不单独列项。</w:t>
            </w:r>
          </w:p>
          <w:p w14:paraId="22E4F31E">
            <w:pPr>
              <w:spacing w:line="360" w:lineRule="auto"/>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2.</w:t>
            </w:r>
            <w:r>
              <w:rPr>
                <w:rFonts w:hint="eastAsia" w:ascii="仿宋" w:hAnsi="仿宋" w:eastAsia="仿宋"/>
                <w:color w:val="auto"/>
                <w:sz w:val="24"/>
                <w:szCs w:val="24"/>
                <w:highlight w:val="none"/>
                <w:lang w:val="en-US" w:eastAsia="zh-CN"/>
              </w:rPr>
              <w:t>中标人</w:t>
            </w:r>
            <w:r>
              <w:rPr>
                <w:rFonts w:hint="eastAsia" w:ascii="仿宋" w:hAnsi="仿宋" w:eastAsia="仿宋"/>
                <w:color w:val="auto"/>
                <w:sz w:val="24"/>
                <w:szCs w:val="24"/>
                <w:highlight w:val="none"/>
                <w:lang w:val="zh-CN"/>
              </w:rPr>
              <w:t>应在</w:t>
            </w:r>
            <w:r>
              <w:rPr>
                <w:rFonts w:hint="eastAsia" w:ascii="仿宋" w:hAnsi="仿宋" w:eastAsia="仿宋"/>
                <w:color w:val="auto"/>
                <w:sz w:val="24"/>
                <w:szCs w:val="24"/>
                <w:highlight w:val="none"/>
                <w:lang w:val="en-US" w:eastAsia="zh-CN"/>
              </w:rPr>
              <w:t>中标</w:t>
            </w:r>
            <w:r>
              <w:rPr>
                <w:rFonts w:hint="eastAsia" w:ascii="仿宋" w:hAnsi="仿宋" w:eastAsia="仿宋"/>
                <w:color w:val="auto"/>
                <w:sz w:val="24"/>
                <w:szCs w:val="24"/>
                <w:highlight w:val="none"/>
                <w:lang w:val="zh-CN"/>
              </w:rPr>
              <w:t>公告发布之日起5个工作日内支付代理服务费，否则应承担因此产生的诉讼费、保全费、诉责险费及律师费等。因</w:t>
            </w:r>
            <w:r>
              <w:rPr>
                <w:rFonts w:hint="eastAsia" w:ascii="仿宋" w:hAnsi="仿宋" w:eastAsia="仿宋"/>
                <w:color w:val="auto"/>
                <w:sz w:val="24"/>
                <w:szCs w:val="24"/>
                <w:highlight w:val="none"/>
                <w:lang w:val="en-US" w:eastAsia="zh-CN"/>
              </w:rPr>
              <w:t>中标人</w:t>
            </w:r>
            <w:r>
              <w:rPr>
                <w:rFonts w:hint="eastAsia" w:ascii="仿宋" w:hAnsi="仿宋" w:eastAsia="仿宋"/>
                <w:color w:val="auto"/>
                <w:sz w:val="24"/>
                <w:szCs w:val="24"/>
                <w:highlight w:val="none"/>
                <w:lang w:val="zh-CN"/>
              </w:rPr>
              <w:t>拖欠代理服务费而产生的纠纷，由代理机构所在地人民法院管辖。</w:t>
            </w:r>
          </w:p>
          <w:p w14:paraId="4A8E3EF9">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zh-CN"/>
              </w:rPr>
              <w:t>3.方式：转账或电汇等。</w:t>
            </w:r>
          </w:p>
        </w:tc>
      </w:tr>
      <w:tr w14:paraId="37D7BF1B">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766F761">
            <w:pPr>
              <w:spacing w:line="360" w:lineRule="auto"/>
              <w:jc w:val="center"/>
              <w:rPr>
                <w:rFonts w:hint="eastAsia"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rPr>
              <w:t>1</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41FA55FF">
            <w:pPr>
              <w:spacing w:line="360" w:lineRule="auto"/>
              <w:rPr>
                <w:rFonts w:ascii="仿宋" w:hAnsi="仿宋" w:eastAsia="仿宋"/>
                <w:color w:val="auto"/>
                <w:sz w:val="24"/>
                <w:szCs w:val="24"/>
                <w:highlight w:val="none"/>
                <w:lang w:val="zh-CN"/>
              </w:rPr>
            </w:pPr>
            <w:r>
              <w:rPr>
                <w:rFonts w:hint="eastAsia" w:ascii="仿宋" w:hAnsi="仿宋" w:eastAsia="仿宋"/>
                <w:color w:val="auto"/>
                <w:sz w:val="24"/>
                <w:szCs w:val="24"/>
                <w:highlight w:val="none"/>
              </w:rPr>
              <w:t>构成招标文件的其他材料</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027DB7AA">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无</w:t>
            </w:r>
          </w:p>
        </w:tc>
      </w:tr>
      <w:tr w14:paraId="2361D32F">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28D0C49">
            <w:pPr>
              <w:spacing w:line="360" w:lineRule="auto"/>
              <w:jc w:val="center"/>
              <w:rPr>
                <w:rFonts w:hint="eastAsia" w:ascii="仿宋" w:hAnsi="仿宋" w:eastAsia="仿宋"/>
                <w:color w:val="auto"/>
                <w:sz w:val="24"/>
                <w:szCs w:val="24"/>
                <w:highlight w:val="none"/>
              </w:rPr>
            </w:pPr>
            <w:r>
              <w:rPr>
                <w:rFonts w:ascii="仿宋" w:hAnsi="仿宋" w:eastAsia="仿宋"/>
                <w:color w:val="auto"/>
                <w:sz w:val="24"/>
                <w:szCs w:val="24"/>
                <w:highlight w:val="none"/>
              </w:rPr>
              <w:t>1</w:t>
            </w:r>
            <w:r>
              <w:rPr>
                <w:rFonts w:hint="eastAsia" w:ascii="仿宋" w:hAnsi="仿宋" w:eastAsia="仿宋"/>
                <w:color w:val="auto"/>
                <w:sz w:val="24"/>
                <w:szCs w:val="24"/>
                <w:highlight w:val="none"/>
              </w:rPr>
              <w:t>2</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26D59232">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投标人要求澄清招标文件的截止时间</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4D3BF88D">
            <w:pPr>
              <w:spacing w:line="360" w:lineRule="auto"/>
              <w:rPr>
                <w:rFonts w:hint="eastAsia" w:ascii="仿宋" w:hAnsi="仿宋" w:eastAsia="仿宋"/>
                <w:color w:val="auto"/>
                <w:sz w:val="24"/>
                <w:szCs w:val="24"/>
                <w:highlight w:val="none"/>
                <w:lang w:val="zh-CN"/>
              </w:rPr>
            </w:pPr>
            <w:r>
              <w:rPr>
                <w:rFonts w:ascii="仿宋" w:hAnsi="仿宋" w:eastAsia="仿宋"/>
                <w:color w:val="auto"/>
                <w:sz w:val="24"/>
                <w:szCs w:val="24"/>
                <w:highlight w:val="none"/>
              </w:rPr>
              <w:fldChar w:fldCharType="begin"/>
            </w:r>
            <w:r>
              <w:rPr>
                <w:rFonts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rPr>
              <w:instrText xml:space="preserve">□</w:instrText>
            </w:r>
            <w:r>
              <w:rPr>
                <w:rFonts w:ascii="仿宋" w:hAnsi="仿宋" w:eastAsia="仿宋"/>
                <w:color w:val="auto"/>
                <w:sz w:val="24"/>
                <w:szCs w:val="24"/>
                <w:highlight w:val="none"/>
              </w:rPr>
              <w:instrText xml:space="preserve">,</w:instrText>
            </w:r>
            <w:r>
              <w:rPr>
                <w:rFonts w:hint="eastAsia" w:ascii="仿宋" w:hAnsi="仿宋" w:eastAsia="仿宋"/>
                <w:color w:val="auto"/>
                <w:sz w:val="24"/>
                <w:szCs w:val="24"/>
                <w:highlight w:val="none"/>
              </w:rPr>
              <w:instrText xml:space="preserve">√</w:instrText>
            </w:r>
            <w:r>
              <w:rPr>
                <w:rFonts w:ascii="仿宋" w:hAnsi="仿宋" w:eastAsia="仿宋"/>
                <w:color w:val="auto"/>
                <w:sz w:val="24"/>
                <w:szCs w:val="24"/>
                <w:highlight w:val="none"/>
              </w:rPr>
              <w:instrText xml:space="preserve">)</w:instrText>
            </w:r>
            <w:r>
              <w:rPr>
                <w:rFonts w:ascii="仿宋" w:hAnsi="仿宋" w:eastAsia="仿宋"/>
                <w:color w:val="auto"/>
                <w:sz w:val="24"/>
                <w:szCs w:val="24"/>
                <w:highlight w:val="none"/>
              </w:rPr>
              <w:fldChar w:fldCharType="end"/>
            </w:r>
            <w:r>
              <w:rPr>
                <w:rFonts w:hint="eastAsia" w:ascii="仿宋" w:hAnsi="仿宋" w:eastAsia="仿宋"/>
                <w:color w:val="auto"/>
                <w:sz w:val="24"/>
                <w:szCs w:val="24"/>
                <w:highlight w:val="none"/>
              </w:rPr>
              <w:t xml:space="preserve"> </w:t>
            </w:r>
            <w:r>
              <w:rPr>
                <w:rFonts w:hint="eastAsia" w:ascii="仿宋" w:hAnsi="仿宋" w:eastAsia="仿宋"/>
                <w:color w:val="auto"/>
                <w:sz w:val="24"/>
                <w:szCs w:val="24"/>
                <w:highlight w:val="none"/>
                <w:lang w:val="zh-CN"/>
              </w:rPr>
              <w:t>招标文件发售截止时间次日17点前</w:t>
            </w:r>
          </w:p>
          <w:p w14:paraId="6F32F21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zh-CN"/>
              </w:rPr>
              <w:t>□</w:t>
            </w:r>
            <w:r>
              <w:rPr>
                <w:rFonts w:hint="eastAsia" w:ascii="仿宋" w:hAnsi="仿宋" w:eastAsia="仿宋"/>
                <w:color w:val="auto"/>
                <w:sz w:val="24"/>
                <w:szCs w:val="24"/>
                <w:highlight w:val="none"/>
              </w:rPr>
              <w:t xml:space="preserve"> </w:t>
            </w:r>
            <w:r>
              <w:rPr>
                <w:rFonts w:hint="eastAsia" w:ascii="仿宋" w:hAnsi="仿宋" w:eastAsia="仿宋"/>
                <w:color w:val="auto"/>
                <w:sz w:val="24"/>
                <w:szCs w:val="24"/>
                <w:highlight w:val="none"/>
                <w:lang w:val="zh-CN"/>
              </w:rPr>
              <w:t>踏勘现场时间次日17点前</w:t>
            </w:r>
          </w:p>
        </w:tc>
      </w:tr>
      <w:tr w14:paraId="64D24684">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BE1BA86">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rPr>
              <w:t>3</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34016ADB">
            <w:pPr>
              <w:spacing w:line="360" w:lineRule="auto"/>
              <w:rPr>
                <w:rFonts w:hint="eastAsia" w:ascii="仿宋" w:hAnsi="仿宋" w:eastAsia="仿宋"/>
                <w:color w:val="auto"/>
                <w:sz w:val="24"/>
                <w:szCs w:val="24"/>
                <w:highlight w:val="none"/>
                <w:lang w:val="zh-CN"/>
              </w:rPr>
            </w:pPr>
            <w:r>
              <w:rPr>
                <w:rFonts w:ascii="仿宋" w:hAnsi="仿宋" w:eastAsia="仿宋"/>
                <w:color w:val="auto"/>
                <w:sz w:val="24"/>
                <w:szCs w:val="24"/>
                <w:highlight w:val="none"/>
              </w:rPr>
              <w:t>投标人确认收到招标文件澄清或修改的时间</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74C2294C">
            <w:pPr>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从更正公告发布时间开始</w:t>
            </w:r>
            <w:r>
              <w:rPr>
                <w:rFonts w:ascii="仿宋" w:hAnsi="仿宋" w:eastAsia="仿宋" w:cs="仿宋"/>
                <w:color w:val="auto"/>
                <w:sz w:val="24"/>
                <w:szCs w:val="24"/>
                <w:highlight w:val="none"/>
                <w:lang w:val="zh-CN"/>
              </w:rPr>
              <w:t>48</w:t>
            </w:r>
            <w:r>
              <w:rPr>
                <w:rFonts w:hint="eastAsia" w:ascii="仿宋" w:hAnsi="仿宋" w:eastAsia="仿宋" w:cs="仿宋"/>
                <w:color w:val="auto"/>
                <w:sz w:val="24"/>
                <w:szCs w:val="24"/>
                <w:highlight w:val="none"/>
                <w:lang w:val="zh-CN"/>
              </w:rPr>
              <w:t>小时内</w:t>
            </w:r>
          </w:p>
        </w:tc>
      </w:tr>
      <w:tr w14:paraId="334BE85A">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2822007D">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rPr>
              <w:t>4</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4522B9CB">
            <w:pPr>
              <w:spacing w:line="360" w:lineRule="auto"/>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投标截止时间</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34753CD4">
            <w:pPr>
              <w:spacing w:line="360" w:lineRule="auto"/>
              <w:ind w:left="360" w:hanging="360"/>
              <w:rPr>
                <w:rFonts w:ascii="仿宋" w:hAnsi="仿宋" w:eastAsia="仿宋"/>
                <w:color w:val="auto"/>
                <w:sz w:val="24"/>
                <w:szCs w:val="24"/>
                <w:highlight w:val="none"/>
                <w:u w:val="single"/>
                <w:lang w:val="zh-CN"/>
              </w:rPr>
            </w:pPr>
            <w:r>
              <w:rPr>
                <w:rFonts w:hint="eastAsia" w:ascii="仿宋" w:hAnsi="仿宋" w:eastAsia="仿宋" w:cs="仿宋"/>
                <w:color w:val="auto"/>
                <w:kern w:val="1"/>
                <w:sz w:val="24"/>
                <w:szCs w:val="24"/>
                <w:highlight w:val="none"/>
              </w:rPr>
              <w:t>202</w:t>
            </w:r>
            <w:r>
              <w:rPr>
                <w:rFonts w:hint="eastAsia" w:ascii="仿宋" w:hAnsi="仿宋" w:eastAsia="仿宋" w:cs="仿宋"/>
                <w:color w:val="auto"/>
                <w:kern w:val="1"/>
                <w:sz w:val="24"/>
                <w:szCs w:val="24"/>
                <w:highlight w:val="none"/>
                <w:lang w:val="en-US" w:eastAsia="zh-CN"/>
              </w:rPr>
              <w:t>6</w:t>
            </w:r>
            <w:r>
              <w:rPr>
                <w:rFonts w:hint="eastAsia" w:ascii="仿宋" w:hAnsi="仿宋" w:eastAsia="仿宋" w:cs="仿宋"/>
                <w:color w:val="auto"/>
                <w:kern w:val="1"/>
                <w:sz w:val="24"/>
                <w:szCs w:val="24"/>
                <w:highlight w:val="none"/>
              </w:rPr>
              <w:t>年</w:t>
            </w:r>
            <w:r>
              <w:rPr>
                <w:rFonts w:hint="eastAsia" w:ascii="仿宋" w:hAnsi="仿宋" w:eastAsia="仿宋" w:cs="仿宋"/>
                <w:color w:val="auto"/>
                <w:kern w:val="1"/>
                <w:sz w:val="24"/>
                <w:szCs w:val="24"/>
                <w:highlight w:val="none"/>
                <w:lang w:val="en-US" w:eastAsia="zh-CN"/>
              </w:rPr>
              <w:t>9</w:t>
            </w:r>
            <w:r>
              <w:rPr>
                <w:rFonts w:hint="eastAsia" w:ascii="仿宋" w:hAnsi="仿宋" w:eastAsia="仿宋" w:cs="仿宋"/>
                <w:color w:val="auto"/>
                <w:kern w:val="1"/>
                <w:sz w:val="24"/>
                <w:szCs w:val="24"/>
                <w:highlight w:val="none"/>
              </w:rPr>
              <w:t>月</w:t>
            </w:r>
            <w:r>
              <w:rPr>
                <w:rFonts w:hint="eastAsia" w:ascii="仿宋" w:hAnsi="仿宋" w:eastAsia="仿宋" w:cs="仿宋"/>
                <w:color w:val="auto"/>
                <w:kern w:val="1"/>
                <w:sz w:val="24"/>
                <w:szCs w:val="24"/>
                <w:highlight w:val="none"/>
                <w:lang w:val="en-US" w:eastAsia="zh-CN"/>
              </w:rPr>
              <w:t>10</w:t>
            </w:r>
            <w:r>
              <w:rPr>
                <w:rFonts w:hint="eastAsia" w:ascii="仿宋" w:hAnsi="仿宋" w:eastAsia="仿宋" w:cs="仿宋"/>
                <w:color w:val="auto"/>
                <w:kern w:val="1"/>
                <w:sz w:val="24"/>
                <w:szCs w:val="24"/>
                <w:highlight w:val="none"/>
              </w:rPr>
              <w:t>日</w:t>
            </w:r>
            <w:r>
              <w:rPr>
                <w:rFonts w:hint="eastAsia" w:ascii="仿宋" w:hAnsi="仿宋" w:eastAsia="仿宋" w:cs="仿宋"/>
                <w:color w:val="auto"/>
                <w:kern w:val="1"/>
                <w:sz w:val="24"/>
                <w:szCs w:val="24"/>
                <w:highlight w:val="none"/>
                <w:lang w:val="en-US" w:eastAsia="zh-CN"/>
              </w:rPr>
              <w:t>14</w:t>
            </w:r>
            <w:r>
              <w:rPr>
                <w:rFonts w:hint="eastAsia" w:ascii="仿宋" w:hAnsi="仿宋" w:eastAsia="仿宋" w:cs="仿宋"/>
                <w:color w:val="auto"/>
                <w:kern w:val="1"/>
                <w:sz w:val="24"/>
                <w:szCs w:val="24"/>
                <w:highlight w:val="none"/>
              </w:rPr>
              <w:t>时</w:t>
            </w:r>
            <w:r>
              <w:rPr>
                <w:rFonts w:hint="eastAsia" w:ascii="仿宋" w:hAnsi="仿宋" w:eastAsia="仿宋" w:cs="仿宋"/>
                <w:color w:val="auto"/>
                <w:kern w:val="1"/>
                <w:sz w:val="24"/>
                <w:szCs w:val="24"/>
                <w:highlight w:val="none"/>
                <w:lang w:val="en-US" w:eastAsia="zh-CN"/>
              </w:rPr>
              <w:t>00</w:t>
            </w:r>
            <w:r>
              <w:rPr>
                <w:rFonts w:hint="eastAsia" w:ascii="仿宋" w:hAnsi="仿宋" w:eastAsia="仿宋" w:cs="仿宋"/>
                <w:color w:val="auto"/>
                <w:kern w:val="1"/>
                <w:sz w:val="24"/>
                <w:szCs w:val="24"/>
                <w:highlight w:val="none"/>
              </w:rPr>
              <w:t>分</w:t>
            </w:r>
          </w:p>
        </w:tc>
      </w:tr>
      <w:tr w14:paraId="18D8ECDA">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83D9B60">
            <w:pPr>
              <w:spacing w:line="360" w:lineRule="auto"/>
              <w:jc w:val="center"/>
              <w:rPr>
                <w:rFonts w:hint="eastAsia"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rPr>
              <w:t>5</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6690B541">
            <w:pPr>
              <w:spacing w:line="360" w:lineRule="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是否允许递交备选投标方案</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66B7691C">
            <w:pPr>
              <w:spacing w:line="360" w:lineRule="auto"/>
              <w:rPr>
                <w:rFonts w:ascii="仿宋" w:hAnsi="仿宋" w:eastAsia="仿宋"/>
                <w:color w:val="auto"/>
                <w:sz w:val="24"/>
                <w:szCs w:val="24"/>
                <w:highlight w:val="none"/>
                <w:lang w:val="zh-CN"/>
              </w:rPr>
            </w:pPr>
            <w:r>
              <w:rPr>
                <w:rFonts w:ascii="仿宋" w:hAnsi="仿宋" w:eastAsia="仿宋"/>
                <w:color w:val="auto"/>
                <w:sz w:val="24"/>
                <w:szCs w:val="24"/>
                <w:highlight w:val="none"/>
              </w:rPr>
              <w:fldChar w:fldCharType="begin"/>
            </w:r>
            <w:r>
              <w:rPr>
                <w:rFonts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rPr>
              <w:instrText xml:space="preserve">□</w:instrText>
            </w:r>
            <w:r>
              <w:rPr>
                <w:rFonts w:ascii="仿宋" w:hAnsi="仿宋" w:eastAsia="仿宋"/>
                <w:color w:val="auto"/>
                <w:sz w:val="24"/>
                <w:szCs w:val="24"/>
                <w:highlight w:val="none"/>
              </w:rPr>
              <w:instrText xml:space="preserve">,</w:instrText>
            </w:r>
            <w:r>
              <w:rPr>
                <w:rFonts w:hint="eastAsia" w:ascii="仿宋" w:hAnsi="仿宋" w:eastAsia="仿宋"/>
                <w:color w:val="auto"/>
                <w:sz w:val="24"/>
                <w:szCs w:val="24"/>
                <w:highlight w:val="none"/>
              </w:rPr>
              <w:instrText xml:space="preserve">√</w:instrText>
            </w:r>
            <w:r>
              <w:rPr>
                <w:rFonts w:ascii="仿宋" w:hAnsi="仿宋" w:eastAsia="仿宋"/>
                <w:color w:val="auto"/>
                <w:sz w:val="24"/>
                <w:szCs w:val="24"/>
                <w:highlight w:val="none"/>
              </w:rPr>
              <w:instrText xml:space="preserve">)</w:instrText>
            </w:r>
            <w:r>
              <w:rPr>
                <w:rFonts w:ascii="仿宋" w:hAnsi="仿宋" w:eastAsia="仿宋"/>
                <w:color w:val="auto"/>
                <w:sz w:val="24"/>
                <w:szCs w:val="24"/>
                <w:highlight w:val="none"/>
              </w:rPr>
              <w:fldChar w:fldCharType="end"/>
            </w:r>
            <w:r>
              <w:rPr>
                <w:rFonts w:hint="eastAsia" w:ascii="仿宋" w:hAnsi="仿宋" w:eastAsia="仿宋" w:cs="仿宋"/>
                <w:color w:val="auto"/>
                <w:sz w:val="24"/>
                <w:szCs w:val="24"/>
                <w:highlight w:val="none"/>
                <w:lang w:val="zh-CN"/>
              </w:rPr>
              <w:t xml:space="preserve"> 不允许</w:t>
            </w:r>
          </w:p>
          <w:p w14:paraId="7020AD78">
            <w:pPr>
              <w:spacing w:line="360" w:lineRule="auto"/>
              <w:ind w:left="360" w:hanging="360" w:hangingChars="150"/>
              <w:rPr>
                <w:rFonts w:hint="eastAsia" w:ascii="仿宋" w:hAnsi="仿宋" w:eastAsia="仿宋" w:cs="仿宋"/>
                <w:color w:val="auto"/>
                <w:sz w:val="24"/>
                <w:szCs w:val="24"/>
                <w:highlight w:val="none"/>
                <w:lang w:val="zh-CN"/>
              </w:rPr>
            </w:pPr>
            <w:r>
              <w:rPr>
                <w:rFonts w:hint="eastAsia" w:ascii="仿宋" w:hAnsi="仿宋" w:eastAsia="仿宋"/>
                <w:color w:val="auto"/>
                <w:sz w:val="24"/>
                <w:highlight w:val="none"/>
              </w:rPr>
              <w:t>□</w:t>
            </w:r>
            <w:r>
              <w:rPr>
                <w:rFonts w:hint="eastAsia" w:ascii="仿宋" w:hAnsi="仿宋" w:eastAsia="仿宋" w:cs="仿宋"/>
                <w:color w:val="auto"/>
                <w:sz w:val="24"/>
                <w:szCs w:val="24"/>
                <w:highlight w:val="none"/>
                <w:lang w:val="zh-CN"/>
              </w:rPr>
              <w:t xml:space="preserve"> 允许。要求：只有中标人所递交的备选投标方案方可予以考虑。评标委员会认为中标人的备选投标方案优于其按照招标文件要求的投标方案，采购人可以接受该备选投标方案。</w:t>
            </w:r>
          </w:p>
        </w:tc>
      </w:tr>
      <w:tr w14:paraId="7F23836A">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EB9413E">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rPr>
              <w:t>6</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719B8F1D">
            <w:pPr>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投标报价的范围</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7D56971F">
            <w:pPr>
              <w:spacing w:line="360" w:lineRule="auto"/>
              <w:rPr>
                <w:rFonts w:ascii="仿宋" w:hAnsi="仿宋" w:eastAsia="仿宋"/>
                <w:color w:val="auto"/>
                <w:sz w:val="24"/>
                <w:szCs w:val="24"/>
                <w:highlight w:val="none"/>
                <w:u w:val="single"/>
                <w:lang w:val="zh-CN"/>
              </w:rPr>
            </w:pPr>
            <w:r>
              <w:rPr>
                <w:rFonts w:hint="eastAsia" w:ascii="仿宋" w:hAnsi="仿宋" w:eastAsia="仿宋" w:cs="仿宋"/>
                <w:color w:val="auto"/>
                <w:sz w:val="24"/>
                <w:szCs w:val="24"/>
                <w:highlight w:val="none"/>
                <w:lang w:val="zh-CN"/>
              </w:rPr>
              <w:t>含税全包价，包括产品的设计、制作、包装、运输、装卸、安装、调试、培训、验收、保修等一切费用（即交钥匙</w:t>
            </w:r>
            <w:r>
              <w:rPr>
                <w:rFonts w:hint="eastAsia" w:ascii="仿宋" w:hAnsi="仿宋" w:eastAsia="仿宋" w:cs="仿宋"/>
                <w:color w:val="auto"/>
                <w:sz w:val="24"/>
                <w:szCs w:val="24"/>
                <w:highlight w:val="none"/>
              </w:rPr>
              <w:t>项目</w:t>
            </w:r>
            <w:r>
              <w:rPr>
                <w:rFonts w:hint="eastAsia" w:ascii="仿宋" w:hAnsi="仿宋" w:eastAsia="仿宋" w:cs="仿宋"/>
                <w:color w:val="auto"/>
                <w:sz w:val="24"/>
                <w:szCs w:val="24"/>
                <w:highlight w:val="none"/>
                <w:lang w:val="zh-CN"/>
              </w:rPr>
              <w:t>）。</w:t>
            </w:r>
          </w:p>
        </w:tc>
      </w:tr>
      <w:tr w14:paraId="57F770F2">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F34AFC8">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rPr>
              <w:t>7</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362627C1">
            <w:pPr>
              <w:spacing w:line="360" w:lineRule="auto"/>
              <w:rPr>
                <w:rFonts w:ascii="仿宋" w:hAnsi="仿宋" w:eastAsia="仿宋"/>
                <w:color w:val="auto"/>
                <w:sz w:val="24"/>
                <w:szCs w:val="24"/>
                <w:highlight w:val="none"/>
                <w:lang w:val="zh-CN"/>
              </w:rPr>
            </w:pPr>
            <w:r>
              <w:rPr>
                <w:rFonts w:hint="eastAsia" w:ascii="仿宋" w:hAnsi="仿宋" w:eastAsia="仿宋"/>
                <w:color w:val="auto"/>
                <w:sz w:val="24"/>
                <w:szCs w:val="24"/>
                <w:highlight w:val="none"/>
              </w:rPr>
              <w:t>投标报价的次数</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5E11521F">
            <w:pPr>
              <w:spacing w:line="360" w:lineRule="auto"/>
              <w:rPr>
                <w:rFonts w:ascii="仿宋" w:hAnsi="仿宋" w:eastAsia="仿宋" w:cs="仿宋"/>
                <w:color w:val="auto"/>
                <w:sz w:val="24"/>
                <w:szCs w:val="24"/>
                <w:highlight w:val="none"/>
                <w:lang w:val="zh-CN"/>
              </w:rPr>
            </w:pPr>
            <w:r>
              <w:rPr>
                <w:rFonts w:hint="eastAsia" w:ascii="仿宋" w:hAnsi="仿宋" w:eastAsia="仿宋"/>
                <w:color w:val="auto"/>
                <w:sz w:val="24"/>
                <w:szCs w:val="24"/>
                <w:highlight w:val="none"/>
              </w:rPr>
              <w:t>本次投标报价为一次不得更改报价，投标人只有一次报价的机会。投标报价（即开标报价）不得有选择性报价和附有条件的报价，且不得高于采购预算。</w:t>
            </w:r>
          </w:p>
        </w:tc>
      </w:tr>
      <w:tr w14:paraId="2F54005D">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D5328CA">
            <w:pPr>
              <w:spacing w:line="360" w:lineRule="auto"/>
              <w:jc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18</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452B5BEC">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进口产品投标</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2211E756">
            <w:pPr>
              <w:wordWrap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 xml:space="preserve"> 不允许</w:t>
            </w:r>
          </w:p>
          <w:p w14:paraId="0FAD809A">
            <w:pPr>
              <w:spacing w:line="360" w:lineRule="auto"/>
              <w:rPr>
                <w:rFonts w:hint="eastAsia" w:ascii="仿宋" w:hAnsi="仿宋" w:eastAsia="仿宋"/>
                <w:color w:val="auto"/>
                <w:sz w:val="24"/>
                <w:szCs w:val="24"/>
                <w:highlight w:val="none"/>
              </w:rPr>
            </w:pPr>
            <w:r>
              <w:rPr>
                <w:rFonts w:hint="eastAsia" w:ascii="仿宋" w:hAnsi="仿宋" w:eastAsia="仿宋" w:cs="仿宋"/>
                <w:color w:val="auto"/>
                <w:sz w:val="24"/>
                <w:highlight w:val="none"/>
              </w:rPr>
              <w:t>□ 允许 产品名目清单：</w:t>
            </w:r>
            <w:r>
              <w:rPr>
                <w:rFonts w:hint="eastAsia" w:ascii="仿宋" w:hAnsi="仿宋" w:eastAsia="仿宋" w:cs="仿宋"/>
                <w:color w:val="auto"/>
                <w:sz w:val="24"/>
                <w:highlight w:val="none"/>
                <w:u w:val="single"/>
              </w:rPr>
              <w:t xml:space="preserve">            </w:t>
            </w:r>
          </w:p>
        </w:tc>
      </w:tr>
      <w:tr w14:paraId="50851B8C">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278771CB">
            <w:pPr>
              <w:spacing w:line="360" w:lineRule="auto"/>
              <w:jc w:val="center"/>
              <w:rPr>
                <w:rFonts w:hint="eastAsia"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rPr>
              <w:t>9</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2B1DD93E">
            <w:pPr>
              <w:spacing w:line="360" w:lineRule="auto"/>
              <w:rPr>
                <w:rFonts w:ascii="仿宋" w:hAnsi="仿宋" w:eastAsia="仿宋"/>
                <w:color w:val="auto"/>
                <w:sz w:val="24"/>
                <w:szCs w:val="24"/>
                <w:highlight w:val="none"/>
              </w:rPr>
            </w:pPr>
            <w:r>
              <w:rPr>
                <w:rFonts w:hint="eastAsia" w:ascii="仿宋" w:hAnsi="仿宋" w:eastAsia="仿宋" w:cs="仿宋"/>
                <w:color w:val="auto"/>
                <w:sz w:val="24"/>
                <w:szCs w:val="24"/>
                <w:highlight w:val="none"/>
                <w:lang w:val="zh-CN"/>
              </w:rPr>
              <w:t>样品</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2991CE94">
            <w:pPr>
              <w:spacing w:line="360" w:lineRule="auto"/>
              <w:ind w:left="360" w:hanging="360"/>
              <w:rPr>
                <w:rFonts w:ascii="仿宋" w:hAnsi="仿宋" w:eastAsia="仿宋"/>
                <w:color w:val="auto"/>
                <w:sz w:val="24"/>
                <w:szCs w:val="24"/>
                <w:highlight w:val="none"/>
                <w:lang w:val="zh-CN"/>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szCs w:val="24"/>
                <w:highlight w:val="none"/>
                <w:lang w:val="zh-CN"/>
              </w:rPr>
              <w:t xml:space="preserve"> 不需要</w:t>
            </w:r>
          </w:p>
          <w:p w14:paraId="568C6851">
            <w:pPr>
              <w:pStyle w:val="10"/>
              <w:jc w:val="left"/>
              <w:rPr>
                <w:rFonts w:ascii="仿宋" w:hAnsi="仿宋" w:eastAsia="仿宋"/>
                <w:color w:val="auto"/>
                <w:sz w:val="24"/>
                <w:szCs w:val="24"/>
                <w:highlight w:val="none"/>
                <w:u w:val="single"/>
              </w:rPr>
            </w:pPr>
            <w:r>
              <w:rPr>
                <w:rFonts w:hint="eastAsia" w:ascii="仿宋" w:hAnsi="仿宋" w:eastAsia="仿宋" w:cs="仿宋"/>
                <w:color w:val="auto"/>
                <w:sz w:val="24"/>
                <w:szCs w:val="24"/>
                <w:highlight w:val="none"/>
                <w:lang w:val="zh-CN"/>
              </w:rPr>
              <w:sym w:font="Wingdings 2" w:char="00A3"/>
            </w:r>
            <w:r>
              <w:rPr>
                <w:rFonts w:hint="eastAsia" w:ascii="仿宋" w:hAnsi="仿宋" w:eastAsia="仿宋" w:cs="仿宋"/>
                <w:color w:val="auto"/>
                <w:sz w:val="24"/>
                <w:szCs w:val="24"/>
                <w:highlight w:val="none"/>
                <w:lang w:val="zh-CN"/>
              </w:rPr>
              <w:t xml:space="preserve"> 需要</w:t>
            </w:r>
          </w:p>
        </w:tc>
      </w:tr>
      <w:tr w14:paraId="327AE567">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729B52AC">
            <w:pPr>
              <w:spacing w:line="360" w:lineRule="auto"/>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20</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029F6136">
            <w:pPr>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投标保证金的交纳</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7D670D24">
            <w:pPr>
              <w:spacing w:line="360" w:lineRule="auto"/>
              <w:ind w:left="360" w:hanging="360"/>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en-US" w:eastAsia="zh-CN"/>
              </w:rPr>
              <w:t>无需缴纳</w:t>
            </w:r>
          </w:p>
        </w:tc>
      </w:tr>
      <w:tr w14:paraId="26BD778B">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7ED9599">
            <w:pPr>
              <w:spacing w:line="360" w:lineRule="auto"/>
              <w:jc w:val="center"/>
              <w:rPr>
                <w:rFonts w:hint="eastAsia"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rPr>
              <w:t>1</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1B758A89">
            <w:pPr>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投标文件编制装订</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11FD6BCA">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.投标文件的技术文件和商务文件</w:t>
            </w:r>
            <w:r>
              <w:rPr>
                <w:rFonts w:hint="eastAsia" w:ascii="仿宋" w:hAnsi="仿宋" w:eastAsia="仿宋" w:cs="仿宋"/>
                <w:color w:val="auto"/>
                <w:sz w:val="24"/>
                <w:szCs w:val="24"/>
                <w:highlight w:val="none"/>
              </w:rPr>
              <w:t>分别</w:t>
            </w:r>
            <w:r>
              <w:rPr>
                <w:rFonts w:hint="eastAsia" w:ascii="仿宋" w:hAnsi="仿宋" w:eastAsia="仿宋" w:cs="仿宋"/>
                <w:color w:val="auto"/>
                <w:sz w:val="24"/>
                <w:szCs w:val="24"/>
                <w:highlight w:val="none"/>
                <w:lang w:val="zh-CN"/>
              </w:rPr>
              <w:t>装订成册，</w:t>
            </w:r>
            <w:r>
              <w:rPr>
                <w:rFonts w:hint="eastAsia" w:ascii="仿宋" w:hAnsi="仿宋" w:eastAsia="仿宋" w:cs="仿宋"/>
                <w:color w:val="auto"/>
                <w:sz w:val="24"/>
                <w:szCs w:val="24"/>
                <w:highlight w:val="none"/>
              </w:rPr>
              <w:t>共两册</w:t>
            </w:r>
            <w:r>
              <w:rPr>
                <w:rFonts w:hint="eastAsia" w:ascii="仿宋" w:hAnsi="仿宋" w:eastAsia="仿宋" w:cs="仿宋"/>
                <w:color w:val="auto"/>
                <w:sz w:val="24"/>
                <w:szCs w:val="24"/>
                <w:highlight w:val="none"/>
                <w:lang w:val="zh-CN"/>
              </w:rPr>
              <w:t>。</w:t>
            </w:r>
          </w:p>
          <w:p w14:paraId="0DC9E659">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olor w:val="auto"/>
                <w:sz w:val="24"/>
                <w:szCs w:val="24"/>
                <w:highlight w:val="none"/>
              </w:rPr>
              <w:t>2.封面设置。投标文件封面设置包括：投标文件、项目名称、项目编号、投标人全称和投标文件完成时间。投标人全称填写“×××公司”。</w:t>
            </w:r>
          </w:p>
          <w:p w14:paraId="6178829B">
            <w:pPr>
              <w:spacing w:line="360" w:lineRule="auto"/>
              <w:ind w:firstLine="480" w:firstLineChars="200"/>
              <w:rPr>
                <w:rFonts w:hint="eastAsia" w:ascii="仿宋" w:hAnsi="仿宋" w:eastAsia="仿宋" w:cs="仿宋"/>
                <w:color w:val="auto"/>
                <w:sz w:val="24"/>
                <w:szCs w:val="24"/>
                <w:highlight w:val="none"/>
                <w:lang w:val="zh-CN"/>
              </w:rPr>
            </w:pPr>
            <w:r>
              <w:rPr>
                <w:rFonts w:hint="eastAsia" w:ascii="仿宋" w:hAnsi="仿宋" w:eastAsia="仿宋"/>
                <w:color w:val="auto"/>
                <w:sz w:val="24"/>
                <w:szCs w:val="24"/>
                <w:highlight w:val="none"/>
              </w:rPr>
              <w:t>3.投标文件内容。投标人应按照招标文件的要求编写投标文件。</w:t>
            </w:r>
          </w:p>
          <w:p w14:paraId="5CFF50E5">
            <w:pPr>
              <w:spacing w:line="360" w:lineRule="auto"/>
              <w:ind w:firstLine="480" w:firstLineChars="200"/>
              <w:rPr>
                <w:rFonts w:ascii="仿宋" w:hAnsi="仿宋" w:eastAsia="仿宋"/>
                <w:color w:val="auto"/>
                <w:sz w:val="24"/>
                <w:szCs w:val="24"/>
                <w:highlight w:val="none"/>
                <w:lang w:val="zh-CN"/>
              </w:rPr>
            </w:pPr>
            <w:r>
              <w:rPr>
                <w:rFonts w:ascii="仿宋" w:hAnsi="仿宋" w:eastAsia="仿宋" w:cs="仿宋"/>
                <w:color w:val="auto"/>
                <w:sz w:val="24"/>
                <w:szCs w:val="24"/>
                <w:highlight w:val="none"/>
                <w:lang w:val="zh-CN"/>
              </w:rPr>
              <w:t>4</w:t>
            </w:r>
            <w:r>
              <w:rPr>
                <w:rFonts w:hint="eastAsia" w:ascii="仿宋" w:hAnsi="仿宋" w:eastAsia="仿宋" w:cs="仿宋"/>
                <w:color w:val="auto"/>
                <w:sz w:val="24"/>
                <w:szCs w:val="24"/>
                <w:highlight w:val="none"/>
                <w:lang w:val="zh-CN"/>
              </w:rPr>
              <w:t>.</w:t>
            </w:r>
            <w:r>
              <w:rPr>
                <w:rFonts w:hint="eastAsia" w:ascii="仿宋" w:hAnsi="仿宋" w:eastAsia="仿宋" w:cs="仿宋"/>
                <w:color w:val="auto"/>
                <w:kern w:val="1"/>
                <w:sz w:val="24"/>
                <w:szCs w:val="24"/>
                <w:highlight w:val="none"/>
              </w:rPr>
              <w:t>投标文件正文用白色A4复印纸打印，并编制目录，目录、内容标注连续页码；产品授权书、</w:t>
            </w:r>
            <w:r>
              <w:rPr>
                <w:rFonts w:hint="eastAsia" w:ascii="仿宋" w:hAnsi="仿宋" w:eastAsia="仿宋" w:cs="仿宋"/>
                <w:color w:val="auto"/>
                <w:sz w:val="24"/>
                <w:szCs w:val="24"/>
                <w:highlight w:val="none"/>
                <w:lang w:val="zh-CN"/>
              </w:rPr>
              <w:t>产品说明书、产品彩页、图纸、图片等非文本形式的内容，可以不标注页码，应将这些材料放置在</w:t>
            </w:r>
            <w:r>
              <w:rPr>
                <w:rFonts w:hint="eastAsia" w:ascii="仿宋" w:hAnsi="仿宋" w:eastAsia="仿宋" w:cs="仿宋"/>
                <w:color w:val="auto"/>
                <w:sz w:val="24"/>
                <w:szCs w:val="24"/>
                <w:highlight w:val="none"/>
              </w:rPr>
              <w:t>投标文件</w:t>
            </w:r>
            <w:r>
              <w:rPr>
                <w:rFonts w:hint="eastAsia" w:ascii="仿宋" w:hAnsi="仿宋" w:eastAsia="仿宋" w:cs="仿宋"/>
                <w:color w:val="auto"/>
                <w:sz w:val="24"/>
                <w:szCs w:val="24"/>
                <w:highlight w:val="none"/>
                <w:lang w:val="zh-CN"/>
              </w:rPr>
              <w:t>中，折叠成</w:t>
            </w:r>
            <w:r>
              <w:rPr>
                <w:rFonts w:ascii="仿宋" w:hAnsi="仿宋" w:eastAsia="仿宋" w:cs="仿宋"/>
                <w:color w:val="auto"/>
                <w:sz w:val="24"/>
                <w:szCs w:val="24"/>
                <w:highlight w:val="none"/>
                <w:lang w:val="zh-CN"/>
              </w:rPr>
              <w:t>A4</w:t>
            </w:r>
            <w:r>
              <w:rPr>
                <w:rFonts w:hint="eastAsia" w:ascii="仿宋" w:hAnsi="仿宋" w:eastAsia="仿宋" w:cs="仿宋"/>
                <w:color w:val="auto"/>
                <w:sz w:val="24"/>
                <w:szCs w:val="24"/>
                <w:highlight w:val="none"/>
                <w:lang w:val="zh-CN"/>
              </w:rPr>
              <w:t>纸面大小，左、下侧对齐，左侧胶装成册。</w:t>
            </w:r>
          </w:p>
        </w:tc>
      </w:tr>
      <w:tr w14:paraId="097EF4AF">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FF963DC">
            <w:pPr>
              <w:spacing w:line="360" w:lineRule="auto"/>
              <w:jc w:val="center"/>
              <w:rPr>
                <w:rFonts w:hint="eastAsia"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rPr>
              <w:t>2</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1DB0FFF3">
            <w:pPr>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投标文件签署和盖章</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355FDEA9">
            <w:pPr>
              <w:spacing w:line="360" w:lineRule="auto"/>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1.招标文件要求投标人法定代表人或者被授权代表签字处，均须签署或盖章。</w:t>
            </w:r>
          </w:p>
          <w:p w14:paraId="5DAFFE6F">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2.被授权代表人签字的，投标文件应附法定代表人授权委托书。</w:t>
            </w:r>
          </w:p>
          <w:p w14:paraId="64045B29">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3.“投标函”、“法定代表人授权委托书”和“诚信承诺书”必须由法定代表人签署</w:t>
            </w:r>
            <w:r>
              <w:rPr>
                <w:rFonts w:hint="eastAsia" w:ascii="仿宋" w:hAnsi="仿宋" w:eastAsia="仿宋" w:cs="仿宋"/>
                <w:color w:val="auto"/>
                <w:sz w:val="24"/>
                <w:szCs w:val="24"/>
                <w:highlight w:val="none"/>
              </w:rPr>
              <w:t>或盖章</w:t>
            </w:r>
            <w:r>
              <w:rPr>
                <w:rFonts w:hint="eastAsia" w:ascii="仿宋" w:hAnsi="仿宋" w:eastAsia="仿宋" w:cs="仿宋"/>
                <w:color w:val="auto"/>
                <w:sz w:val="24"/>
                <w:szCs w:val="24"/>
                <w:highlight w:val="none"/>
                <w:lang w:val="zh-CN"/>
              </w:rPr>
              <w:t>。</w:t>
            </w:r>
          </w:p>
          <w:p w14:paraId="06D8986B">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4.投标人在投标文件以及相关书面文件中的单位盖章（包括印章、公章等）均指与投标人名称全称相一致的标准公章，不得使用其他形式（如带有“专用章”、“合同章”、“财务章”、“业务章”等）的印章。</w:t>
            </w:r>
          </w:p>
        </w:tc>
      </w:tr>
      <w:tr w14:paraId="4D9D3A04">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8E1B938">
            <w:pPr>
              <w:spacing w:line="360" w:lineRule="auto"/>
              <w:jc w:val="center"/>
              <w:rPr>
                <w:rFonts w:hint="eastAsia"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rPr>
              <w:t>3</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5BBD1889">
            <w:pPr>
              <w:spacing w:line="360" w:lineRule="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投标文件份数及要求</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55705B8B">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投标文件正本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zh-CN"/>
              </w:rPr>
              <w:t>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lang w:val="zh-CN"/>
              </w:rPr>
              <w:t>份，副本</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u w:val="single"/>
              </w:rPr>
              <w:t>伍</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份。正本和副本的封面上应当清楚地标记“正本”或者“副本”字样；正本和副本不一致时，以正本为准。</w:t>
            </w:r>
          </w:p>
          <w:p w14:paraId="65510379">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.资格资信等证明文件</w:t>
            </w:r>
            <w:r>
              <w:rPr>
                <w:rFonts w:hint="eastAsia" w:ascii="仿宋" w:hAnsi="仿宋" w:eastAsia="仿宋" w:cs="仿宋"/>
                <w:color w:val="auto"/>
                <w:sz w:val="24"/>
                <w:szCs w:val="24"/>
                <w:highlight w:val="none"/>
                <w:lang w:val="en-US" w:eastAsia="zh-CN"/>
              </w:rPr>
              <w:t>1份，无需胶装</w:t>
            </w:r>
            <w:r>
              <w:rPr>
                <w:rFonts w:hint="eastAsia" w:ascii="仿宋" w:hAnsi="仿宋" w:eastAsia="仿宋" w:cs="仿宋"/>
                <w:color w:val="auto"/>
                <w:sz w:val="24"/>
                <w:szCs w:val="24"/>
                <w:highlight w:val="none"/>
                <w:lang w:val="zh-CN"/>
              </w:rPr>
              <w:t>。</w:t>
            </w:r>
          </w:p>
          <w:p w14:paraId="66B29BDF">
            <w:pPr>
              <w:spacing w:line="360" w:lineRule="auto"/>
              <w:ind w:firstLine="480" w:firstLineChars="200"/>
              <w:rPr>
                <w:rFonts w:hint="eastAsia"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zh-CN"/>
              </w:rPr>
              <w:t>.</w:t>
            </w:r>
            <w:r>
              <w:rPr>
                <w:rFonts w:hint="eastAsia" w:eastAsia="仿宋" w:cs="仿宋"/>
                <w:b/>
                <w:bCs/>
                <w:color w:val="auto"/>
                <w:sz w:val="24"/>
                <w:szCs w:val="24"/>
                <w:highlight w:val="none"/>
                <w:lang w:val="zh-CN"/>
              </w:rPr>
              <w:t>电子版响应文件壹套：应按照招标文件要求递交与纸质版一致的技术文件和商务文件word版及盖章版彩色扫描件各1份，格式：doc（docx）、PDF；介质：“</w:t>
            </w:r>
            <w:r>
              <w:rPr>
                <w:rFonts w:eastAsia="仿宋" w:cs="仿宋"/>
                <w:b/>
                <w:bCs/>
                <w:color w:val="auto"/>
                <w:sz w:val="24"/>
                <w:szCs w:val="24"/>
                <w:highlight w:val="none"/>
                <w:lang w:val="zh-CN"/>
              </w:rPr>
              <w:t>U</w:t>
            </w:r>
            <w:r>
              <w:rPr>
                <w:rFonts w:hint="eastAsia" w:eastAsia="仿宋" w:cs="仿宋"/>
                <w:b/>
                <w:bCs/>
                <w:color w:val="auto"/>
                <w:sz w:val="24"/>
                <w:szCs w:val="24"/>
                <w:highlight w:val="none"/>
                <w:lang w:val="zh-CN"/>
              </w:rPr>
              <w:t>”盘（</w:t>
            </w:r>
            <w:r>
              <w:rPr>
                <w:rFonts w:hint="eastAsia" w:eastAsia="仿宋" w:cs="仿宋"/>
                <w:b/>
                <w:bCs/>
                <w:color w:val="auto"/>
                <w:sz w:val="24"/>
                <w:szCs w:val="24"/>
                <w:highlight w:val="none"/>
              </w:rPr>
              <w:t>电子版响应文件须为盖章签字版投标文件正本彩色扫描件，电子版投标文件均不予退还</w:t>
            </w:r>
            <w:r>
              <w:rPr>
                <w:rFonts w:hint="eastAsia" w:eastAsia="仿宋" w:cs="仿宋"/>
                <w:b/>
                <w:bCs/>
                <w:color w:val="auto"/>
                <w:sz w:val="24"/>
                <w:szCs w:val="24"/>
                <w:highlight w:val="none"/>
                <w:lang w:val="zh-CN"/>
              </w:rPr>
              <w:t>）</w:t>
            </w:r>
          </w:p>
        </w:tc>
      </w:tr>
      <w:tr w14:paraId="2984B698">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01831AAA">
            <w:pPr>
              <w:spacing w:line="360" w:lineRule="auto"/>
              <w:jc w:val="center"/>
              <w:rPr>
                <w:rFonts w:hint="eastAsia"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rPr>
              <w:t>4</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3E37B733">
            <w:pPr>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投标文件密封和标记</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69C531BD">
            <w:pPr>
              <w:spacing w:line="360" w:lineRule="auto"/>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en-US" w:eastAsia="zh-CN"/>
              </w:rPr>
              <w:t>共三个密封件，</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zh-CN"/>
              </w:rPr>
              <w:t>别是：</w:t>
            </w:r>
            <w:r>
              <w:rPr>
                <w:rFonts w:hint="eastAsia" w:ascii="仿宋" w:hAnsi="仿宋" w:eastAsia="仿宋" w:cs="仿宋"/>
                <w:color w:val="auto"/>
                <w:sz w:val="24"/>
                <w:szCs w:val="24"/>
                <w:highlight w:val="none"/>
                <w:u w:val="single"/>
              </w:rPr>
              <w:t>商务文件</w:t>
            </w:r>
            <w:r>
              <w:rPr>
                <w:rFonts w:hint="eastAsia" w:ascii="仿宋" w:hAnsi="仿宋" w:eastAsia="仿宋" w:cs="仿宋"/>
                <w:color w:val="auto"/>
                <w:sz w:val="24"/>
                <w:szCs w:val="24"/>
                <w:highlight w:val="none"/>
                <w:u w:val="single"/>
                <w:lang w:val="zh-CN"/>
              </w:rPr>
              <w:t>密封件</w:t>
            </w:r>
            <w:r>
              <w:rPr>
                <w:rFonts w:hint="eastAsia"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u w:val="single"/>
                <w:lang w:val="zh-CN"/>
              </w:rPr>
              <w:t>技术文件密封件</w:t>
            </w:r>
            <w:r>
              <w:rPr>
                <w:rFonts w:hint="eastAsia"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u w:val="single"/>
                <w:lang w:val="zh-CN"/>
              </w:rPr>
              <w:t>资格资信等证明文件密封件（包括电子版投标文件）</w:t>
            </w:r>
            <w:r>
              <w:rPr>
                <w:rFonts w:hint="eastAsia" w:ascii="仿宋" w:hAnsi="仿宋" w:eastAsia="仿宋" w:cs="仿宋"/>
                <w:color w:val="auto"/>
                <w:sz w:val="24"/>
                <w:szCs w:val="24"/>
                <w:highlight w:val="none"/>
                <w:lang w:val="zh-CN"/>
              </w:rPr>
              <w:t>；</w:t>
            </w:r>
          </w:p>
          <w:p w14:paraId="31BC75DA">
            <w:pPr>
              <w:spacing w:line="360" w:lineRule="auto"/>
              <w:ind w:firstLine="480" w:firstLineChars="200"/>
              <w:rPr>
                <w:rFonts w:hint="eastAsia" w:ascii="仿宋" w:hAnsi="仿宋" w:eastAsia="仿宋" w:cs="楷体"/>
                <w:color w:val="auto"/>
                <w:kern w:val="1"/>
                <w:sz w:val="24"/>
                <w:szCs w:val="24"/>
                <w:highlight w:val="none"/>
              </w:rPr>
            </w:pPr>
            <w:r>
              <w:rPr>
                <w:rFonts w:hint="eastAsia" w:ascii="仿宋" w:hAnsi="仿宋" w:eastAsia="仿宋" w:cs="楷体"/>
                <w:color w:val="auto"/>
                <w:kern w:val="1"/>
                <w:sz w:val="24"/>
                <w:szCs w:val="24"/>
                <w:highlight w:val="none"/>
              </w:rPr>
              <w:t>注：一个密封件确实无法密封的，可分开密封；</w:t>
            </w:r>
          </w:p>
          <w:p w14:paraId="5E23DD87">
            <w:pPr>
              <w:spacing w:line="360" w:lineRule="auto"/>
              <w:ind w:firstLine="480" w:firstLineChars="200"/>
              <w:rPr>
                <w:rFonts w:ascii="仿宋" w:hAnsi="仿宋" w:eastAsia="仿宋" w:cs="楷体"/>
                <w:color w:val="auto"/>
                <w:kern w:val="1"/>
                <w:sz w:val="24"/>
                <w:szCs w:val="24"/>
                <w:highlight w:val="none"/>
              </w:rPr>
            </w:pPr>
            <w:r>
              <w:rPr>
                <w:rFonts w:hint="eastAsia" w:ascii="仿宋" w:hAnsi="仿宋" w:eastAsia="仿宋" w:cs="楷体"/>
                <w:color w:val="auto"/>
                <w:kern w:val="1"/>
                <w:sz w:val="24"/>
                <w:szCs w:val="24"/>
                <w:highlight w:val="none"/>
              </w:rPr>
              <w:t>对于投多个包的投标人，资格资信等证明文件可密封为一个密封件。</w:t>
            </w:r>
          </w:p>
          <w:p w14:paraId="503C8E98">
            <w:pPr>
              <w:wordWrap w:val="0"/>
              <w:spacing w:line="360" w:lineRule="auto"/>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2.密封件封套上标明招标项目编号、项目名称以及包、投标人名称等，在所有封签处标注“请勿在</w:t>
            </w:r>
            <w:r>
              <w:rPr>
                <w:rFonts w:hint="eastAsia" w:ascii="仿宋" w:hAnsi="仿宋" w:eastAsia="仿宋" w:cs="仿宋"/>
                <w:color w:val="auto"/>
                <w:kern w:val="1"/>
                <w:sz w:val="24"/>
                <w:szCs w:val="24"/>
                <w:highlight w:val="none"/>
              </w:rPr>
              <w:t>202</w:t>
            </w:r>
            <w:r>
              <w:rPr>
                <w:rFonts w:hint="eastAsia" w:ascii="仿宋" w:hAnsi="仿宋" w:eastAsia="仿宋" w:cs="仿宋"/>
                <w:color w:val="auto"/>
                <w:kern w:val="1"/>
                <w:sz w:val="24"/>
                <w:szCs w:val="24"/>
                <w:highlight w:val="none"/>
                <w:lang w:val="en-US" w:eastAsia="zh-CN"/>
              </w:rPr>
              <w:t>6</w:t>
            </w:r>
            <w:r>
              <w:rPr>
                <w:rFonts w:hint="eastAsia" w:ascii="仿宋" w:hAnsi="仿宋" w:eastAsia="仿宋" w:cs="仿宋"/>
                <w:color w:val="auto"/>
                <w:kern w:val="1"/>
                <w:sz w:val="24"/>
                <w:szCs w:val="24"/>
                <w:highlight w:val="none"/>
              </w:rPr>
              <w:t>年</w:t>
            </w:r>
            <w:r>
              <w:rPr>
                <w:rFonts w:hint="eastAsia" w:ascii="仿宋" w:hAnsi="仿宋" w:eastAsia="仿宋" w:cs="仿宋"/>
                <w:color w:val="auto"/>
                <w:kern w:val="1"/>
                <w:sz w:val="24"/>
                <w:szCs w:val="24"/>
                <w:highlight w:val="none"/>
                <w:lang w:val="en-US" w:eastAsia="zh-CN"/>
              </w:rPr>
              <w:t>9</w:t>
            </w:r>
            <w:r>
              <w:rPr>
                <w:rFonts w:hint="eastAsia" w:ascii="仿宋" w:hAnsi="仿宋" w:eastAsia="仿宋" w:cs="仿宋"/>
                <w:color w:val="auto"/>
                <w:kern w:val="1"/>
                <w:sz w:val="24"/>
                <w:szCs w:val="24"/>
                <w:highlight w:val="none"/>
              </w:rPr>
              <w:t>月</w:t>
            </w:r>
            <w:r>
              <w:rPr>
                <w:rFonts w:hint="eastAsia" w:ascii="仿宋" w:hAnsi="仿宋" w:eastAsia="仿宋" w:cs="仿宋"/>
                <w:color w:val="auto"/>
                <w:kern w:val="1"/>
                <w:sz w:val="24"/>
                <w:szCs w:val="24"/>
                <w:highlight w:val="none"/>
                <w:lang w:val="en-US" w:eastAsia="zh-CN"/>
              </w:rPr>
              <w:t>10</w:t>
            </w:r>
            <w:r>
              <w:rPr>
                <w:rFonts w:hint="eastAsia" w:ascii="仿宋" w:hAnsi="仿宋" w:eastAsia="仿宋" w:cs="仿宋"/>
                <w:color w:val="auto"/>
                <w:kern w:val="1"/>
                <w:sz w:val="24"/>
                <w:szCs w:val="24"/>
                <w:highlight w:val="none"/>
              </w:rPr>
              <w:t>日</w:t>
            </w:r>
            <w:r>
              <w:rPr>
                <w:rFonts w:hint="eastAsia" w:ascii="仿宋" w:hAnsi="仿宋" w:eastAsia="仿宋" w:cs="仿宋"/>
                <w:color w:val="auto"/>
                <w:kern w:val="1"/>
                <w:sz w:val="24"/>
                <w:szCs w:val="24"/>
                <w:highlight w:val="none"/>
                <w:lang w:val="en-US" w:eastAsia="zh-CN"/>
              </w:rPr>
              <w:t>14</w:t>
            </w:r>
            <w:r>
              <w:rPr>
                <w:rFonts w:hint="eastAsia" w:ascii="仿宋" w:hAnsi="仿宋" w:eastAsia="仿宋" w:cs="仿宋"/>
                <w:color w:val="auto"/>
                <w:kern w:val="1"/>
                <w:sz w:val="24"/>
                <w:szCs w:val="24"/>
                <w:highlight w:val="none"/>
              </w:rPr>
              <w:t>时</w:t>
            </w:r>
            <w:r>
              <w:rPr>
                <w:rFonts w:hint="eastAsia" w:ascii="仿宋" w:hAnsi="仿宋" w:eastAsia="仿宋" w:cs="仿宋"/>
                <w:color w:val="auto"/>
                <w:kern w:val="1"/>
                <w:sz w:val="24"/>
                <w:szCs w:val="24"/>
                <w:highlight w:val="none"/>
                <w:lang w:val="en-US" w:eastAsia="zh-CN"/>
              </w:rPr>
              <w:t>00</w:t>
            </w:r>
            <w:r>
              <w:rPr>
                <w:rFonts w:hint="eastAsia" w:ascii="仿宋" w:hAnsi="仿宋" w:eastAsia="仿宋" w:cs="仿宋"/>
                <w:color w:val="auto"/>
                <w:kern w:val="1"/>
                <w:sz w:val="24"/>
                <w:szCs w:val="24"/>
                <w:highlight w:val="none"/>
              </w:rPr>
              <w:t>分</w:t>
            </w:r>
            <w:r>
              <w:rPr>
                <w:rFonts w:hint="eastAsia" w:ascii="仿宋" w:hAnsi="仿宋" w:eastAsia="仿宋" w:cs="仿宋"/>
                <w:color w:val="auto"/>
                <w:sz w:val="24"/>
                <w:szCs w:val="24"/>
                <w:highlight w:val="none"/>
                <w:lang w:val="zh-CN"/>
              </w:rPr>
              <w:t>之前启封”字样，并加盖投标人单位公章以及法定代表人或者被授权代表签字。</w:t>
            </w:r>
          </w:p>
          <w:p w14:paraId="1CEEE118">
            <w:pPr>
              <w:wordWrap w:val="0"/>
              <w:spacing w:line="360" w:lineRule="auto"/>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w:t>
            </w:r>
            <w:r>
              <w:rPr>
                <w:rFonts w:hint="eastAsia" w:ascii="仿宋" w:hAnsi="仿宋" w:eastAsia="仿宋" w:cs="仿宋"/>
                <w:b/>
                <w:color w:val="auto"/>
                <w:sz w:val="24"/>
                <w:highlight w:val="none"/>
                <w:lang w:val="zh-CN"/>
              </w:rPr>
              <w:t>法定代表人身份证明原件（须按照</w:t>
            </w:r>
            <w:r>
              <w:rPr>
                <w:rFonts w:hint="eastAsia" w:ascii="仿宋" w:hAnsi="仿宋" w:eastAsia="仿宋" w:cs="仿宋"/>
                <w:b/>
                <w:color w:val="auto"/>
                <w:sz w:val="24"/>
                <w:highlight w:val="none"/>
              </w:rPr>
              <w:t>招标文件</w:t>
            </w:r>
            <w:r>
              <w:rPr>
                <w:rFonts w:hint="eastAsia" w:ascii="仿宋" w:hAnsi="仿宋" w:eastAsia="仿宋" w:cs="仿宋"/>
                <w:b/>
                <w:color w:val="auto"/>
                <w:sz w:val="24"/>
                <w:highlight w:val="none"/>
                <w:lang w:val="zh-CN"/>
              </w:rPr>
              <w:t>附件</w:t>
            </w:r>
            <w:r>
              <w:rPr>
                <w:rFonts w:hint="eastAsia" w:ascii="仿宋" w:hAnsi="仿宋" w:eastAsia="仿宋" w:cs="仿宋"/>
                <w:b/>
                <w:color w:val="auto"/>
                <w:sz w:val="24"/>
                <w:highlight w:val="none"/>
              </w:rPr>
              <w:t>中</w:t>
            </w:r>
            <w:r>
              <w:rPr>
                <w:rFonts w:hint="eastAsia" w:ascii="仿宋" w:hAnsi="仿宋" w:eastAsia="仿宋" w:cs="仿宋"/>
                <w:b/>
                <w:color w:val="auto"/>
                <w:sz w:val="24"/>
                <w:highlight w:val="none"/>
                <w:lang w:val="zh-CN"/>
              </w:rPr>
              <w:t>格式提供）和本人身份证原件或法定代表人授权委托书原件（须按照</w:t>
            </w:r>
            <w:r>
              <w:rPr>
                <w:rFonts w:hint="eastAsia" w:ascii="仿宋" w:hAnsi="仿宋" w:eastAsia="仿宋" w:cs="仿宋"/>
                <w:b/>
                <w:color w:val="auto"/>
                <w:sz w:val="24"/>
                <w:highlight w:val="none"/>
              </w:rPr>
              <w:t>招标文件</w:t>
            </w:r>
            <w:r>
              <w:rPr>
                <w:rFonts w:hint="eastAsia" w:ascii="仿宋" w:hAnsi="仿宋" w:eastAsia="仿宋" w:cs="仿宋"/>
                <w:b/>
                <w:color w:val="auto"/>
                <w:sz w:val="24"/>
                <w:highlight w:val="none"/>
                <w:lang w:val="zh-CN"/>
              </w:rPr>
              <w:t>附件</w:t>
            </w:r>
            <w:r>
              <w:rPr>
                <w:rFonts w:hint="eastAsia" w:ascii="仿宋" w:hAnsi="仿宋" w:eastAsia="仿宋" w:cs="仿宋"/>
                <w:b/>
                <w:color w:val="auto"/>
                <w:sz w:val="24"/>
                <w:highlight w:val="none"/>
              </w:rPr>
              <w:t>中</w:t>
            </w:r>
            <w:r>
              <w:rPr>
                <w:rFonts w:hint="eastAsia" w:ascii="仿宋" w:hAnsi="仿宋" w:eastAsia="仿宋" w:cs="仿宋"/>
                <w:b/>
                <w:color w:val="auto"/>
                <w:sz w:val="24"/>
                <w:highlight w:val="none"/>
                <w:lang w:val="zh-CN"/>
              </w:rPr>
              <w:t>格式提供）和本人身份证原件应当在递交</w:t>
            </w:r>
            <w:r>
              <w:rPr>
                <w:rFonts w:hint="eastAsia" w:ascii="仿宋" w:hAnsi="仿宋" w:eastAsia="仿宋" w:cs="仿宋"/>
                <w:b/>
                <w:color w:val="auto"/>
                <w:sz w:val="24"/>
                <w:highlight w:val="none"/>
              </w:rPr>
              <w:t>投标</w:t>
            </w:r>
            <w:r>
              <w:rPr>
                <w:rFonts w:hint="eastAsia" w:ascii="仿宋" w:hAnsi="仿宋" w:eastAsia="仿宋" w:cs="仿宋"/>
                <w:b/>
                <w:color w:val="auto"/>
                <w:sz w:val="24"/>
                <w:highlight w:val="none"/>
                <w:lang w:val="zh-CN"/>
              </w:rPr>
              <w:t>文件时出示并提交，不允许放在密封件中。</w:t>
            </w:r>
          </w:p>
        </w:tc>
      </w:tr>
      <w:tr w14:paraId="7E4B8EAC">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AB891C8">
            <w:pPr>
              <w:spacing w:line="360" w:lineRule="auto"/>
              <w:jc w:val="center"/>
              <w:rPr>
                <w:rFonts w:hint="eastAsia"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5</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1B6E8362">
            <w:pPr>
              <w:spacing w:line="360" w:lineRule="auto"/>
              <w:rPr>
                <w:rFonts w:ascii="仿宋" w:hAnsi="仿宋" w:eastAsia="仿宋"/>
                <w:color w:val="auto"/>
                <w:sz w:val="24"/>
                <w:szCs w:val="24"/>
                <w:highlight w:val="none"/>
                <w:lang w:val="zh-CN"/>
              </w:rPr>
            </w:pPr>
            <w:r>
              <w:rPr>
                <w:rFonts w:hint="eastAsia" w:ascii="仿宋" w:hAnsi="仿宋" w:eastAsia="仿宋"/>
                <w:color w:val="auto"/>
                <w:sz w:val="24"/>
                <w:szCs w:val="24"/>
                <w:highlight w:val="none"/>
              </w:rPr>
              <w:t>递交投标文件时间、地点及要求</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1DA221A2">
            <w:pPr>
              <w:spacing w:line="360" w:lineRule="auto"/>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rPr>
              <w:t>时间：</w:t>
            </w:r>
            <w:r>
              <w:rPr>
                <w:rFonts w:hint="eastAsia" w:ascii="仿宋" w:hAnsi="仿宋" w:eastAsia="仿宋" w:cs="仿宋"/>
                <w:color w:val="auto"/>
                <w:kern w:val="1"/>
                <w:sz w:val="24"/>
                <w:szCs w:val="24"/>
                <w:highlight w:val="none"/>
              </w:rPr>
              <w:t>202</w:t>
            </w:r>
            <w:r>
              <w:rPr>
                <w:rFonts w:hint="eastAsia" w:ascii="仿宋" w:hAnsi="仿宋" w:eastAsia="仿宋" w:cs="仿宋"/>
                <w:color w:val="auto"/>
                <w:kern w:val="1"/>
                <w:sz w:val="24"/>
                <w:szCs w:val="24"/>
                <w:highlight w:val="none"/>
                <w:lang w:val="en-US" w:eastAsia="zh-CN"/>
              </w:rPr>
              <w:t>6</w:t>
            </w:r>
            <w:r>
              <w:rPr>
                <w:rFonts w:hint="eastAsia" w:ascii="仿宋" w:hAnsi="仿宋" w:eastAsia="仿宋" w:cs="仿宋"/>
                <w:color w:val="auto"/>
                <w:kern w:val="1"/>
                <w:sz w:val="24"/>
                <w:szCs w:val="24"/>
                <w:highlight w:val="none"/>
              </w:rPr>
              <w:t>年</w:t>
            </w:r>
            <w:r>
              <w:rPr>
                <w:rFonts w:hint="eastAsia" w:ascii="仿宋" w:hAnsi="仿宋" w:eastAsia="仿宋" w:cs="仿宋"/>
                <w:color w:val="auto"/>
                <w:kern w:val="1"/>
                <w:sz w:val="24"/>
                <w:szCs w:val="24"/>
                <w:highlight w:val="none"/>
                <w:lang w:val="en-US" w:eastAsia="zh-CN"/>
              </w:rPr>
              <w:t>9</w:t>
            </w:r>
            <w:r>
              <w:rPr>
                <w:rFonts w:hint="eastAsia" w:ascii="仿宋" w:hAnsi="仿宋" w:eastAsia="仿宋" w:cs="仿宋"/>
                <w:color w:val="auto"/>
                <w:kern w:val="1"/>
                <w:sz w:val="24"/>
                <w:szCs w:val="24"/>
                <w:highlight w:val="none"/>
              </w:rPr>
              <w:t>月</w:t>
            </w:r>
            <w:r>
              <w:rPr>
                <w:rFonts w:hint="eastAsia" w:ascii="仿宋" w:hAnsi="仿宋" w:eastAsia="仿宋" w:cs="仿宋"/>
                <w:color w:val="auto"/>
                <w:kern w:val="1"/>
                <w:sz w:val="24"/>
                <w:szCs w:val="24"/>
                <w:highlight w:val="none"/>
                <w:lang w:val="en-US" w:eastAsia="zh-CN"/>
              </w:rPr>
              <w:t>10</w:t>
            </w:r>
            <w:r>
              <w:rPr>
                <w:rFonts w:hint="eastAsia" w:ascii="仿宋" w:hAnsi="仿宋" w:eastAsia="仿宋" w:cs="仿宋"/>
                <w:color w:val="auto"/>
                <w:kern w:val="1"/>
                <w:sz w:val="24"/>
                <w:szCs w:val="24"/>
                <w:highlight w:val="none"/>
              </w:rPr>
              <w:t>日</w:t>
            </w:r>
            <w:r>
              <w:rPr>
                <w:rFonts w:hint="eastAsia" w:ascii="仿宋" w:hAnsi="仿宋" w:eastAsia="仿宋" w:cs="仿宋"/>
                <w:color w:val="auto"/>
                <w:kern w:val="1"/>
                <w:sz w:val="24"/>
                <w:szCs w:val="24"/>
                <w:highlight w:val="none"/>
                <w:lang w:val="en-US" w:eastAsia="zh-CN"/>
              </w:rPr>
              <w:t>13</w:t>
            </w:r>
            <w:r>
              <w:rPr>
                <w:rFonts w:hint="eastAsia" w:ascii="仿宋" w:hAnsi="仿宋" w:eastAsia="仿宋" w:cs="仿宋"/>
                <w:color w:val="auto"/>
                <w:kern w:val="1"/>
                <w:sz w:val="24"/>
                <w:szCs w:val="24"/>
                <w:highlight w:val="none"/>
              </w:rPr>
              <w:t>时</w:t>
            </w:r>
            <w:r>
              <w:rPr>
                <w:rFonts w:hint="eastAsia" w:ascii="仿宋" w:hAnsi="仿宋" w:eastAsia="仿宋" w:cs="仿宋"/>
                <w:color w:val="auto"/>
                <w:kern w:val="1"/>
                <w:sz w:val="24"/>
                <w:szCs w:val="24"/>
                <w:highlight w:val="none"/>
                <w:lang w:val="en-US" w:eastAsia="zh-CN"/>
              </w:rPr>
              <w:t>30</w:t>
            </w:r>
            <w:r>
              <w:rPr>
                <w:rFonts w:hint="eastAsia" w:ascii="仿宋" w:hAnsi="仿宋" w:eastAsia="仿宋" w:cs="仿宋"/>
                <w:color w:val="auto"/>
                <w:kern w:val="1"/>
                <w:sz w:val="24"/>
                <w:szCs w:val="24"/>
                <w:highlight w:val="none"/>
              </w:rPr>
              <w:t>分</w:t>
            </w:r>
            <w:r>
              <w:rPr>
                <w:rFonts w:hint="eastAsia" w:ascii="仿宋" w:hAnsi="仿宋" w:eastAsia="仿宋"/>
                <w:color w:val="auto"/>
                <w:kern w:val="1"/>
                <w:sz w:val="24"/>
                <w:szCs w:val="24"/>
                <w:highlight w:val="none"/>
              </w:rPr>
              <w:t>起至</w:t>
            </w:r>
            <w:r>
              <w:rPr>
                <w:rFonts w:hint="eastAsia" w:ascii="仿宋" w:hAnsi="仿宋" w:eastAsia="仿宋"/>
                <w:color w:val="auto"/>
                <w:kern w:val="1"/>
                <w:sz w:val="24"/>
                <w:szCs w:val="24"/>
                <w:highlight w:val="none"/>
                <w:lang w:val="en-US" w:eastAsia="zh-CN"/>
              </w:rPr>
              <w:t>14</w:t>
            </w:r>
            <w:r>
              <w:rPr>
                <w:rFonts w:hint="eastAsia" w:ascii="仿宋" w:hAnsi="仿宋" w:eastAsia="仿宋"/>
                <w:color w:val="auto"/>
                <w:kern w:val="1"/>
                <w:sz w:val="24"/>
                <w:szCs w:val="24"/>
                <w:highlight w:val="none"/>
              </w:rPr>
              <w:t>时</w:t>
            </w:r>
            <w:r>
              <w:rPr>
                <w:rFonts w:hint="eastAsia" w:ascii="仿宋" w:hAnsi="仿宋" w:eastAsia="仿宋"/>
                <w:color w:val="auto"/>
                <w:kern w:val="1"/>
                <w:sz w:val="24"/>
                <w:szCs w:val="24"/>
                <w:highlight w:val="none"/>
                <w:lang w:val="en-US" w:eastAsia="zh-CN"/>
              </w:rPr>
              <w:t>00</w:t>
            </w:r>
            <w:r>
              <w:rPr>
                <w:rFonts w:hint="eastAsia" w:ascii="仿宋" w:hAnsi="仿宋" w:eastAsia="仿宋"/>
                <w:color w:val="auto"/>
                <w:kern w:val="1"/>
                <w:sz w:val="24"/>
                <w:szCs w:val="24"/>
                <w:highlight w:val="none"/>
              </w:rPr>
              <w:t>分止。</w:t>
            </w:r>
          </w:p>
          <w:p w14:paraId="79CAFCF7">
            <w:pPr>
              <w:tabs>
                <w:tab w:val="left" w:pos="360"/>
              </w:tabs>
              <w:spacing w:line="360" w:lineRule="auto"/>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rPr>
              <w:t>地点：青岛市市北区台柳路196号和达新都汇三层309开标室。</w:t>
            </w:r>
          </w:p>
          <w:p w14:paraId="51A3D582">
            <w:pPr>
              <w:tabs>
                <w:tab w:val="left" w:pos="360"/>
              </w:tabs>
              <w:wordWrap w:val="0"/>
              <w:spacing w:line="360" w:lineRule="auto"/>
              <w:rPr>
                <w:rFonts w:hint="eastAsia"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投标人应当在招标文件要求提交投标文件的截止时间前，将投标文件密封送达</w:t>
            </w:r>
            <w:r>
              <w:rPr>
                <w:rFonts w:hint="eastAsia" w:ascii="仿宋" w:hAnsi="仿宋" w:eastAsia="仿宋" w:cs="仿宋"/>
                <w:b/>
                <w:color w:val="auto"/>
                <w:sz w:val="24"/>
                <w:highlight w:val="none"/>
              </w:rPr>
              <w:t>投标</w:t>
            </w:r>
            <w:r>
              <w:rPr>
                <w:rFonts w:hint="eastAsia" w:ascii="仿宋" w:hAnsi="仿宋" w:eastAsia="仿宋" w:cs="仿宋"/>
                <w:b/>
                <w:color w:val="auto"/>
                <w:sz w:val="24"/>
                <w:highlight w:val="none"/>
                <w:lang w:val="zh-CN"/>
              </w:rPr>
              <w:t>地点。</w:t>
            </w:r>
          </w:p>
          <w:p w14:paraId="7F7C0D2A">
            <w:pPr>
              <w:tabs>
                <w:tab w:val="left" w:pos="360"/>
              </w:tabs>
              <w:spacing w:line="360" w:lineRule="auto"/>
              <w:rPr>
                <w:rFonts w:hint="eastAsia" w:ascii="仿宋" w:hAnsi="仿宋" w:eastAsia="仿宋" w:cs="仿宋"/>
                <w:color w:val="auto"/>
                <w:sz w:val="24"/>
                <w:szCs w:val="24"/>
                <w:highlight w:val="none"/>
                <w:lang w:val="zh-CN"/>
              </w:rPr>
            </w:pPr>
            <w:r>
              <w:rPr>
                <w:rFonts w:hint="eastAsia" w:ascii="仿宋" w:hAnsi="仿宋" w:eastAsia="仿宋" w:cs="仿宋"/>
                <w:b/>
                <w:color w:val="auto"/>
                <w:sz w:val="24"/>
                <w:highlight w:val="none"/>
                <w:lang w:val="zh-CN"/>
              </w:rPr>
              <w:t>法定代表人参加</w:t>
            </w:r>
            <w:r>
              <w:rPr>
                <w:rFonts w:hint="eastAsia" w:ascii="仿宋" w:hAnsi="仿宋" w:eastAsia="仿宋" w:cs="仿宋"/>
                <w:b/>
                <w:color w:val="auto"/>
                <w:sz w:val="24"/>
                <w:highlight w:val="none"/>
              </w:rPr>
              <w:t>投标</w:t>
            </w:r>
            <w:r>
              <w:rPr>
                <w:rFonts w:hint="eastAsia" w:ascii="仿宋" w:hAnsi="仿宋" w:eastAsia="仿宋" w:cs="仿宋"/>
                <w:b/>
                <w:color w:val="auto"/>
                <w:sz w:val="24"/>
                <w:highlight w:val="none"/>
                <w:lang w:val="zh-CN"/>
              </w:rPr>
              <w:t>的，应出示法定代表人身份证明原件（须按照招标文件附件</w:t>
            </w:r>
            <w:r>
              <w:rPr>
                <w:rFonts w:hint="eastAsia" w:ascii="仿宋" w:hAnsi="仿宋" w:eastAsia="仿宋" w:cs="仿宋"/>
                <w:b/>
                <w:color w:val="auto"/>
                <w:sz w:val="24"/>
                <w:highlight w:val="none"/>
              </w:rPr>
              <w:t>中</w:t>
            </w:r>
            <w:r>
              <w:rPr>
                <w:rFonts w:hint="eastAsia" w:ascii="仿宋" w:hAnsi="仿宋" w:eastAsia="仿宋" w:cs="仿宋"/>
                <w:b/>
                <w:color w:val="auto"/>
                <w:sz w:val="24"/>
                <w:highlight w:val="none"/>
                <w:lang w:val="zh-CN"/>
              </w:rPr>
              <w:t>格式提供）和本人身份证原件；被授权代表参加</w:t>
            </w:r>
            <w:r>
              <w:rPr>
                <w:rFonts w:hint="eastAsia" w:ascii="仿宋" w:hAnsi="仿宋" w:eastAsia="仿宋" w:cs="仿宋"/>
                <w:b/>
                <w:color w:val="auto"/>
                <w:sz w:val="24"/>
                <w:highlight w:val="none"/>
              </w:rPr>
              <w:t>投标</w:t>
            </w:r>
            <w:r>
              <w:rPr>
                <w:rFonts w:hint="eastAsia" w:ascii="仿宋" w:hAnsi="仿宋" w:eastAsia="仿宋" w:cs="仿宋"/>
                <w:b/>
                <w:color w:val="auto"/>
                <w:sz w:val="24"/>
                <w:highlight w:val="none"/>
                <w:lang w:val="zh-CN"/>
              </w:rPr>
              <w:t>的，应出示法定代表人授权委托书原件（须按照招标文件附件</w:t>
            </w:r>
            <w:r>
              <w:rPr>
                <w:rFonts w:hint="eastAsia" w:ascii="仿宋" w:hAnsi="仿宋" w:eastAsia="仿宋" w:cs="仿宋"/>
                <w:b/>
                <w:color w:val="auto"/>
                <w:sz w:val="24"/>
                <w:highlight w:val="none"/>
              </w:rPr>
              <w:t>中</w:t>
            </w:r>
            <w:r>
              <w:rPr>
                <w:rFonts w:hint="eastAsia" w:ascii="仿宋" w:hAnsi="仿宋" w:eastAsia="仿宋" w:cs="仿宋"/>
                <w:b/>
                <w:color w:val="auto"/>
                <w:sz w:val="24"/>
                <w:highlight w:val="none"/>
                <w:lang w:val="zh-CN"/>
              </w:rPr>
              <w:t>格式提供）和本人身份证原件。否则，代理机构对递交的投标文件将不予接收。</w:t>
            </w:r>
          </w:p>
        </w:tc>
      </w:tr>
      <w:tr w14:paraId="4F391CC8">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29C4346E">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rPr>
              <w:t>6</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353ABCE9">
            <w:pPr>
              <w:spacing w:line="360" w:lineRule="auto"/>
              <w:rPr>
                <w:rFonts w:ascii="仿宋" w:hAnsi="仿宋" w:eastAsia="仿宋"/>
                <w:color w:val="auto"/>
                <w:sz w:val="24"/>
                <w:szCs w:val="24"/>
                <w:highlight w:val="none"/>
              </w:rPr>
            </w:pPr>
            <w:r>
              <w:rPr>
                <w:rFonts w:hint="eastAsia" w:ascii="仿宋" w:hAnsi="仿宋" w:eastAsia="仿宋" w:cs="仿宋"/>
                <w:color w:val="auto"/>
                <w:sz w:val="24"/>
                <w:szCs w:val="24"/>
                <w:highlight w:val="none"/>
                <w:lang w:val="zh-CN"/>
              </w:rPr>
              <w:t>开标时间及地点</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010EAB57">
            <w:pPr>
              <w:wordWrap w:val="0"/>
              <w:spacing w:line="360" w:lineRule="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时间：</w:t>
            </w:r>
            <w:r>
              <w:rPr>
                <w:rFonts w:hint="eastAsia" w:ascii="仿宋" w:hAnsi="仿宋" w:eastAsia="仿宋" w:cs="仿宋"/>
                <w:color w:val="auto"/>
                <w:kern w:val="1"/>
                <w:sz w:val="24"/>
                <w:szCs w:val="24"/>
                <w:highlight w:val="none"/>
              </w:rPr>
              <w:t>202</w:t>
            </w:r>
            <w:r>
              <w:rPr>
                <w:rFonts w:hint="eastAsia" w:ascii="仿宋" w:hAnsi="仿宋" w:eastAsia="仿宋" w:cs="仿宋"/>
                <w:color w:val="auto"/>
                <w:kern w:val="1"/>
                <w:sz w:val="24"/>
                <w:szCs w:val="24"/>
                <w:highlight w:val="none"/>
                <w:lang w:val="en-US" w:eastAsia="zh-CN"/>
              </w:rPr>
              <w:t>6</w:t>
            </w:r>
            <w:r>
              <w:rPr>
                <w:rFonts w:hint="eastAsia" w:ascii="仿宋" w:hAnsi="仿宋" w:eastAsia="仿宋" w:cs="仿宋"/>
                <w:color w:val="auto"/>
                <w:kern w:val="1"/>
                <w:sz w:val="24"/>
                <w:szCs w:val="24"/>
                <w:highlight w:val="none"/>
              </w:rPr>
              <w:t>年</w:t>
            </w:r>
            <w:r>
              <w:rPr>
                <w:rFonts w:hint="eastAsia" w:ascii="仿宋" w:hAnsi="仿宋" w:eastAsia="仿宋" w:cs="仿宋"/>
                <w:color w:val="auto"/>
                <w:kern w:val="1"/>
                <w:sz w:val="24"/>
                <w:szCs w:val="24"/>
                <w:highlight w:val="none"/>
                <w:lang w:val="en-US" w:eastAsia="zh-CN"/>
              </w:rPr>
              <w:t>9</w:t>
            </w:r>
            <w:r>
              <w:rPr>
                <w:rFonts w:hint="eastAsia" w:ascii="仿宋" w:hAnsi="仿宋" w:eastAsia="仿宋" w:cs="仿宋"/>
                <w:color w:val="auto"/>
                <w:kern w:val="1"/>
                <w:sz w:val="24"/>
                <w:szCs w:val="24"/>
                <w:highlight w:val="none"/>
              </w:rPr>
              <w:t>月</w:t>
            </w:r>
            <w:r>
              <w:rPr>
                <w:rFonts w:hint="eastAsia" w:ascii="仿宋" w:hAnsi="仿宋" w:eastAsia="仿宋" w:cs="仿宋"/>
                <w:color w:val="auto"/>
                <w:kern w:val="1"/>
                <w:sz w:val="24"/>
                <w:szCs w:val="24"/>
                <w:highlight w:val="none"/>
                <w:lang w:val="en-US" w:eastAsia="zh-CN"/>
              </w:rPr>
              <w:t>10</w:t>
            </w:r>
            <w:r>
              <w:rPr>
                <w:rFonts w:hint="eastAsia" w:ascii="仿宋" w:hAnsi="仿宋" w:eastAsia="仿宋" w:cs="仿宋"/>
                <w:color w:val="auto"/>
                <w:kern w:val="1"/>
                <w:sz w:val="24"/>
                <w:szCs w:val="24"/>
                <w:highlight w:val="none"/>
              </w:rPr>
              <w:t>日</w:t>
            </w:r>
            <w:r>
              <w:rPr>
                <w:rFonts w:hint="eastAsia" w:ascii="仿宋" w:hAnsi="仿宋" w:eastAsia="仿宋" w:cs="仿宋"/>
                <w:color w:val="auto"/>
                <w:kern w:val="1"/>
                <w:sz w:val="24"/>
                <w:szCs w:val="24"/>
                <w:highlight w:val="none"/>
                <w:lang w:val="en-US" w:eastAsia="zh-CN"/>
              </w:rPr>
              <w:t>14</w:t>
            </w:r>
            <w:r>
              <w:rPr>
                <w:rFonts w:hint="eastAsia" w:ascii="仿宋" w:hAnsi="仿宋" w:eastAsia="仿宋" w:cs="仿宋"/>
                <w:color w:val="auto"/>
                <w:kern w:val="1"/>
                <w:sz w:val="24"/>
                <w:szCs w:val="24"/>
                <w:highlight w:val="none"/>
              </w:rPr>
              <w:t>时</w:t>
            </w:r>
            <w:r>
              <w:rPr>
                <w:rFonts w:hint="eastAsia" w:ascii="仿宋" w:hAnsi="仿宋" w:eastAsia="仿宋" w:cs="仿宋"/>
                <w:color w:val="auto"/>
                <w:kern w:val="1"/>
                <w:sz w:val="24"/>
                <w:szCs w:val="24"/>
                <w:highlight w:val="none"/>
                <w:lang w:val="en-US" w:eastAsia="zh-CN"/>
              </w:rPr>
              <w:t>00</w:t>
            </w:r>
            <w:r>
              <w:rPr>
                <w:rFonts w:hint="eastAsia" w:ascii="仿宋" w:hAnsi="仿宋" w:eastAsia="仿宋" w:cs="仿宋"/>
                <w:color w:val="auto"/>
                <w:kern w:val="1"/>
                <w:sz w:val="24"/>
                <w:szCs w:val="24"/>
                <w:highlight w:val="none"/>
              </w:rPr>
              <w:t>分</w:t>
            </w:r>
            <w:r>
              <w:rPr>
                <w:rFonts w:hint="eastAsia" w:ascii="仿宋" w:hAnsi="仿宋" w:eastAsia="仿宋" w:cs="仿宋"/>
                <w:color w:val="auto"/>
                <w:sz w:val="24"/>
                <w:szCs w:val="24"/>
                <w:highlight w:val="none"/>
                <w:lang w:val="zh-CN"/>
              </w:rPr>
              <w:t>。</w:t>
            </w:r>
          </w:p>
          <w:p w14:paraId="6A9F4523">
            <w:pPr>
              <w:spacing w:line="360" w:lineRule="auto"/>
              <w:rPr>
                <w:rFonts w:hint="eastAsia" w:ascii="仿宋" w:hAnsi="仿宋" w:eastAsia="仿宋"/>
                <w:b/>
                <w:color w:val="auto"/>
                <w:sz w:val="24"/>
                <w:highlight w:val="none"/>
                <w:lang w:val="zh-CN"/>
              </w:rPr>
            </w:pPr>
            <w:r>
              <w:rPr>
                <w:rFonts w:hint="eastAsia" w:ascii="仿宋" w:hAnsi="仿宋" w:eastAsia="仿宋" w:cs="仿宋"/>
                <w:color w:val="auto"/>
                <w:sz w:val="24"/>
                <w:szCs w:val="24"/>
                <w:highlight w:val="none"/>
                <w:lang w:val="zh-CN"/>
              </w:rPr>
              <w:t>地点：青岛市市北区台柳路196号和达新都汇三层309开标室。</w:t>
            </w:r>
          </w:p>
        </w:tc>
      </w:tr>
      <w:tr w14:paraId="7079D042">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042D96E4">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rPr>
              <w:t>7</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7C69C34B">
            <w:pPr>
              <w:autoSpaceDE w:val="0"/>
              <w:autoSpaceDN w:val="0"/>
              <w:adjustRightInd w:val="0"/>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评标委员会</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2205C730">
            <w:pPr>
              <w:autoSpaceDE w:val="0"/>
              <w:autoSpaceDN w:val="0"/>
              <w:adjustRightInd w:val="0"/>
              <w:spacing w:line="360" w:lineRule="auto"/>
              <w:rPr>
                <w:rFonts w:ascii="仿宋" w:hAnsi="仿宋" w:eastAsia="仿宋"/>
                <w:color w:val="auto"/>
                <w:sz w:val="24"/>
                <w:szCs w:val="24"/>
                <w:highlight w:val="none"/>
              </w:rPr>
            </w:pPr>
            <w:r>
              <w:rPr>
                <w:rFonts w:hint="eastAsia" w:ascii="仿宋" w:hAnsi="仿宋" w:eastAsia="仿宋" w:cs="仿宋"/>
                <w:color w:val="auto"/>
                <w:sz w:val="24"/>
                <w:szCs w:val="24"/>
                <w:highlight w:val="none"/>
                <w:lang w:val="zh-CN"/>
              </w:rPr>
              <w:t>评标委员会共</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rPr>
              <w:t>5</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人，</w:t>
            </w:r>
            <w:r>
              <w:rPr>
                <w:rFonts w:hint="eastAsia" w:ascii="仿宋" w:hAnsi="仿宋" w:eastAsia="仿宋" w:cs="仿宋"/>
                <w:color w:val="auto"/>
                <w:sz w:val="24"/>
                <w:szCs w:val="24"/>
                <w:highlight w:val="none"/>
              </w:rPr>
              <w:t>其中评标专家 4 人，</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代表 1 人。</w:t>
            </w:r>
          </w:p>
        </w:tc>
      </w:tr>
      <w:tr w14:paraId="4D304B98">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3047CAD">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rPr>
              <w:t>8</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15EECB90">
            <w:pPr>
              <w:spacing w:line="360" w:lineRule="auto"/>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评标办法</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5413DD7D">
            <w:pPr>
              <w:spacing w:line="360" w:lineRule="auto"/>
              <w:rPr>
                <w:rFonts w:ascii="仿宋" w:hAnsi="仿宋" w:eastAsia="仿宋"/>
                <w:color w:val="auto"/>
                <w:sz w:val="24"/>
                <w:szCs w:val="24"/>
                <w:highlight w:val="none"/>
                <w:lang w:val="zh-CN"/>
              </w:rPr>
            </w:pPr>
            <w:r>
              <w:rPr>
                <w:rFonts w:hint="eastAsia" w:ascii="仿宋" w:hAnsi="仿宋" w:eastAsia="仿宋"/>
                <w:color w:val="auto"/>
                <w:sz w:val="24"/>
                <w:szCs w:val="24"/>
                <w:highlight w:val="none"/>
              </w:rPr>
              <w:fldChar w:fldCharType="begin"/>
            </w:r>
            <w:r>
              <w:rPr>
                <w:rFonts w:hint="eastAsia"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rPr>
              <w:fldChar w:fldCharType="end"/>
            </w:r>
            <w:r>
              <w:rPr>
                <w:rFonts w:hint="eastAsia" w:ascii="仿宋" w:hAnsi="仿宋" w:eastAsia="仿宋" w:cs="仿宋"/>
                <w:color w:val="auto"/>
                <w:sz w:val="24"/>
                <w:szCs w:val="24"/>
                <w:highlight w:val="none"/>
                <w:lang w:val="zh-CN"/>
              </w:rPr>
              <w:t xml:space="preserve"> 综合评分法</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 最低评标价法</w:t>
            </w:r>
          </w:p>
        </w:tc>
      </w:tr>
      <w:tr w14:paraId="37747C09">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A1F179D">
            <w:pPr>
              <w:spacing w:line="360" w:lineRule="auto"/>
              <w:jc w:val="center"/>
              <w:rPr>
                <w:rFonts w:hint="eastAsia"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rPr>
              <w:t>9</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7146D881">
            <w:pPr>
              <w:spacing w:line="360" w:lineRule="auto"/>
              <w:rPr>
                <w:rFonts w:ascii="仿宋" w:hAnsi="仿宋" w:eastAsia="仿宋"/>
                <w:color w:val="auto"/>
                <w:sz w:val="24"/>
                <w:szCs w:val="24"/>
                <w:highlight w:val="none"/>
                <w:lang w:val="zh-CN"/>
              </w:rPr>
            </w:pPr>
            <w:r>
              <w:rPr>
                <w:rFonts w:hint="eastAsia" w:ascii="仿宋" w:hAnsi="仿宋" w:eastAsia="仿宋"/>
                <w:color w:val="auto"/>
                <w:sz w:val="24"/>
                <w:szCs w:val="24"/>
                <w:highlight w:val="none"/>
              </w:rPr>
              <w:t>是否授权评标委员会确定中标人</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28AD4AAD">
            <w:pPr>
              <w:spacing w:line="360" w:lineRule="auto"/>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w:t>
            </w:r>
            <w:r>
              <w:rPr>
                <w:rFonts w:hint="eastAsia" w:ascii="仿宋" w:hAnsi="仿宋" w:eastAsia="仿宋"/>
                <w:color w:val="auto"/>
                <w:sz w:val="24"/>
                <w:szCs w:val="24"/>
                <w:highlight w:val="none"/>
                <w:lang w:val="zh-CN"/>
              </w:rPr>
              <w:t>是</w:t>
            </w:r>
          </w:p>
          <w:p w14:paraId="7522CF34">
            <w:pPr>
              <w:spacing w:line="360" w:lineRule="auto"/>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☑否，由</w:t>
            </w:r>
            <w:r>
              <w:rPr>
                <w:rFonts w:hint="eastAsia" w:ascii="仿宋" w:hAnsi="仿宋" w:eastAsia="仿宋"/>
                <w:color w:val="auto"/>
                <w:sz w:val="24"/>
                <w:szCs w:val="24"/>
                <w:highlight w:val="none"/>
                <w:lang w:val="en-US" w:eastAsia="zh-CN"/>
              </w:rPr>
              <w:t>评标委员会每包</w:t>
            </w:r>
            <w:r>
              <w:rPr>
                <w:rFonts w:hint="eastAsia" w:ascii="仿宋" w:hAnsi="仿宋" w:eastAsia="仿宋"/>
                <w:color w:val="auto"/>
                <w:sz w:val="24"/>
                <w:szCs w:val="24"/>
                <w:highlight w:val="none"/>
                <w:lang w:val="zh-CN"/>
              </w:rPr>
              <w:t>推荐三个</w:t>
            </w:r>
            <w:r>
              <w:rPr>
                <w:rFonts w:hint="eastAsia" w:ascii="仿宋" w:hAnsi="仿宋" w:eastAsia="仿宋"/>
                <w:color w:val="auto"/>
                <w:sz w:val="24"/>
                <w:szCs w:val="24"/>
                <w:highlight w:val="none"/>
                <w:lang w:val="en-US" w:eastAsia="zh-CN"/>
              </w:rPr>
              <w:t>中标候选人</w:t>
            </w:r>
            <w:r>
              <w:rPr>
                <w:rFonts w:hint="eastAsia" w:ascii="仿宋" w:hAnsi="仿宋" w:eastAsia="仿宋"/>
                <w:color w:val="auto"/>
                <w:sz w:val="24"/>
                <w:szCs w:val="24"/>
                <w:highlight w:val="none"/>
                <w:lang w:val="zh-CN"/>
              </w:rPr>
              <w:t>。</w:t>
            </w:r>
          </w:p>
          <w:p w14:paraId="35FC2D74">
            <w:pPr>
              <w:spacing w:line="360" w:lineRule="auto"/>
              <w:rPr>
                <w:rFonts w:ascii="仿宋" w:hAnsi="仿宋" w:eastAsia="仿宋"/>
                <w:color w:val="auto"/>
                <w:sz w:val="24"/>
                <w:szCs w:val="24"/>
                <w:highlight w:val="none"/>
                <w:lang w:val="zh-CN"/>
              </w:rPr>
            </w:pPr>
            <w:r>
              <w:rPr>
                <w:rFonts w:hint="eastAsia" w:ascii="仿宋" w:hAnsi="仿宋" w:eastAsia="仿宋"/>
                <w:color w:val="auto"/>
                <w:sz w:val="24"/>
                <w:szCs w:val="24"/>
                <w:highlight w:val="none"/>
                <w:lang w:val="en-US" w:eastAsia="zh-CN"/>
              </w:rPr>
              <w:t>中标</w:t>
            </w:r>
            <w:r>
              <w:rPr>
                <w:rFonts w:hint="eastAsia" w:ascii="仿宋" w:hAnsi="仿宋" w:eastAsia="仿宋"/>
                <w:color w:val="auto"/>
                <w:sz w:val="24"/>
                <w:szCs w:val="24"/>
                <w:highlight w:val="none"/>
                <w:lang w:val="zh-CN"/>
              </w:rPr>
              <w:t>结果在中国招标投标公共服务平台和山东大学齐鲁医院（青岛）官网公告，公告期限为1个工作日。</w:t>
            </w:r>
          </w:p>
        </w:tc>
      </w:tr>
      <w:tr w14:paraId="03303656">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498C0DEA">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30</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3258EDB2">
            <w:pPr>
              <w:spacing w:line="360" w:lineRule="auto"/>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rPr>
              <w:t>是否退还投标文件</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7F3D233F">
            <w:pPr>
              <w:spacing w:line="360" w:lineRule="auto"/>
              <w:rPr>
                <w:rFonts w:hint="eastAsia" w:ascii="仿宋" w:hAnsi="仿宋" w:eastAsia="仿宋" w:cs="仿宋"/>
                <w:color w:val="auto"/>
                <w:sz w:val="24"/>
                <w:szCs w:val="24"/>
                <w:highlight w:val="none"/>
              </w:rPr>
            </w:pPr>
            <w:r>
              <w:rPr>
                <w:rFonts w:hint="eastAsia" w:ascii="仿宋" w:hAnsi="仿宋" w:eastAsia="仿宋"/>
                <w:color w:val="auto"/>
                <w:sz w:val="24"/>
                <w:szCs w:val="24"/>
                <w:highlight w:val="none"/>
              </w:rPr>
              <w:t>除投标人需收回的资格资信等证明文件中的证明材料原件（如营业执照、合同、相关资质证书等）外，其他文件概不退还。</w:t>
            </w:r>
          </w:p>
        </w:tc>
      </w:tr>
      <w:tr w14:paraId="6A606883">
        <w:tblPrEx>
          <w:tblCellMar>
            <w:top w:w="0" w:type="dxa"/>
            <w:left w:w="108" w:type="dxa"/>
            <w:bottom w:w="0" w:type="dxa"/>
            <w:right w:w="108" w:type="dxa"/>
          </w:tblCellMar>
        </w:tblPrEx>
        <w:trPr>
          <w:trHeight w:val="3277"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9100357">
            <w:pPr>
              <w:spacing w:line="360" w:lineRule="auto"/>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134FD5D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本项目所属行业类型</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70C7328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工业。</w:t>
            </w:r>
          </w:p>
          <w:p w14:paraId="7866501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1A4BAF0A">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B9D0433">
            <w:pPr>
              <w:spacing w:line="360" w:lineRule="auto"/>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32</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3B8614DA">
            <w:pPr>
              <w:rPr>
                <w:rFonts w:hint="eastAsia" w:ascii="仿宋" w:hAnsi="仿宋" w:eastAsia="仿宋" w:cs="仿宋"/>
                <w:color w:val="auto"/>
                <w:sz w:val="24"/>
                <w:highlight w:val="none"/>
              </w:rPr>
            </w:pPr>
            <w:r>
              <w:rPr>
                <w:rFonts w:hint="eastAsia" w:ascii="仿宋" w:hAnsi="仿宋" w:eastAsia="仿宋"/>
                <w:color w:val="auto"/>
                <w:sz w:val="24"/>
                <w:highlight w:val="none"/>
              </w:rPr>
              <w:t>面向中小企业预留情况及小微企业报价扣除标准</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69EBDAFD">
            <w:pPr>
              <w:spacing w:line="360" w:lineRule="auto"/>
              <w:rPr>
                <w:rFonts w:hint="eastAsia" w:ascii="仿宋" w:hAnsi="仿宋" w:eastAsia="仿宋"/>
                <w:color w:val="auto"/>
                <w:sz w:val="24"/>
                <w:highlight w:val="none"/>
              </w:rPr>
            </w:pPr>
            <w:r>
              <w:rPr>
                <w:rFonts w:hint="eastAsia" w:ascii="仿宋" w:hAnsi="仿宋" w:eastAsia="仿宋"/>
                <w:color w:val="auto"/>
                <w:sz w:val="24"/>
                <w:highlight w:val="none"/>
              </w:rPr>
              <w:t>本项目为面向中小企业预留份额的采购包，专门面向中小企业采购，有关要求详见采购公告和第三章。小微企业不享受价格折扣优惠。</w:t>
            </w:r>
          </w:p>
        </w:tc>
      </w:tr>
      <w:tr w14:paraId="3E05419B">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C588E60">
            <w:pPr>
              <w:spacing w:line="360" w:lineRule="auto"/>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33</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6ECF69F8">
            <w:pPr>
              <w:jc w:val="left"/>
              <w:rPr>
                <w:rFonts w:hint="eastAsia" w:ascii="仿宋" w:hAnsi="仿宋" w:eastAsia="仿宋"/>
                <w:color w:val="auto"/>
                <w:sz w:val="24"/>
                <w:highlight w:val="none"/>
              </w:rPr>
            </w:pPr>
            <w:r>
              <w:rPr>
                <w:rFonts w:hint="eastAsia" w:ascii="仿宋" w:hAnsi="仿宋" w:eastAsia="仿宋"/>
                <w:color w:val="auto"/>
                <w:sz w:val="24"/>
                <w:highlight w:val="none"/>
              </w:rPr>
              <w:t>确定核心产品</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3E740CED">
            <w:pPr>
              <w:spacing w:line="400" w:lineRule="exact"/>
              <w:ind w:left="360" w:hanging="360" w:hangingChars="150"/>
              <w:rPr>
                <w:rFonts w:ascii="仿宋" w:hAnsi="仿宋" w:eastAsia="仿宋"/>
                <w:color w:val="auto"/>
                <w:sz w:val="24"/>
                <w:highlight w:val="none"/>
              </w:rPr>
            </w:pPr>
            <w:r>
              <w:rPr>
                <w:rFonts w:hint="eastAsia" w:ascii="仿宋" w:hAnsi="仿宋" w:eastAsia="仿宋"/>
                <w:color w:val="auto"/>
                <w:sz w:val="24"/>
                <w:szCs w:val="24"/>
                <w:highlight w:val="none"/>
                <w:lang w:eastAsia="zh-CN"/>
              </w:rPr>
              <w:t>□</w:t>
            </w:r>
            <w:r>
              <w:rPr>
                <w:rFonts w:hint="eastAsia" w:ascii="仿宋" w:hAnsi="仿宋" w:eastAsia="仿宋"/>
                <w:color w:val="auto"/>
                <w:sz w:val="24"/>
                <w:highlight w:val="none"/>
              </w:rPr>
              <w:t>属于单一产品采购项目</w:t>
            </w:r>
          </w:p>
          <w:p w14:paraId="67E88591">
            <w:pPr>
              <w:spacing w:line="400" w:lineRule="exact"/>
              <w:ind w:left="360" w:hanging="360" w:hangingChars="150"/>
              <w:rPr>
                <w:rFonts w:hint="default" w:ascii="仿宋" w:hAnsi="仿宋" w:eastAsia="仿宋"/>
                <w:color w:val="auto"/>
                <w:sz w:val="24"/>
                <w:highlight w:val="none"/>
                <w:lang w:val="en-US" w:eastAsia="zh-CN"/>
              </w:rPr>
            </w:pPr>
            <w:r>
              <w:rPr>
                <w:rFonts w:hint="eastAsia" w:ascii="仿宋" w:hAnsi="仿宋" w:eastAsia="仿宋"/>
                <w:color w:val="auto"/>
                <w:sz w:val="24"/>
                <w:szCs w:val="24"/>
                <w:highlight w:val="none"/>
                <w:lang w:eastAsia="zh-CN"/>
              </w:rPr>
              <w:t>☑</w:t>
            </w:r>
            <w:r>
              <w:rPr>
                <w:rFonts w:hint="eastAsia" w:ascii="仿宋" w:hAnsi="仿宋" w:eastAsia="仿宋"/>
                <w:color w:val="auto"/>
                <w:sz w:val="24"/>
                <w:highlight w:val="none"/>
              </w:rPr>
              <w:t>属于非单一产品采购项目</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其中第一包：</w:t>
            </w:r>
            <w:r>
              <w:rPr>
                <w:rFonts w:hint="eastAsia" w:ascii="仿宋" w:hAnsi="仿宋" w:eastAsia="仿宋"/>
                <w:color w:val="auto"/>
                <w:sz w:val="24"/>
                <w:highlight w:val="none"/>
                <w:u w:val="single"/>
                <w:lang w:val="en-US" w:eastAsia="zh-CN"/>
              </w:rPr>
              <w:t>无线神经肌肉刺激器</w:t>
            </w:r>
            <w:r>
              <w:rPr>
                <w:rFonts w:hint="eastAsia" w:ascii="仿宋" w:hAnsi="仿宋" w:eastAsia="仿宋"/>
                <w:color w:val="auto"/>
                <w:sz w:val="24"/>
                <w:highlight w:val="none"/>
                <w:u w:val="none"/>
                <w:lang w:val="en-US" w:eastAsia="zh-CN"/>
              </w:rPr>
              <w:t>为核心产品，第二包：</w:t>
            </w:r>
            <w:r>
              <w:rPr>
                <w:rFonts w:hint="eastAsia" w:ascii="仿宋" w:hAnsi="仿宋" w:eastAsia="仿宋"/>
                <w:color w:val="auto"/>
                <w:sz w:val="24"/>
                <w:highlight w:val="none"/>
                <w:u w:val="single"/>
                <w:lang w:val="en-US" w:eastAsia="zh-CN"/>
              </w:rPr>
              <w:t>可编程可穿戴治疗仪</w:t>
            </w:r>
            <w:r>
              <w:rPr>
                <w:rFonts w:hint="eastAsia" w:ascii="仿宋" w:hAnsi="仿宋" w:eastAsia="仿宋"/>
                <w:color w:val="auto"/>
                <w:sz w:val="24"/>
                <w:highlight w:val="none"/>
                <w:u w:val="none"/>
                <w:lang w:val="en-US" w:eastAsia="zh-CN"/>
              </w:rPr>
              <w:t>为核心产品</w:t>
            </w:r>
          </w:p>
        </w:tc>
      </w:tr>
      <w:tr w14:paraId="5ACB1516">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7CE9BD75">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34</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4E33FD9C">
            <w:pPr>
              <w:spacing w:line="360" w:lineRule="auto"/>
              <w:rPr>
                <w:rFonts w:hint="eastAsia" w:ascii="仿宋" w:hAnsi="仿宋" w:eastAsia="仿宋"/>
                <w:color w:val="auto"/>
                <w:sz w:val="24"/>
                <w:highlight w:val="none"/>
              </w:rPr>
            </w:pPr>
            <w:r>
              <w:rPr>
                <w:rFonts w:hint="eastAsia" w:ascii="仿宋" w:hAnsi="仿宋" w:eastAsia="仿宋" w:cs="Times New Roman"/>
                <w:color w:val="auto"/>
                <w:sz w:val="24"/>
                <w:szCs w:val="24"/>
                <w:highlight w:val="none"/>
              </w:rPr>
              <w:t>异常低价投标审查程序</w:t>
            </w:r>
          </w:p>
        </w:tc>
        <w:tc>
          <w:tcPr>
            <w:tcW w:w="5534" w:type="dxa"/>
            <w:tcBorders>
              <w:top w:val="single" w:color="auto" w:sz="4" w:space="0"/>
              <w:left w:val="single" w:color="auto" w:sz="4" w:space="0"/>
              <w:bottom w:val="single" w:color="auto" w:sz="4" w:space="0"/>
              <w:right w:val="single" w:color="auto" w:sz="4" w:space="0"/>
            </w:tcBorders>
            <w:noWrap w:val="0"/>
            <w:vAlign w:val="top"/>
          </w:tcPr>
          <w:p w14:paraId="72031515">
            <w:pPr>
              <w:spacing w:line="360" w:lineRule="auto"/>
              <w:rPr>
                <w:rFonts w:hint="eastAsia" w:ascii="仿宋" w:hAnsi="仿宋" w:eastAsia="仿宋"/>
                <w:color w:val="auto"/>
                <w:sz w:val="24"/>
                <w:highlight w:val="none"/>
              </w:rPr>
            </w:pPr>
            <w:r>
              <w:rPr>
                <w:rFonts w:hint="eastAsia" w:ascii="仿宋" w:hAnsi="仿宋" w:eastAsia="仿宋" w:cs="Times New Roman"/>
                <w:color w:val="auto"/>
                <w:sz w:val="24"/>
                <w:szCs w:val="24"/>
                <w:highlight w:val="none"/>
              </w:rPr>
              <w:t>评审中出现下列情形之一的，</w:t>
            </w:r>
            <w:r>
              <w:rPr>
                <w:rFonts w:hint="eastAsia" w:ascii="仿宋" w:hAnsi="仿宋" w:eastAsia="仿宋" w:cs="Times New Roman"/>
                <w:color w:val="auto"/>
                <w:sz w:val="24"/>
                <w:szCs w:val="24"/>
                <w:highlight w:val="none"/>
                <w:lang w:val="en-US" w:eastAsia="zh-CN"/>
              </w:rPr>
              <w:t>评标</w:t>
            </w:r>
            <w:r>
              <w:rPr>
                <w:rFonts w:hint="eastAsia" w:ascii="仿宋" w:hAnsi="仿宋" w:eastAsia="仿宋" w:cs="Times New Roman"/>
                <w:color w:val="auto"/>
                <w:sz w:val="24"/>
                <w:szCs w:val="24"/>
                <w:highlight w:val="none"/>
              </w:rPr>
              <w:t xml:space="preserve">委员会应当启动异常低价投标审查程序： </w:t>
            </w:r>
            <w:r>
              <w:rPr>
                <w:rFonts w:hint="eastAsia" w:ascii="仿宋" w:hAnsi="仿宋" w:eastAsia="仿宋" w:cs="Times New Roman"/>
                <w:color w:val="auto"/>
                <w:sz w:val="24"/>
                <w:szCs w:val="24"/>
                <w:highlight w:val="none"/>
              </w:rPr>
              <w:br w:type="textWrapping"/>
            </w:r>
            <w:r>
              <w:rPr>
                <w:rFonts w:hint="eastAsia" w:ascii="仿宋" w:hAnsi="仿宋" w:eastAsia="仿宋" w:cs="Times New Roman"/>
                <w:color w:val="auto"/>
                <w:sz w:val="24"/>
                <w:szCs w:val="24"/>
                <w:highlight w:val="none"/>
              </w:rPr>
              <w:t>1.投标报价低于全部通过符合性审查供应商投标报价平均值50%的，即投标报价</w:t>
            </w:r>
            <w:r>
              <w:rPr>
                <w:rFonts w:hint="eastAsia" w:ascii="仿宋" w:hAnsi="仿宋" w:eastAsia="仿宋" w:cs="Times New Roman"/>
                <w:color w:val="auto"/>
                <w:sz w:val="24"/>
                <w:szCs w:val="24"/>
                <w:highlight w:val="none"/>
                <w:lang w:val="en-US" w:eastAsia="zh-CN"/>
              </w:rPr>
              <w:t>＜</w:t>
            </w:r>
            <w:r>
              <w:rPr>
                <w:rFonts w:hint="eastAsia" w:ascii="仿宋" w:hAnsi="仿宋" w:eastAsia="仿宋" w:cs="Times New Roman"/>
                <w:color w:val="auto"/>
                <w:sz w:val="24"/>
                <w:szCs w:val="24"/>
                <w:highlight w:val="none"/>
              </w:rPr>
              <w:t xml:space="preserve">全部通过符合性审查供应商投标报价平均值×50%； </w:t>
            </w:r>
            <w:r>
              <w:rPr>
                <w:rFonts w:hint="eastAsia" w:ascii="仿宋" w:hAnsi="仿宋" w:eastAsia="仿宋" w:cs="Times New Roman"/>
                <w:color w:val="auto"/>
                <w:sz w:val="24"/>
                <w:szCs w:val="24"/>
                <w:highlight w:val="none"/>
              </w:rPr>
              <w:br w:type="textWrapping"/>
            </w:r>
            <w:r>
              <w:rPr>
                <w:rFonts w:hint="eastAsia" w:ascii="仿宋" w:hAnsi="仿宋" w:eastAsia="仿宋" w:cs="Times New Roman"/>
                <w:color w:val="auto"/>
                <w:sz w:val="24"/>
                <w:szCs w:val="24"/>
                <w:highlight w:val="none"/>
              </w:rPr>
              <w:t>2.投标报价低于通过符合性审查的次低报价供应商投标报价50%的，即投标报价</w:t>
            </w:r>
            <w:r>
              <w:rPr>
                <w:rFonts w:hint="eastAsia" w:ascii="仿宋" w:hAnsi="仿宋" w:eastAsia="仿宋" w:cs="Times New Roman"/>
                <w:color w:val="auto"/>
                <w:sz w:val="24"/>
                <w:szCs w:val="24"/>
                <w:highlight w:val="none"/>
                <w:lang w:val="en-US" w:eastAsia="zh-CN"/>
              </w:rPr>
              <w:t>＜</w:t>
            </w:r>
            <w:r>
              <w:rPr>
                <w:rFonts w:hint="eastAsia" w:ascii="仿宋" w:hAnsi="仿宋" w:eastAsia="仿宋" w:cs="Times New Roman"/>
                <w:color w:val="auto"/>
                <w:sz w:val="24"/>
                <w:szCs w:val="24"/>
                <w:highlight w:val="none"/>
              </w:rPr>
              <w:t xml:space="preserve">通过符合性审查的次低报价供应商投标报价×50%； </w:t>
            </w:r>
            <w:r>
              <w:rPr>
                <w:rFonts w:hint="eastAsia" w:ascii="仿宋" w:hAnsi="仿宋" w:eastAsia="仿宋" w:cs="Times New Roman"/>
                <w:color w:val="auto"/>
                <w:sz w:val="24"/>
                <w:szCs w:val="24"/>
                <w:highlight w:val="none"/>
              </w:rPr>
              <w:br w:type="textWrapping"/>
            </w:r>
            <w:r>
              <w:rPr>
                <w:rFonts w:hint="eastAsia" w:ascii="仿宋" w:hAnsi="仿宋" w:eastAsia="仿宋" w:cs="Times New Roman"/>
                <w:color w:val="auto"/>
                <w:sz w:val="24"/>
                <w:szCs w:val="24"/>
                <w:highlight w:val="none"/>
              </w:rPr>
              <w:t>3.投标报价低于采购项目最高限价45%的，即投标报价</w:t>
            </w:r>
            <w:r>
              <w:rPr>
                <w:rFonts w:hint="eastAsia" w:ascii="仿宋" w:hAnsi="仿宋" w:eastAsia="仿宋" w:cs="Times New Roman"/>
                <w:color w:val="auto"/>
                <w:sz w:val="24"/>
                <w:szCs w:val="24"/>
                <w:highlight w:val="none"/>
                <w:lang w:val="en-US" w:eastAsia="zh-CN"/>
              </w:rPr>
              <w:t>＜</w:t>
            </w:r>
            <w:r>
              <w:rPr>
                <w:rFonts w:hint="eastAsia" w:ascii="仿宋" w:hAnsi="仿宋" w:eastAsia="仿宋" w:cs="Times New Roman"/>
                <w:color w:val="auto"/>
                <w:sz w:val="24"/>
                <w:szCs w:val="24"/>
                <w:highlight w:val="none"/>
              </w:rPr>
              <w:t xml:space="preserve">采购项目最高限价×45%； </w:t>
            </w:r>
            <w:r>
              <w:rPr>
                <w:rFonts w:hint="eastAsia" w:ascii="仿宋" w:hAnsi="仿宋" w:eastAsia="仿宋" w:cs="Times New Roman"/>
                <w:color w:val="auto"/>
                <w:sz w:val="24"/>
                <w:szCs w:val="24"/>
                <w:highlight w:val="none"/>
              </w:rPr>
              <w:br w:type="textWrapping"/>
            </w:r>
            <w:r>
              <w:rPr>
                <w:rFonts w:hint="eastAsia" w:ascii="仿宋" w:hAnsi="仿宋" w:eastAsia="仿宋" w:cs="Times New Roman"/>
                <w:color w:val="auto"/>
                <w:sz w:val="24"/>
                <w:szCs w:val="24"/>
                <w:highlight w:val="none"/>
              </w:rPr>
              <w:t>4.</w:t>
            </w:r>
            <w:r>
              <w:rPr>
                <w:rFonts w:hint="eastAsia" w:ascii="仿宋" w:hAnsi="仿宋" w:eastAsia="仿宋" w:cs="Times New Roman"/>
                <w:color w:val="auto"/>
                <w:sz w:val="24"/>
                <w:szCs w:val="24"/>
                <w:highlight w:val="none"/>
                <w:lang w:val="en-US" w:eastAsia="zh-CN"/>
              </w:rPr>
              <w:t>评标</w:t>
            </w:r>
            <w:r>
              <w:rPr>
                <w:rFonts w:hint="eastAsia" w:ascii="仿宋" w:hAnsi="仿宋" w:eastAsia="仿宋" w:cs="Times New Roman"/>
                <w:color w:val="auto"/>
                <w:sz w:val="24"/>
                <w:szCs w:val="24"/>
                <w:highlight w:val="none"/>
              </w:rPr>
              <w:t>委员会基于专业判断，认为</w:t>
            </w:r>
            <w:r>
              <w:rPr>
                <w:rFonts w:hint="eastAsia" w:ascii="仿宋" w:hAnsi="仿宋" w:eastAsia="仿宋" w:cs="Times New Roman"/>
                <w:color w:val="auto"/>
                <w:sz w:val="24"/>
                <w:szCs w:val="24"/>
                <w:highlight w:val="none"/>
                <w:lang w:val="en-US" w:eastAsia="zh-CN"/>
              </w:rPr>
              <w:t>投标人</w:t>
            </w:r>
            <w:r>
              <w:rPr>
                <w:rFonts w:hint="eastAsia" w:ascii="仿宋" w:hAnsi="仿宋" w:eastAsia="仿宋" w:cs="Times New Roman"/>
                <w:color w:val="auto"/>
                <w:sz w:val="24"/>
                <w:szCs w:val="24"/>
                <w:highlight w:val="none"/>
              </w:rPr>
              <w:t>报价过低，有可能影响产品质量或者不能诚信履约的其他情形。</w:t>
            </w:r>
          </w:p>
        </w:tc>
      </w:tr>
      <w:tr w14:paraId="0235DD8B">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0D0807A4">
            <w:pPr>
              <w:spacing w:line="36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5</w:t>
            </w:r>
          </w:p>
        </w:tc>
        <w:tc>
          <w:tcPr>
            <w:tcW w:w="8327" w:type="dxa"/>
            <w:gridSpan w:val="2"/>
            <w:tcBorders>
              <w:top w:val="single" w:color="auto" w:sz="4" w:space="0"/>
              <w:left w:val="single" w:color="auto" w:sz="4" w:space="0"/>
              <w:bottom w:val="single" w:color="auto" w:sz="4" w:space="0"/>
              <w:right w:val="single" w:color="auto" w:sz="4" w:space="0"/>
            </w:tcBorders>
            <w:noWrap w:val="0"/>
            <w:vAlign w:val="center"/>
          </w:tcPr>
          <w:p w14:paraId="1BB58C6B">
            <w:pPr>
              <w:spacing w:line="360" w:lineRule="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其他需补充的内容</w:t>
            </w:r>
          </w:p>
        </w:tc>
      </w:tr>
      <w:tr w14:paraId="4FC4884E">
        <w:tblPrEx>
          <w:tblCellMar>
            <w:top w:w="0" w:type="dxa"/>
            <w:left w:w="108" w:type="dxa"/>
            <w:bottom w:w="0" w:type="dxa"/>
            <w:right w:w="108" w:type="dxa"/>
          </w:tblCellMar>
        </w:tblPrEx>
        <w:trPr>
          <w:trHeight w:val="23" w:hRule="atLeast"/>
        </w:trPr>
        <w:tc>
          <w:tcPr>
            <w:tcW w:w="959" w:type="dxa"/>
            <w:vMerge w:val="restart"/>
            <w:tcBorders>
              <w:top w:val="single" w:color="auto" w:sz="4" w:space="0"/>
              <w:left w:val="single" w:color="auto" w:sz="4" w:space="0"/>
              <w:right w:val="single" w:color="auto" w:sz="4" w:space="0"/>
            </w:tcBorders>
            <w:noWrap w:val="0"/>
            <w:vAlign w:val="center"/>
          </w:tcPr>
          <w:p w14:paraId="0CCE77E6">
            <w:pPr>
              <w:spacing w:line="360" w:lineRule="auto"/>
              <w:jc w:val="center"/>
              <w:rPr>
                <w:rFonts w:hint="eastAsia"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en-US" w:eastAsia="zh-CN"/>
              </w:rPr>
              <w:t>5</w:t>
            </w:r>
            <w:r>
              <w:rPr>
                <w:rFonts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zh-CN"/>
              </w:rPr>
              <w:t>1</w:t>
            </w:r>
          </w:p>
        </w:tc>
        <w:tc>
          <w:tcPr>
            <w:tcW w:w="2793" w:type="dxa"/>
            <w:vMerge w:val="restart"/>
            <w:tcBorders>
              <w:top w:val="single" w:color="auto" w:sz="4" w:space="0"/>
              <w:left w:val="single" w:color="auto" w:sz="4" w:space="0"/>
              <w:right w:val="single" w:color="auto" w:sz="4" w:space="0"/>
            </w:tcBorders>
            <w:noWrap w:val="0"/>
            <w:vAlign w:val="center"/>
          </w:tcPr>
          <w:p w14:paraId="21DC3A3D">
            <w:pPr>
              <w:spacing w:line="360" w:lineRule="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定义</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5AE02A63">
            <w:pPr>
              <w:spacing w:line="360" w:lineRule="auto"/>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lang w:val="zh-CN"/>
              </w:rPr>
              <w:t>原件：</w:t>
            </w:r>
            <w:r>
              <w:rPr>
                <w:rFonts w:hint="eastAsia" w:ascii="仿宋" w:hAnsi="仿宋" w:eastAsia="仿宋"/>
                <w:color w:val="auto"/>
                <w:sz w:val="24"/>
                <w:szCs w:val="24"/>
                <w:highlight w:val="none"/>
              </w:rPr>
              <w:t>最初产生的区别于复制件的原始文件或文件的原本或公证处出具的文件复制件公证书。</w:t>
            </w:r>
          </w:p>
        </w:tc>
      </w:tr>
      <w:tr w14:paraId="7C1BC17B">
        <w:tblPrEx>
          <w:tblCellMar>
            <w:top w:w="0" w:type="dxa"/>
            <w:left w:w="108" w:type="dxa"/>
            <w:bottom w:w="0" w:type="dxa"/>
            <w:right w:w="108" w:type="dxa"/>
          </w:tblCellMar>
        </w:tblPrEx>
        <w:trPr>
          <w:trHeight w:val="23" w:hRule="atLeast"/>
        </w:trPr>
        <w:tc>
          <w:tcPr>
            <w:tcW w:w="959" w:type="dxa"/>
            <w:vMerge w:val="continue"/>
            <w:tcBorders>
              <w:left w:val="single" w:color="auto" w:sz="4" w:space="0"/>
              <w:bottom w:val="single" w:color="auto" w:sz="4" w:space="0"/>
              <w:right w:val="single" w:color="auto" w:sz="4" w:space="0"/>
            </w:tcBorders>
            <w:noWrap w:val="0"/>
            <w:vAlign w:val="center"/>
          </w:tcPr>
          <w:p w14:paraId="373317BE">
            <w:pPr>
              <w:spacing w:line="360" w:lineRule="auto"/>
              <w:jc w:val="center"/>
              <w:rPr>
                <w:rFonts w:hint="eastAsia" w:ascii="仿宋" w:hAnsi="仿宋" w:eastAsia="仿宋" w:cs="仿宋"/>
                <w:color w:val="auto"/>
                <w:sz w:val="24"/>
                <w:szCs w:val="24"/>
                <w:highlight w:val="none"/>
                <w:lang w:val="zh-CN"/>
              </w:rPr>
            </w:pPr>
          </w:p>
        </w:tc>
        <w:tc>
          <w:tcPr>
            <w:tcW w:w="2793" w:type="dxa"/>
            <w:vMerge w:val="continue"/>
            <w:tcBorders>
              <w:left w:val="single" w:color="auto" w:sz="4" w:space="0"/>
              <w:bottom w:val="single" w:color="auto" w:sz="4" w:space="0"/>
              <w:right w:val="single" w:color="auto" w:sz="4" w:space="0"/>
            </w:tcBorders>
            <w:noWrap w:val="0"/>
            <w:vAlign w:val="center"/>
          </w:tcPr>
          <w:p w14:paraId="1A10E5F2">
            <w:pPr>
              <w:spacing w:line="360" w:lineRule="auto"/>
              <w:rPr>
                <w:rFonts w:hint="eastAsia" w:ascii="仿宋" w:hAnsi="仿宋" w:eastAsia="仿宋" w:cs="仿宋"/>
                <w:color w:val="auto"/>
                <w:sz w:val="24"/>
                <w:szCs w:val="24"/>
                <w:highlight w:val="none"/>
                <w:lang w:val="zh-CN"/>
              </w:rPr>
            </w:pPr>
          </w:p>
        </w:tc>
        <w:tc>
          <w:tcPr>
            <w:tcW w:w="5534" w:type="dxa"/>
            <w:tcBorders>
              <w:top w:val="single" w:color="auto" w:sz="4" w:space="0"/>
              <w:left w:val="single" w:color="auto" w:sz="4" w:space="0"/>
              <w:bottom w:val="single" w:color="auto" w:sz="4" w:space="0"/>
              <w:right w:val="single" w:color="auto" w:sz="4" w:space="0"/>
            </w:tcBorders>
            <w:noWrap w:val="0"/>
            <w:vAlign w:val="center"/>
          </w:tcPr>
          <w:p w14:paraId="350AF72D">
            <w:pPr>
              <w:spacing w:line="360" w:lineRule="auto"/>
              <w:rPr>
                <w:rFonts w:hint="eastAsia" w:ascii="仿宋" w:hAnsi="仿宋" w:eastAsia="仿宋" w:cs="仿宋"/>
                <w:color w:val="auto"/>
                <w:sz w:val="24"/>
                <w:szCs w:val="24"/>
                <w:highlight w:val="none"/>
                <w:lang w:val="zh-CN"/>
              </w:rPr>
            </w:pPr>
            <w:r>
              <w:rPr>
                <w:rFonts w:ascii="仿宋" w:hAnsi="仿宋" w:eastAsia="仿宋"/>
                <w:color w:val="auto"/>
                <w:sz w:val="24"/>
                <w:szCs w:val="24"/>
                <w:highlight w:val="none"/>
              </w:rPr>
              <w:t>书面形式：</w:t>
            </w:r>
            <w:r>
              <w:rPr>
                <w:rFonts w:hint="eastAsia" w:ascii="仿宋" w:hAnsi="仿宋" w:eastAsia="仿宋"/>
                <w:color w:val="auto"/>
                <w:sz w:val="24"/>
                <w:szCs w:val="24"/>
                <w:highlight w:val="none"/>
              </w:rPr>
              <w:t>包括文字的打印或复印件、传真、信函、电传、电报、</w:t>
            </w:r>
            <w:r>
              <w:rPr>
                <w:rFonts w:ascii="仿宋" w:hAnsi="仿宋" w:eastAsia="仿宋" w:cs="Arial"/>
                <w:color w:val="auto"/>
                <w:sz w:val="24"/>
                <w:szCs w:val="24"/>
                <w:highlight w:val="none"/>
                <w:shd w:val="clear" w:color="auto" w:fill="FFFFFF"/>
              </w:rPr>
              <w:t>电子邮件</w:t>
            </w:r>
            <w:r>
              <w:rPr>
                <w:rFonts w:hint="eastAsia" w:ascii="仿宋" w:hAnsi="仿宋" w:eastAsia="仿宋" w:cs="Arial"/>
                <w:color w:val="auto"/>
                <w:sz w:val="24"/>
                <w:szCs w:val="24"/>
                <w:highlight w:val="none"/>
                <w:shd w:val="clear" w:color="auto" w:fill="FFFFFF"/>
              </w:rPr>
              <w:t>、</w:t>
            </w:r>
            <w:r>
              <w:rPr>
                <w:rFonts w:hint="eastAsia" w:ascii="仿宋" w:hAnsi="仿宋" w:eastAsia="仿宋" w:cs="Arial"/>
                <w:color w:val="auto"/>
                <w:sz w:val="24"/>
                <w:szCs w:val="24"/>
                <w:highlight w:val="none"/>
                <w:shd w:val="clear" w:color="auto" w:fill="FFFFFF"/>
                <w:lang w:eastAsia="zh-CN"/>
              </w:rPr>
              <w:t>中国招标投标公共服务平台和山东大学齐鲁医院（青岛）官网</w:t>
            </w:r>
            <w:r>
              <w:rPr>
                <w:rFonts w:hint="eastAsia" w:ascii="仿宋" w:hAnsi="仿宋" w:eastAsia="仿宋"/>
                <w:color w:val="auto"/>
                <w:sz w:val="24"/>
                <w:szCs w:val="24"/>
                <w:highlight w:val="none"/>
              </w:rPr>
              <w:t>发布的公告</w:t>
            </w:r>
            <w:r>
              <w:rPr>
                <w:rFonts w:ascii="仿宋" w:hAnsi="仿宋" w:eastAsia="仿宋" w:cs="Arial"/>
                <w:color w:val="auto"/>
                <w:sz w:val="24"/>
                <w:szCs w:val="24"/>
                <w:highlight w:val="none"/>
                <w:shd w:val="clear" w:color="auto" w:fill="FFFFFF"/>
              </w:rPr>
              <w:t>等可以有形地表现所载内容的形式。</w:t>
            </w:r>
          </w:p>
        </w:tc>
      </w:tr>
      <w:tr w14:paraId="188508B1">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429B161F">
            <w:pPr>
              <w:spacing w:line="360" w:lineRule="auto"/>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5</w:t>
            </w:r>
            <w:r>
              <w:rPr>
                <w:rFonts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zh-CN"/>
              </w:rPr>
              <w:t>2</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326C151B">
            <w:pPr>
              <w:spacing w:line="360" w:lineRule="auto"/>
              <w:rPr>
                <w:rFonts w:hint="eastAsia" w:ascii="仿宋" w:hAnsi="仿宋" w:eastAsia="仿宋" w:cs="仿宋"/>
                <w:color w:val="auto"/>
                <w:sz w:val="24"/>
                <w:szCs w:val="24"/>
                <w:highlight w:val="none"/>
                <w:lang w:val="zh-CN"/>
              </w:rPr>
            </w:pPr>
            <w:r>
              <w:rPr>
                <w:rFonts w:hint="eastAsia" w:ascii="仿宋" w:hAnsi="仿宋" w:eastAsia="仿宋"/>
                <w:color w:val="auto"/>
                <w:sz w:val="24"/>
                <w:szCs w:val="24"/>
                <w:highlight w:val="none"/>
              </w:rPr>
              <w:t>分包和非主体、非关键性工作</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7B418130">
            <w:pPr>
              <w:spacing w:line="360" w:lineRule="auto"/>
              <w:ind w:left="360" w:hanging="360" w:hangingChars="150"/>
              <w:rPr>
                <w:rFonts w:ascii="仿宋" w:hAnsi="仿宋" w:eastAsia="仿宋"/>
                <w:color w:val="auto"/>
                <w:sz w:val="24"/>
                <w:szCs w:val="24"/>
                <w:highlight w:val="none"/>
              </w:rPr>
            </w:pPr>
            <w:r>
              <w:rPr>
                <w:rFonts w:hint="eastAsia" w:ascii="仿宋" w:hAnsi="仿宋" w:eastAsia="仿宋"/>
                <w:color w:val="auto"/>
                <w:sz w:val="24"/>
                <w:szCs w:val="24"/>
                <w:highlight w:val="none"/>
              </w:rPr>
              <w:fldChar w:fldCharType="begin"/>
            </w:r>
            <w:r>
              <w:rPr>
                <w:rFonts w:hint="eastAsia"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rPr>
              <w:fldChar w:fldCharType="end"/>
            </w:r>
            <w:r>
              <w:rPr>
                <w:rFonts w:hint="eastAsia" w:ascii="仿宋" w:hAnsi="仿宋" w:eastAsia="仿宋"/>
                <w:color w:val="auto"/>
                <w:sz w:val="24"/>
                <w:szCs w:val="24"/>
                <w:highlight w:val="none"/>
              </w:rPr>
              <w:t xml:space="preserve"> 不允许</w:t>
            </w:r>
          </w:p>
          <w:p w14:paraId="7A67E3C3">
            <w:pPr>
              <w:spacing w:line="360" w:lineRule="auto"/>
              <w:rPr>
                <w:rFonts w:hint="eastAsia" w:ascii="仿宋" w:hAnsi="仿宋" w:eastAsia="仿宋" w:cs="仿宋"/>
                <w:color w:val="auto"/>
                <w:sz w:val="24"/>
                <w:szCs w:val="24"/>
                <w:highlight w:val="none"/>
              </w:rPr>
            </w:pPr>
            <w:r>
              <w:rPr>
                <w:rFonts w:hint="eastAsia" w:ascii="仿宋" w:hAnsi="仿宋" w:eastAsia="仿宋"/>
                <w:color w:val="auto"/>
                <w:sz w:val="24"/>
                <w:szCs w:val="24"/>
                <w:highlight w:val="none"/>
              </w:rPr>
              <w:t>□ 允许，投标人根据</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文件载明的标的招标项目实际情况，拟在中标后将中标项目的非主体、非关键性工作交由他人完成的，应当在投标文件中载明。</w:t>
            </w:r>
          </w:p>
        </w:tc>
      </w:tr>
      <w:tr w14:paraId="698A8115">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17E824FF">
            <w:pPr>
              <w:spacing w:line="360" w:lineRule="auto"/>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.3</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15CFFA58">
            <w:pPr>
              <w:spacing w:line="360" w:lineRule="auto"/>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lang w:val="zh-CN"/>
              </w:rPr>
              <w:t>其他需补充的内容</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6CC96D48">
            <w:pPr>
              <w:numPr>
                <w:ilvl w:val="0"/>
                <w:numId w:val="1"/>
              </w:numPr>
              <w:spacing w:line="360" w:lineRule="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投标人</w:t>
            </w:r>
            <w:r>
              <w:rPr>
                <w:rFonts w:hint="eastAsia" w:ascii="仿宋" w:hAnsi="仿宋" w:eastAsia="仿宋" w:cs="仿宋"/>
                <w:color w:val="auto"/>
                <w:sz w:val="24"/>
                <w:szCs w:val="24"/>
                <w:highlight w:val="none"/>
                <w:lang w:val="zh-CN"/>
              </w:rPr>
              <w:t>若为非法人单位，可由</w:t>
            </w:r>
            <w:r>
              <w:rPr>
                <w:rFonts w:hint="eastAsia" w:ascii="仿宋" w:hAnsi="仿宋" w:eastAsia="仿宋" w:cs="仿宋"/>
                <w:color w:val="auto"/>
                <w:sz w:val="24"/>
                <w:szCs w:val="24"/>
                <w:highlight w:val="none"/>
              </w:rPr>
              <w:t>投标人</w:t>
            </w:r>
            <w:r>
              <w:rPr>
                <w:rStyle w:val="46"/>
                <w:rFonts w:hint="eastAsia"/>
                <w:color w:val="auto"/>
                <w:sz w:val="24"/>
                <w:szCs w:val="24"/>
                <w:highlight w:val="none"/>
              </w:rPr>
              <w:t>营业执照、登记证书、执业许可证等</w:t>
            </w:r>
            <w:r>
              <w:rPr>
                <w:rFonts w:hint="eastAsia" w:ascii="仿宋" w:hAnsi="仿宋" w:eastAsia="仿宋" w:cs="仿宋"/>
                <w:color w:val="auto"/>
                <w:sz w:val="24"/>
                <w:szCs w:val="24"/>
                <w:highlight w:val="none"/>
                <w:lang w:val="zh-CN"/>
              </w:rPr>
              <w:t>“负责人”代替其法人单位“法定代表人”；</w:t>
            </w:r>
          </w:p>
          <w:p w14:paraId="7EF3822A">
            <w:pPr>
              <w:numPr>
                <w:ilvl w:val="0"/>
                <w:numId w:val="1"/>
              </w:numPr>
              <w:spacing w:line="360" w:lineRule="auto"/>
              <w:rPr>
                <w:rFonts w:ascii="仿宋" w:hAnsi="仿宋" w:eastAsia="仿宋" w:cs="仿宋"/>
                <w:color w:val="auto"/>
                <w:sz w:val="24"/>
                <w:szCs w:val="24"/>
                <w:highlight w:val="none"/>
              </w:rPr>
            </w:pPr>
            <w:r>
              <w:rPr>
                <w:rFonts w:ascii="仿宋" w:hAnsi="仿宋" w:eastAsia="仿宋" w:cs="仿宋"/>
                <w:color w:val="auto"/>
                <w:sz w:val="24"/>
                <w:szCs w:val="24"/>
                <w:highlight w:val="none"/>
              </w:rPr>
              <w:t>构成本</w:t>
            </w:r>
            <w:r>
              <w:rPr>
                <w:rFonts w:hint="eastAsia" w:ascii="仿宋" w:hAnsi="仿宋" w:eastAsia="仿宋" w:cs="仿宋"/>
                <w:color w:val="auto"/>
                <w:sz w:val="24"/>
                <w:szCs w:val="24"/>
                <w:highlight w:val="none"/>
              </w:rPr>
              <w:t>招标</w:t>
            </w:r>
            <w:r>
              <w:rPr>
                <w:rFonts w:ascii="仿宋" w:hAnsi="仿宋" w:eastAsia="仿宋" w:cs="仿宋"/>
                <w:color w:val="auto"/>
                <w:sz w:val="24"/>
                <w:szCs w:val="24"/>
                <w:highlight w:val="none"/>
              </w:rPr>
              <w:t xml:space="preserve">文件的各个组成文件应互为解释，互为说明；如有不明确或不一致，构成合同文件组成 </w:t>
            </w:r>
          </w:p>
          <w:p w14:paraId="6DBBA711">
            <w:pPr>
              <w:spacing w:line="360" w:lineRule="auto"/>
              <w:rPr>
                <w:rFonts w:hint="eastAsia" w:ascii="仿宋" w:hAnsi="仿宋" w:eastAsia="仿宋" w:cs="仿宋"/>
                <w:color w:val="auto"/>
                <w:sz w:val="24"/>
                <w:szCs w:val="24"/>
                <w:highlight w:val="none"/>
              </w:rPr>
            </w:pPr>
            <w:r>
              <w:rPr>
                <w:rFonts w:ascii="仿宋" w:hAnsi="仿宋" w:eastAsia="仿宋" w:cs="仿宋"/>
                <w:color w:val="auto"/>
                <w:sz w:val="24"/>
                <w:szCs w:val="24"/>
                <w:highlight w:val="none"/>
              </w:rPr>
              <w:t>内容的，以合同文件约定内容为准；除</w:t>
            </w:r>
            <w:r>
              <w:rPr>
                <w:rFonts w:hint="eastAsia" w:ascii="仿宋" w:hAnsi="仿宋" w:eastAsia="仿宋" w:cs="仿宋"/>
                <w:color w:val="auto"/>
                <w:sz w:val="24"/>
                <w:szCs w:val="24"/>
                <w:highlight w:val="none"/>
              </w:rPr>
              <w:t>招标文件</w:t>
            </w:r>
            <w:r>
              <w:rPr>
                <w:rFonts w:ascii="仿宋" w:hAnsi="仿宋" w:eastAsia="仿宋" w:cs="仿宋"/>
                <w:color w:val="auto"/>
                <w:sz w:val="24"/>
                <w:szCs w:val="24"/>
                <w:highlight w:val="none"/>
              </w:rPr>
              <w:t>中有特别规定外，仅适用于采购阶段的规定，按</w:t>
            </w:r>
            <w:r>
              <w:rPr>
                <w:rFonts w:hint="eastAsia" w:ascii="仿宋" w:hAnsi="仿宋" w:eastAsia="仿宋" w:cs="仿宋"/>
                <w:color w:val="auto"/>
                <w:sz w:val="24"/>
                <w:szCs w:val="24"/>
                <w:highlight w:val="none"/>
              </w:rPr>
              <w:t>招标</w:t>
            </w:r>
            <w:r>
              <w:rPr>
                <w:rFonts w:ascii="仿宋" w:hAnsi="仿宋" w:eastAsia="仿宋" w:cs="仿宋"/>
                <w:color w:val="auto"/>
                <w:sz w:val="24"/>
                <w:szCs w:val="24"/>
                <w:highlight w:val="none"/>
              </w:rPr>
              <w:t>公告、投标人须知、资格审查和评标办法、采购需求、投标文件格式的先后顺序解释；同一组成文件中就同一事项的规定或约定不一致的，以编排顺序在后者为准；同一组成文件不同版本之间有不一致的，以形成时间在后者为准。按前述规定仍不能形成结论的，由</w:t>
            </w:r>
            <w:r>
              <w:rPr>
                <w:rFonts w:hint="eastAsia" w:ascii="仿宋" w:hAnsi="仿宋" w:eastAsia="仿宋" w:cs="仿宋"/>
                <w:color w:val="auto"/>
                <w:sz w:val="24"/>
                <w:szCs w:val="24"/>
                <w:highlight w:val="none"/>
                <w:lang w:eastAsia="zh-CN"/>
              </w:rPr>
              <w:t>采购人</w:t>
            </w:r>
            <w:r>
              <w:rPr>
                <w:rFonts w:ascii="仿宋" w:hAnsi="仿宋" w:eastAsia="仿宋" w:cs="仿宋"/>
                <w:color w:val="auto"/>
                <w:sz w:val="24"/>
                <w:szCs w:val="24"/>
                <w:highlight w:val="none"/>
              </w:rPr>
              <w:t>负责解释</w:t>
            </w:r>
            <w:r>
              <w:rPr>
                <w:rFonts w:hint="eastAsia" w:ascii="仿宋" w:hAnsi="仿宋" w:eastAsia="仿宋" w:cs="仿宋"/>
                <w:color w:val="auto"/>
                <w:sz w:val="24"/>
                <w:szCs w:val="24"/>
                <w:highlight w:val="none"/>
              </w:rPr>
              <w:t>。</w:t>
            </w:r>
          </w:p>
          <w:p w14:paraId="78A922FB">
            <w:pPr>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3.投标人所投的所有货物均由中小微企业制造（货</w:t>
            </w:r>
          </w:p>
          <w:p w14:paraId="40F3E142">
            <w:pPr>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物由中小微企业生产且使用该中小企业商号或者注</w:t>
            </w:r>
          </w:p>
          <w:p w14:paraId="7C53FFEF">
            <w:pPr>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册商标）的，即可享受本项目落实的中小微企业扶</w:t>
            </w:r>
          </w:p>
          <w:p w14:paraId="1B242FA5">
            <w:pPr>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持政策，采购项目包含多种标的物的，货物制造商</w:t>
            </w:r>
          </w:p>
          <w:p w14:paraId="1B173BA5">
            <w:pPr>
              <w:spacing w:line="360" w:lineRule="auto"/>
              <w:rPr>
                <w:rFonts w:hint="eastAsia" w:ascii="仿宋" w:hAnsi="仿宋" w:eastAsia="仿宋"/>
                <w:color w:val="auto"/>
                <w:sz w:val="24"/>
                <w:szCs w:val="24"/>
                <w:highlight w:val="none"/>
              </w:rPr>
            </w:pPr>
            <w:r>
              <w:rPr>
                <w:rFonts w:hint="eastAsia" w:ascii="仿宋" w:hAnsi="仿宋" w:eastAsia="仿宋" w:cs="仿宋"/>
                <w:b/>
                <w:bCs/>
                <w:color w:val="auto"/>
                <w:sz w:val="24"/>
                <w:szCs w:val="24"/>
                <w:highlight w:val="none"/>
              </w:rPr>
              <w:t>的相关信息应全部列入《中小企业声明函》，并由参与本项目投标人出具并加盖投标人公章。投标人所提供的货物包括大型企业制造的，不享受本项目落实的中小微企业扶持政策，提供的所有货物制造商必须都为中小微企业才可享受本项目落实的政策优惠。</w:t>
            </w:r>
          </w:p>
        </w:tc>
      </w:tr>
      <w:tr w14:paraId="4D94B4A5">
        <w:tblPrEx>
          <w:tblCellMar>
            <w:top w:w="0" w:type="dxa"/>
            <w:left w:w="108" w:type="dxa"/>
            <w:bottom w:w="0" w:type="dxa"/>
            <w:right w:w="108" w:type="dxa"/>
          </w:tblCellMar>
        </w:tblPrEx>
        <w:trPr>
          <w:trHeight w:val="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E329CDD">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.4</w:t>
            </w:r>
          </w:p>
        </w:tc>
        <w:tc>
          <w:tcPr>
            <w:tcW w:w="2793" w:type="dxa"/>
            <w:tcBorders>
              <w:top w:val="single" w:color="auto" w:sz="4" w:space="0"/>
              <w:left w:val="single" w:color="auto" w:sz="4" w:space="0"/>
              <w:bottom w:val="single" w:color="auto" w:sz="4" w:space="0"/>
              <w:right w:val="single" w:color="auto" w:sz="4" w:space="0"/>
            </w:tcBorders>
            <w:noWrap w:val="0"/>
            <w:vAlign w:val="center"/>
          </w:tcPr>
          <w:p w14:paraId="3B3C7269">
            <w:pPr>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监督人</w:t>
            </w:r>
          </w:p>
        </w:tc>
        <w:tc>
          <w:tcPr>
            <w:tcW w:w="5534" w:type="dxa"/>
            <w:tcBorders>
              <w:top w:val="single" w:color="auto" w:sz="4" w:space="0"/>
              <w:left w:val="single" w:color="auto" w:sz="4" w:space="0"/>
              <w:bottom w:val="single" w:color="auto" w:sz="4" w:space="0"/>
              <w:right w:val="single" w:color="auto" w:sz="4" w:space="0"/>
            </w:tcBorders>
            <w:noWrap w:val="0"/>
            <w:vAlign w:val="center"/>
          </w:tcPr>
          <w:p w14:paraId="084872B2">
            <w:pPr>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本次招标投标活动以及相关当事人应当接受</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相关部门依法实施的监督。</w:t>
            </w:r>
          </w:p>
        </w:tc>
      </w:tr>
    </w:tbl>
    <w:p w14:paraId="34ED67FA">
      <w:pPr>
        <w:spacing w:after="156" w:afterLines="50"/>
        <w:jc w:val="center"/>
        <w:outlineLvl w:val="1"/>
        <w:rPr>
          <w:rFonts w:ascii="黑体" w:hAnsi="黑体" w:eastAsia="黑体"/>
          <w:color w:val="auto"/>
          <w:sz w:val="28"/>
          <w:szCs w:val="28"/>
          <w:highlight w:val="none"/>
        </w:rPr>
      </w:pPr>
      <w:r>
        <w:rPr>
          <w:rFonts w:ascii="黑体" w:hAnsi="黑体" w:eastAsia="黑体"/>
          <w:color w:val="auto"/>
          <w:sz w:val="28"/>
          <w:szCs w:val="28"/>
          <w:highlight w:val="none"/>
        </w:rPr>
        <w:br w:type="page"/>
      </w:r>
      <w:bookmarkStart w:id="2" w:name="_Toc3056"/>
      <w:r>
        <w:rPr>
          <w:rFonts w:ascii="黑体" w:hAnsi="黑体" w:eastAsia="黑体"/>
          <w:color w:val="auto"/>
          <w:sz w:val="28"/>
          <w:szCs w:val="28"/>
          <w:highlight w:val="none"/>
        </w:rPr>
        <w:t>第三章</w:t>
      </w:r>
      <w:r>
        <w:rPr>
          <w:rFonts w:hint="eastAsia" w:ascii="黑体" w:hAnsi="黑体" w:eastAsia="黑体"/>
          <w:color w:val="auto"/>
          <w:sz w:val="28"/>
          <w:szCs w:val="28"/>
          <w:highlight w:val="none"/>
        </w:rPr>
        <w:t xml:space="preserve">  投标人应当提交的资格资信等证明文件</w:t>
      </w:r>
      <w:bookmarkEnd w:id="2"/>
    </w:p>
    <w:p w14:paraId="2B16FC5E">
      <w:pPr>
        <w:spacing w:after="156" w:afterLines="50" w:line="360" w:lineRule="auto"/>
        <w:ind w:firstLine="560" w:firstLineChars="200"/>
        <w:outlineLvl w:val="2"/>
        <w:rPr>
          <w:rFonts w:ascii="楷体" w:hAnsi="楷体" w:eastAsia="楷体"/>
          <w:color w:val="auto"/>
          <w:sz w:val="28"/>
          <w:szCs w:val="28"/>
          <w:highlight w:val="none"/>
        </w:rPr>
      </w:pPr>
      <w:bookmarkStart w:id="3" w:name="_Toc4236"/>
      <w:r>
        <w:rPr>
          <w:rFonts w:hint="eastAsia" w:ascii="楷体" w:hAnsi="楷体" w:eastAsia="楷体"/>
          <w:color w:val="auto"/>
          <w:sz w:val="28"/>
          <w:szCs w:val="28"/>
          <w:highlight w:val="none"/>
        </w:rPr>
        <w:t>1.资格资信等证明文件目录</w:t>
      </w:r>
      <w:bookmarkEnd w:id="3"/>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5226"/>
        <w:gridCol w:w="2390"/>
        <w:gridCol w:w="912"/>
      </w:tblGrid>
      <w:tr w14:paraId="11196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8" w:type="dxa"/>
            <w:noWrap w:val="0"/>
            <w:vAlign w:val="center"/>
          </w:tcPr>
          <w:p w14:paraId="2F3C93B3">
            <w:pPr>
              <w:spacing w:line="360" w:lineRule="auto"/>
              <w:jc w:val="center"/>
              <w:rPr>
                <w:rFonts w:ascii="仿宋" w:hAnsi="仿宋" w:eastAsia="仿宋"/>
                <w:color w:val="auto"/>
                <w:sz w:val="24"/>
                <w:szCs w:val="24"/>
                <w:highlight w:val="none"/>
              </w:rPr>
            </w:pPr>
            <w:r>
              <w:rPr>
                <w:rFonts w:hint="eastAsia" w:ascii="仿宋" w:hAnsi="仿宋" w:eastAsia="仿宋" w:cs="仿宋"/>
                <w:color w:val="auto"/>
                <w:kern w:val="0"/>
                <w:sz w:val="24"/>
                <w:szCs w:val="24"/>
                <w:highlight w:val="none"/>
              </w:rPr>
              <w:t>序号</w:t>
            </w:r>
          </w:p>
        </w:tc>
        <w:tc>
          <w:tcPr>
            <w:tcW w:w="5226" w:type="dxa"/>
            <w:noWrap w:val="0"/>
            <w:vAlign w:val="center"/>
          </w:tcPr>
          <w:p w14:paraId="64D50720">
            <w:pPr>
              <w:spacing w:line="360" w:lineRule="auto"/>
              <w:jc w:val="center"/>
              <w:rPr>
                <w:rFonts w:ascii="仿宋" w:hAnsi="仿宋" w:eastAsia="仿宋"/>
                <w:color w:val="auto"/>
                <w:sz w:val="24"/>
                <w:szCs w:val="24"/>
                <w:highlight w:val="none"/>
              </w:rPr>
            </w:pPr>
            <w:r>
              <w:rPr>
                <w:rFonts w:hint="eastAsia" w:ascii="仿宋" w:hAnsi="仿宋" w:eastAsia="仿宋" w:cs="仿宋"/>
                <w:color w:val="auto"/>
                <w:kern w:val="0"/>
                <w:sz w:val="24"/>
                <w:szCs w:val="24"/>
                <w:highlight w:val="none"/>
              </w:rPr>
              <w:t>证明材料名称</w:t>
            </w:r>
          </w:p>
        </w:tc>
        <w:tc>
          <w:tcPr>
            <w:tcW w:w="2390" w:type="dxa"/>
            <w:noWrap w:val="0"/>
            <w:vAlign w:val="center"/>
          </w:tcPr>
          <w:p w14:paraId="0C13EF51">
            <w:pPr>
              <w:spacing w:line="360" w:lineRule="auto"/>
              <w:jc w:val="center"/>
              <w:rPr>
                <w:rFonts w:ascii="仿宋" w:hAnsi="仿宋" w:eastAsia="仿宋"/>
                <w:color w:val="auto"/>
                <w:sz w:val="24"/>
                <w:szCs w:val="24"/>
                <w:highlight w:val="none"/>
              </w:rPr>
            </w:pPr>
            <w:r>
              <w:rPr>
                <w:rFonts w:hint="eastAsia" w:ascii="仿宋" w:hAnsi="仿宋" w:eastAsia="仿宋" w:cs="仿宋"/>
                <w:color w:val="auto"/>
                <w:kern w:val="0"/>
                <w:sz w:val="24"/>
                <w:szCs w:val="24"/>
                <w:highlight w:val="none"/>
              </w:rPr>
              <w:t>提供形式</w:t>
            </w:r>
          </w:p>
        </w:tc>
        <w:tc>
          <w:tcPr>
            <w:tcW w:w="912" w:type="dxa"/>
            <w:noWrap w:val="0"/>
            <w:vAlign w:val="center"/>
          </w:tcPr>
          <w:p w14:paraId="43CB6BA9">
            <w:pPr>
              <w:spacing w:line="360" w:lineRule="auto"/>
              <w:jc w:val="center"/>
              <w:rPr>
                <w:rFonts w:ascii="仿宋" w:hAnsi="仿宋" w:eastAsia="仿宋"/>
                <w:color w:val="auto"/>
                <w:sz w:val="24"/>
                <w:szCs w:val="24"/>
                <w:highlight w:val="none"/>
              </w:rPr>
            </w:pPr>
            <w:r>
              <w:rPr>
                <w:rFonts w:hint="eastAsia" w:ascii="仿宋" w:hAnsi="仿宋" w:eastAsia="仿宋"/>
                <w:color w:val="auto"/>
                <w:sz w:val="24"/>
                <w:szCs w:val="24"/>
                <w:highlight w:val="none"/>
              </w:rPr>
              <w:t>备注</w:t>
            </w:r>
          </w:p>
        </w:tc>
      </w:tr>
      <w:tr w14:paraId="6AF9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8" w:type="dxa"/>
            <w:noWrap w:val="0"/>
            <w:vAlign w:val="center"/>
          </w:tcPr>
          <w:p w14:paraId="0BF83D09">
            <w:pPr>
              <w:spacing w:line="360" w:lineRule="auto"/>
              <w:jc w:val="center"/>
              <w:rPr>
                <w:rFonts w:ascii="仿宋" w:hAnsi="仿宋" w:eastAsia="仿宋"/>
                <w:color w:val="auto"/>
                <w:sz w:val="24"/>
                <w:szCs w:val="24"/>
                <w:highlight w:val="none"/>
              </w:rPr>
            </w:pPr>
            <w:r>
              <w:rPr>
                <w:rFonts w:hint="eastAsia" w:ascii="仿宋" w:hAnsi="仿宋" w:eastAsia="仿宋"/>
                <w:color w:val="auto"/>
                <w:sz w:val="24"/>
                <w:szCs w:val="24"/>
                <w:highlight w:val="none"/>
              </w:rPr>
              <w:t>1</w:t>
            </w:r>
          </w:p>
        </w:tc>
        <w:tc>
          <w:tcPr>
            <w:tcW w:w="5226" w:type="dxa"/>
            <w:noWrap w:val="0"/>
            <w:vAlign w:val="center"/>
          </w:tcPr>
          <w:p w14:paraId="50B8626F">
            <w:pPr>
              <w:spacing w:line="360" w:lineRule="auto"/>
              <w:jc w:val="left"/>
              <w:rPr>
                <w:rFonts w:ascii="仿宋" w:hAnsi="仿宋" w:eastAsia="仿宋"/>
                <w:color w:val="auto"/>
                <w:sz w:val="24"/>
                <w:szCs w:val="24"/>
                <w:highlight w:val="none"/>
              </w:rPr>
            </w:pPr>
            <w:r>
              <w:rPr>
                <w:rStyle w:val="46"/>
                <w:rFonts w:hint="eastAsia"/>
                <w:color w:val="auto"/>
                <w:sz w:val="24"/>
                <w:szCs w:val="24"/>
                <w:highlight w:val="none"/>
              </w:rPr>
              <w:t>具有独立承担民事责任的企业或组织合法经营权的凭证（如:营业执照或登记证书或执业许可证等）</w:t>
            </w:r>
          </w:p>
        </w:tc>
        <w:tc>
          <w:tcPr>
            <w:tcW w:w="2390" w:type="dxa"/>
            <w:noWrap w:val="0"/>
            <w:vAlign w:val="center"/>
          </w:tcPr>
          <w:p w14:paraId="4B22E57B">
            <w:pPr>
              <w:spacing w:line="360" w:lineRule="auto"/>
              <w:jc w:val="center"/>
              <w:rPr>
                <w:rStyle w:val="46"/>
                <w:color w:val="auto"/>
                <w:sz w:val="24"/>
                <w:szCs w:val="24"/>
                <w:highlight w:val="none"/>
              </w:rPr>
            </w:pPr>
            <w:r>
              <w:rPr>
                <w:rFonts w:hint="eastAsia" w:ascii="仿宋" w:hAnsi="仿宋" w:eastAsia="仿宋"/>
                <w:color w:val="auto"/>
                <w:sz w:val="24"/>
                <w:szCs w:val="24"/>
                <w:highlight w:val="none"/>
              </w:rPr>
              <w:fldChar w:fldCharType="begin"/>
            </w:r>
            <w:r>
              <w:rPr>
                <w:rFonts w:hint="eastAsia"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lang w:val="zh-CN"/>
              </w:rPr>
              <w:fldChar w:fldCharType="end"/>
            </w:r>
            <w:r>
              <w:rPr>
                <w:rStyle w:val="46"/>
                <w:rFonts w:hint="eastAsia"/>
                <w:color w:val="auto"/>
                <w:sz w:val="24"/>
                <w:szCs w:val="24"/>
                <w:highlight w:val="none"/>
              </w:rPr>
              <w:t>原件或</w:t>
            </w: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46"/>
                <w:rFonts w:hint="eastAsia"/>
                <w:color w:val="auto"/>
                <w:sz w:val="24"/>
                <w:szCs w:val="24"/>
                <w:highlight w:val="none"/>
              </w:rPr>
              <w:t>复印件</w:t>
            </w:r>
          </w:p>
        </w:tc>
        <w:tc>
          <w:tcPr>
            <w:tcW w:w="912" w:type="dxa"/>
            <w:noWrap w:val="0"/>
            <w:vAlign w:val="center"/>
          </w:tcPr>
          <w:p w14:paraId="3911C275">
            <w:pPr>
              <w:spacing w:line="360" w:lineRule="auto"/>
              <w:jc w:val="center"/>
              <w:rPr>
                <w:rFonts w:ascii="仿宋" w:hAnsi="仿宋" w:eastAsia="仿宋"/>
                <w:color w:val="auto"/>
                <w:sz w:val="24"/>
                <w:szCs w:val="24"/>
                <w:highlight w:val="none"/>
              </w:rPr>
            </w:pPr>
          </w:p>
        </w:tc>
      </w:tr>
      <w:tr w14:paraId="23F5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8" w:type="dxa"/>
            <w:noWrap w:val="0"/>
            <w:vAlign w:val="center"/>
          </w:tcPr>
          <w:p w14:paraId="29CCDD79">
            <w:pPr>
              <w:spacing w:line="360" w:lineRule="auto"/>
              <w:jc w:val="center"/>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p>
        </w:tc>
        <w:tc>
          <w:tcPr>
            <w:tcW w:w="5226" w:type="dxa"/>
            <w:noWrap w:val="0"/>
            <w:vAlign w:val="center"/>
          </w:tcPr>
          <w:p w14:paraId="404406AC">
            <w:pPr>
              <w:spacing w:line="360" w:lineRule="auto"/>
              <w:jc w:val="left"/>
              <w:rPr>
                <w:rStyle w:val="46"/>
                <w:rFonts w:hint="eastAsia" w:cs="Times New Roman"/>
                <w:color w:val="auto"/>
                <w:sz w:val="24"/>
                <w:szCs w:val="24"/>
                <w:highlight w:val="none"/>
              </w:rPr>
            </w:pPr>
            <w:r>
              <w:rPr>
                <w:rStyle w:val="46"/>
                <w:rFonts w:hint="eastAsia" w:cs="Times New Roman"/>
                <w:color w:val="auto"/>
                <w:sz w:val="24"/>
                <w:szCs w:val="24"/>
                <w:highlight w:val="none"/>
              </w:rPr>
              <w:t>投标人为制造商的，须具备有效的《医疗器械生产许可证》 (注： ①所投产品属于医疗器械分类管理中第一类的产品，应提供医疗器械生产企业备案证明文件。 ②所投产品属于医疗器械分类管理中第二类和第三类的产品，应提供医疗器械生产许可证)。 投标人为经销商或代理商的，须具备有效的《医疗器械经营许可证》 （注： ①所投产品属于医疗器械分类管理中第一类，无须提供任何资质。 ②所投产品属于医疗器械分类管理中第二类的产品，应提供医疗器械经营企业备案证明文件。 ③所投产品属于医疗器械分类管理中第三类的产品，应提供医疗器械经营许可证）。</w:t>
            </w:r>
          </w:p>
        </w:tc>
        <w:tc>
          <w:tcPr>
            <w:tcW w:w="2390" w:type="dxa"/>
            <w:noWrap w:val="0"/>
            <w:vAlign w:val="center"/>
          </w:tcPr>
          <w:p w14:paraId="73CDBBC4">
            <w:pPr>
              <w:spacing w:line="360" w:lineRule="auto"/>
              <w:jc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fldChar w:fldCharType="begin"/>
            </w:r>
            <w:r>
              <w:rPr>
                <w:rFonts w:hint="eastAsia"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lang w:val="zh-CN"/>
              </w:rPr>
              <w:fldChar w:fldCharType="end"/>
            </w:r>
            <w:r>
              <w:rPr>
                <w:rStyle w:val="46"/>
                <w:rFonts w:hint="eastAsia"/>
                <w:color w:val="auto"/>
                <w:sz w:val="24"/>
                <w:szCs w:val="24"/>
                <w:highlight w:val="none"/>
              </w:rPr>
              <w:t>原件或</w:t>
            </w: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46"/>
                <w:rFonts w:hint="eastAsia"/>
                <w:color w:val="auto"/>
                <w:sz w:val="24"/>
                <w:szCs w:val="24"/>
                <w:highlight w:val="none"/>
              </w:rPr>
              <w:t>复印件</w:t>
            </w:r>
          </w:p>
        </w:tc>
        <w:tc>
          <w:tcPr>
            <w:tcW w:w="912" w:type="dxa"/>
            <w:noWrap w:val="0"/>
            <w:vAlign w:val="center"/>
          </w:tcPr>
          <w:p w14:paraId="14974C26">
            <w:pPr>
              <w:spacing w:line="360" w:lineRule="auto"/>
              <w:jc w:val="center"/>
              <w:rPr>
                <w:rFonts w:ascii="仿宋" w:hAnsi="仿宋" w:eastAsia="仿宋"/>
                <w:color w:val="auto"/>
                <w:sz w:val="24"/>
                <w:szCs w:val="24"/>
                <w:highlight w:val="none"/>
              </w:rPr>
            </w:pPr>
          </w:p>
        </w:tc>
      </w:tr>
      <w:tr w14:paraId="5EBD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8" w:type="dxa"/>
            <w:noWrap w:val="0"/>
            <w:vAlign w:val="center"/>
          </w:tcPr>
          <w:p w14:paraId="1389F878">
            <w:pPr>
              <w:spacing w:line="360" w:lineRule="auto"/>
              <w:jc w:val="center"/>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w:t>
            </w:r>
          </w:p>
        </w:tc>
        <w:tc>
          <w:tcPr>
            <w:tcW w:w="5226" w:type="dxa"/>
            <w:noWrap w:val="0"/>
            <w:vAlign w:val="center"/>
          </w:tcPr>
          <w:p w14:paraId="368A241D">
            <w:pPr>
              <w:spacing w:line="360" w:lineRule="auto"/>
              <w:jc w:val="left"/>
              <w:rPr>
                <w:rStyle w:val="46"/>
                <w:rFonts w:hint="eastAsia" w:cs="Times New Roman"/>
                <w:color w:val="auto"/>
                <w:sz w:val="24"/>
                <w:szCs w:val="24"/>
                <w:highlight w:val="none"/>
              </w:rPr>
            </w:pPr>
            <w:r>
              <w:rPr>
                <w:rStyle w:val="46"/>
                <w:rFonts w:hint="eastAsia" w:cs="Times New Roman"/>
                <w:color w:val="auto"/>
                <w:sz w:val="24"/>
                <w:szCs w:val="24"/>
                <w:highlight w:val="none"/>
              </w:rPr>
              <w:t>①投标人所投产品属于医疗器械第一类中的产品应提供医疗器械备案证明。 ②投标人所投产品属于医疗器械第二类和第三类中的产品应提供医疗器械注册证。</w:t>
            </w:r>
          </w:p>
        </w:tc>
        <w:tc>
          <w:tcPr>
            <w:tcW w:w="2390" w:type="dxa"/>
            <w:noWrap w:val="0"/>
            <w:vAlign w:val="center"/>
          </w:tcPr>
          <w:p w14:paraId="742D6F27">
            <w:pPr>
              <w:spacing w:line="360" w:lineRule="auto"/>
              <w:jc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fldChar w:fldCharType="begin"/>
            </w:r>
            <w:r>
              <w:rPr>
                <w:rFonts w:hint="eastAsia"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lang w:val="zh-CN"/>
              </w:rPr>
              <w:fldChar w:fldCharType="end"/>
            </w:r>
            <w:r>
              <w:rPr>
                <w:rStyle w:val="46"/>
                <w:rFonts w:hint="eastAsia"/>
                <w:color w:val="auto"/>
                <w:sz w:val="24"/>
                <w:szCs w:val="24"/>
                <w:highlight w:val="none"/>
              </w:rPr>
              <w:t>原件或</w:t>
            </w: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46"/>
                <w:rFonts w:hint="eastAsia"/>
                <w:color w:val="auto"/>
                <w:sz w:val="24"/>
                <w:szCs w:val="24"/>
                <w:highlight w:val="none"/>
              </w:rPr>
              <w:t>复印件</w:t>
            </w:r>
          </w:p>
        </w:tc>
        <w:tc>
          <w:tcPr>
            <w:tcW w:w="912" w:type="dxa"/>
            <w:noWrap w:val="0"/>
            <w:vAlign w:val="center"/>
          </w:tcPr>
          <w:p w14:paraId="20DDDA47">
            <w:pPr>
              <w:spacing w:line="360" w:lineRule="auto"/>
              <w:jc w:val="center"/>
              <w:rPr>
                <w:rFonts w:ascii="仿宋" w:hAnsi="仿宋" w:eastAsia="仿宋"/>
                <w:color w:val="auto"/>
                <w:sz w:val="24"/>
                <w:szCs w:val="24"/>
                <w:highlight w:val="none"/>
              </w:rPr>
            </w:pPr>
          </w:p>
        </w:tc>
      </w:tr>
      <w:tr w14:paraId="180A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8" w:type="dxa"/>
            <w:shd w:val="clear" w:color="auto" w:fill="auto"/>
            <w:noWrap w:val="0"/>
            <w:vAlign w:val="center"/>
          </w:tcPr>
          <w:p w14:paraId="1FC9D008">
            <w:pPr>
              <w:spacing w:line="360" w:lineRule="auto"/>
              <w:jc w:val="center"/>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olor w:val="auto"/>
                <w:kern w:val="2"/>
                <w:sz w:val="24"/>
                <w:szCs w:val="24"/>
                <w:highlight w:val="none"/>
                <w:lang w:val="en-US" w:eastAsia="zh-CN" w:bidi="ar-SA"/>
              </w:rPr>
              <w:t>4</w:t>
            </w:r>
          </w:p>
        </w:tc>
        <w:tc>
          <w:tcPr>
            <w:tcW w:w="5226" w:type="dxa"/>
            <w:noWrap w:val="0"/>
            <w:vAlign w:val="center"/>
          </w:tcPr>
          <w:p w14:paraId="0DB4DFE1">
            <w:pPr>
              <w:spacing w:line="360" w:lineRule="auto"/>
              <w:jc w:val="left"/>
              <w:rPr>
                <w:rStyle w:val="46"/>
                <w:rFonts w:hint="eastAsia" w:eastAsia="仿宋" w:cs="Times New Roman"/>
                <w:color w:val="auto"/>
                <w:sz w:val="24"/>
                <w:szCs w:val="24"/>
                <w:highlight w:val="none"/>
                <w:lang w:val="en-US" w:eastAsia="zh-CN"/>
              </w:rPr>
            </w:pPr>
            <w:r>
              <w:rPr>
                <w:rStyle w:val="46"/>
                <w:rFonts w:hint="eastAsia" w:eastAsia="仿宋" w:cs="Times New Roman"/>
                <w:color w:val="auto"/>
                <w:sz w:val="24"/>
                <w:szCs w:val="24"/>
                <w:highlight w:val="none"/>
                <w:lang w:val="en-US" w:eastAsia="zh-CN"/>
              </w:rPr>
              <w:t>中小企业声明函</w:t>
            </w:r>
            <w:r>
              <w:rPr>
                <w:rStyle w:val="46"/>
                <w:rFonts w:hint="eastAsia"/>
                <w:color w:val="auto"/>
                <w:sz w:val="24"/>
                <w:szCs w:val="24"/>
                <w:highlight w:val="none"/>
              </w:rPr>
              <w:t>（格式见附件）</w:t>
            </w:r>
          </w:p>
        </w:tc>
        <w:tc>
          <w:tcPr>
            <w:tcW w:w="2390" w:type="dxa"/>
            <w:noWrap w:val="0"/>
            <w:vAlign w:val="center"/>
          </w:tcPr>
          <w:p w14:paraId="10CC3142">
            <w:pPr>
              <w:spacing w:line="360" w:lineRule="auto"/>
              <w:jc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fldChar w:fldCharType="begin"/>
            </w:r>
            <w:r>
              <w:rPr>
                <w:rFonts w:hint="eastAsia" w:ascii="仿宋" w:hAnsi="仿宋" w:eastAsia="仿宋"/>
                <w:color w:val="auto"/>
                <w:sz w:val="24"/>
                <w:szCs w:val="24"/>
                <w:highlight w:val="none"/>
              </w:rPr>
              <w:instrText xml:space="preserve"> eq \o\ac(□,√)</w:instrText>
            </w:r>
            <w:r>
              <w:rPr>
                <w:rFonts w:hint="eastAsia" w:ascii="仿宋" w:hAnsi="仿宋" w:eastAsia="仿宋"/>
                <w:color w:val="auto"/>
                <w:sz w:val="24"/>
                <w:szCs w:val="24"/>
                <w:highlight w:val="none"/>
                <w:lang w:val="zh-CN"/>
              </w:rPr>
              <w:fldChar w:fldCharType="end"/>
            </w:r>
            <w:r>
              <w:rPr>
                <w:rStyle w:val="46"/>
                <w:rFonts w:hint="eastAsia"/>
                <w:color w:val="auto"/>
                <w:sz w:val="24"/>
                <w:szCs w:val="24"/>
                <w:highlight w:val="none"/>
              </w:rPr>
              <w:t>原件或</w:t>
            </w: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46"/>
                <w:rFonts w:hint="eastAsia"/>
                <w:color w:val="auto"/>
                <w:sz w:val="24"/>
                <w:szCs w:val="24"/>
                <w:highlight w:val="none"/>
              </w:rPr>
              <w:t>复印件</w:t>
            </w:r>
          </w:p>
        </w:tc>
        <w:tc>
          <w:tcPr>
            <w:tcW w:w="912" w:type="dxa"/>
            <w:noWrap w:val="0"/>
            <w:vAlign w:val="center"/>
          </w:tcPr>
          <w:p w14:paraId="4EFC832F">
            <w:pPr>
              <w:spacing w:line="360" w:lineRule="auto"/>
              <w:jc w:val="center"/>
              <w:rPr>
                <w:rFonts w:ascii="仿宋" w:hAnsi="仿宋" w:eastAsia="仿宋"/>
                <w:color w:val="auto"/>
                <w:sz w:val="24"/>
                <w:szCs w:val="24"/>
                <w:highlight w:val="none"/>
              </w:rPr>
            </w:pPr>
          </w:p>
        </w:tc>
      </w:tr>
      <w:tr w14:paraId="429A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8" w:type="dxa"/>
            <w:shd w:val="clear" w:color="auto" w:fill="auto"/>
            <w:noWrap w:val="0"/>
            <w:vAlign w:val="center"/>
          </w:tcPr>
          <w:p w14:paraId="258AB238">
            <w:pPr>
              <w:spacing w:line="360" w:lineRule="auto"/>
              <w:jc w:val="center"/>
              <w:rPr>
                <w:rFonts w:hint="default" w:ascii="仿宋" w:hAnsi="仿宋" w:eastAsia="仿宋" w:cs="Times New Roman"/>
                <w:color w:val="auto"/>
                <w:kern w:val="2"/>
                <w:sz w:val="24"/>
                <w:szCs w:val="24"/>
                <w:highlight w:val="none"/>
                <w:lang w:val="en-US" w:eastAsia="zh-CN" w:bidi="ar-SA"/>
              </w:rPr>
            </w:pPr>
            <w:r>
              <w:rPr>
                <w:rFonts w:hint="eastAsia" w:ascii="仿宋" w:hAnsi="仿宋" w:eastAsia="仿宋"/>
                <w:color w:val="auto"/>
                <w:sz w:val="24"/>
                <w:szCs w:val="24"/>
                <w:highlight w:val="none"/>
                <w:lang w:val="en-US" w:eastAsia="zh-CN"/>
              </w:rPr>
              <w:t>5</w:t>
            </w:r>
          </w:p>
        </w:tc>
        <w:tc>
          <w:tcPr>
            <w:tcW w:w="5226" w:type="dxa"/>
            <w:noWrap w:val="0"/>
            <w:vAlign w:val="center"/>
          </w:tcPr>
          <w:p w14:paraId="5C5736BF">
            <w:pPr>
              <w:spacing w:line="360" w:lineRule="auto"/>
              <w:jc w:val="left"/>
              <w:rPr>
                <w:rFonts w:hint="eastAsia" w:ascii="仿宋" w:hAnsi="仿宋" w:eastAsia="仿宋"/>
                <w:color w:val="auto"/>
                <w:sz w:val="24"/>
                <w:highlight w:val="none"/>
              </w:rPr>
            </w:pPr>
            <w:r>
              <w:rPr>
                <w:rStyle w:val="46"/>
                <w:rFonts w:hint="eastAsia"/>
                <w:color w:val="auto"/>
                <w:sz w:val="24"/>
                <w:szCs w:val="24"/>
                <w:highlight w:val="none"/>
              </w:rPr>
              <w:t>声明函（格式见附件）</w:t>
            </w:r>
          </w:p>
        </w:tc>
        <w:tc>
          <w:tcPr>
            <w:tcW w:w="2390" w:type="dxa"/>
            <w:noWrap w:val="0"/>
            <w:vAlign w:val="center"/>
          </w:tcPr>
          <w:p w14:paraId="2BA2A09B">
            <w:pPr>
              <w:spacing w:line="360" w:lineRule="auto"/>
              <w:jc w:val="center"/>
              <w:rPr>
                <w:rFonts w:ascii="仿宋" w:hAnsi="仿宋" w:eastAsia="仿宋"/>
                <w:color w:val="auto"/>
                <w:sz w:val="24"/>
                <w:szCs w:val="24"/>
                <w:highlight w:val="none"/>
              </w:rPr>
            </w:pP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46"/>
                <w:rFonts w:hint="eastAsia"/>
                <w:color w:val="auto"/>
                <w:sz w:val="24"/>
                <w:szCs w:val="24"/>
                <w:highlight w:val="none"/>
              </w:rPr>
              <w:t xml:space="preserve">原件  </w:t>
            </w: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46"/>
                <w:rFonts w:hint="eastAsia"/>
                <w:color w:val="auto"/>
                <w:sz w:val="24"/>
                <w:szCs w:val="24"/>
                <w:highlight w:val="none"/>
              </w:rPr>
              <w:t>复印件</w:t>
            </w:r>
          </w:p>
        </w:tc>
        <w:tc>
          <w:tcPr>
            <w:tcW w:w="912" w:type="dxa"/>
            <w:noWrap w:val="0"/>
            <w:vAlign w:val="center"/>
          </w:tcPr>
          <w:p w14:paraId="764C096B">
            <w:pPr>
              <w:spacing w:line="360" w:lineRule="auto"/>
              <w:jc w:val="center"/>
              <w:rPr>
                <w:rFonts w:hint="eastAsia" w:ascii="仿宋" w:hAnsi="仿宋" w:eastAsia="仿宋"/>
                <w:color w:val="auto"/>
                <w:sz w:val="24"/>
                <w:szCs w:val="24"/>
                <w:highlight w:val="none"/>
              </w:rPr>
            </w:pPr>
          </w:p>
        </w:tc>
      </w:tr>
      <w:tr w14:paraId="4174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8" w:type="dxa"/>
            <w:shd w:val="clear" w:color="auto" w:fill="auto"/>
            <w:noWrap w:val="0"/>
            <w:vAlign w:val="center"/>
          </w:tcPr>
          <w:p w14:paraId="2D433305">
            <w:pPr>
              <w:spacing w:line="360" w:lineRule="auto"/>
              <w:jc w:val="center"/>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olor w:val="auto"/>
                <w:sz w:val="24"/>
                <w:szCs w:val="24"/>
                <w:highlight w:val="none"/>
                <w:lang w:val="en-US" w:eastAsia="zh-CN"/>
              </w:rPr>
              <w:t>6</w:t>
            </w:r>
          </w:p>
        </w:tc>
        <w:tc>
          <w:tcPr>
            <w:tcW w:w="5226" w:type="dxa"/>
            <w:noWrap w:val="0"/>
            <w:vAlign w:val="center"/>
          </w:tcPr>
          <w:p w14:paraId="1FEFC57F">
            <w:pPr>
              <w:spacing w:line="360" w:lineRule="auto"/>
              <w:jc w:val="left"/>
              <w:rPr>
                <w:rStyle w:val="46"/>
                <w:color w:val="auto"/>
                <w:sz w:val="24"/>
                <w:highlight w:val="none"/>
              </w:rPr>
            </w:pPr>
            <w:r>
              <w:rPr>
                <w:rStyle w:val="46"/>
                <w:rFonts w:hint="eastAsia"/>
                <w:color w:val="auto"/>
                <w:sz w:val="24"/>
                <w:highlight w:val="none"/>
              </w:rPr>
              <w:t>诚信承诺书（格式见附件）</w:t>
            </w:r>
          </w:p>
        </w:tc>
        <w:tc>
          <w:tcPr>
            <w:tcW w:w="2390" w:type="dxa"/>
            <w:noWrap w:val="0"/>
            <w:vAlign w:val="center"/>
          </w:tcPr>
          <w:p w14:paraId="25E4164C">
            <w:pPr>
              <w:spacing w:line="360" w:lineRule="auto"/>
              <w:jc w:val="center"/>
              <w:rPr>
                <w:rFonts w:ascii="仿宋" w:hAnsi="仿宋" w:eastAsia="仿宋"/>
                <w:color w:val="auto"/>
                <w:sz w:val="24"/>
                <w:szCs w:val="24"/>
                <w:highlight w:val="none"/>
              </w:rPr>
            </w:pP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46"/>
                <w:rFonts w:hint="eastAsia"/>
                <w:color w:val="auto"/>
                <w:sz w:val="24"/>
                <w:szCs w:val="24"/>
                <w:highlight w:val="none"/>
              </w:rPr>
              <w:t xml:space="preserve">原件  </w:t>
            </w: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46"/>
                <w:rFonts w:hint="eastAsia"/>
                <w:color w:val="auto"/>
                <w:sz w:val="24"/>
                <w:szCs w:val="24"/>
                <w:highlight w:val="none"/>
              </w:rPr>
              <w:t>复印件</w:t>
            </w:r>
          </w:p>
        </w:tc>
        <w:tc>
          <w:tcPr>
            <w:tcW w:w="912" w:type="dxa"/>
            <w:noWrap w:val="0"/>
            <w:vAlign w:val="center"/>
          </w:tcPr>
          <w:p w14:paraId="746EDB2E">
            <w:pPr>
              <w:spacing w:line="360" w:lineRule="auto"/>
              <w:jc w:val="center"/>
              <w:rPr>
                <w:rFonts w:hint="eastAsia" w:ascii="仿宋" w:hAnsi="仿宋" w:eastAsia="仿宋"/>
                <w:color w:val="auto"/>
                <w:sz w:val="24"/>
                <w:szCs w:val="24"/>
                <w:highlight w:val="none"/>
              </w:rPr>
            </w:pPr>
          </w:p>
        </w:tc>
      </w:tr>
      <w:tr w14:paraId="4812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8" w:type="dxa"/>
            <w:noWrap w:val="0"/>
            <w:vAlign w:val="center"/>
          </w:tcPr>
          <w:p w14:paraId="1E9C4EB6">
            <w:pPr>
              <w:spacing w:line="360" w:lineRule="auto"/>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7</w:t>
            </w:r>
          </w:p>
        </w:tc>
        <w:tc>
          <w:tcPr>
            <w:tcW w:w="5226" w:type="dxa"/>
            <w:noWrap w:val="0"/>
            <w:vAlign w:val="center"/>
          </w:tcPr>
          <w:p w14:paraId="76D9EB8C">
            <w:pPr>
              <w:spacing w:line="360" w:lineRule="auto"/>
              <w:rPr>
                <w:rFonts w:ascii="仿宋" w:hAnsi="仿宋" w:eastAsia="仿宋"/>
                <w:color w:val="auto"/>
                <w:kern w:val="1"/>
                <w:sz w:val="24"/>
                <w:szCs w:val="24"/>
                <w:highlight w:val="none"/>
              </w:rPr>
            </w:pPr>
            <w:r>
              <w:rPr>
                <w:rFonts w:hint="eastAsia" w:ascii="仿宋" w:hAnsi="仿宋" w:eastAsia="仿宋"/>
                <w:color w:val="auto"/>
                <w:kern w:val="1"/>
                <w:sz w:val="24"/>
                <w:szCs w:val="24"/>
                <w:highlight w:val="none"/>
              </w:rPr>
              <w:t>评标办法中评分所需的其他相关证明材料</w:t>
            </w:r>
          </w:p>
        </w:tc>
        <w:tc>
          <w:tcPr>
            <w:tcW w:w="2390" w:type="dxa"/>
            <w:noWrap w:val="0"/>
            <w:vAlign w:val="center"/>
          </w:tcPr>
          <w:p w14:paraId="5B9F6F32">
            <w:pPr>
              <w:spacing w:line="360" w:lineRule="auto"/>
              <w:jc w:val="center"/>
              <w:rPr>
                <w:rFonts w:hint="eastAsia" w:ascii="仿宋" w:hAnsi="仿宋" w:eastAsia="仿宋"/>
                <w:color w:val="auto"/>
                <w:sz w:val="24"/>
                <w:szCs w:val="24"/>
                <w:highlight w:val="none"/>
              </w:rPr>
            </w:pPr>
            <w:r>
              <w:rPr>
                <w:rStyle w:val="46"/>
                <w:rFonts w:hint="eastAsia"/>
                <w:color w:val="auto"/>
                <w:sz w:val="24"/>
                <w:szCs w:val="24"/>
                <w:highlight w:val="none"/>
              </w:rPr>
              <w:t>注：具体以第五章评标标准要求提供的证明材料提供形式为准</w:t>
            </w:r>
          </w:p>
        </w:tc>
        <w:tc>
          <w:tcPr>
            <w:tcW w:w="912" w:type="dxa"/>
            <w:noWrap w:val="0"/>
            <w:vAlign w:val="center"/>
          </w:tcPr>
          <w:p w14:paraId="4D46F3E3">
            <w:pPr>
              <w:spacing w:line="360" w:lineRule="auto"/>
              <w:jc w:val="center"/>
              <w:rPr>
                <w:rFonts w:hint="eastAsia" w:ascii="仿宋" w:hAnsi="仿宋" w:eastAsia="仿宋"/>
                <w:color w:val="auto"/>
                <w:sz w:val="24"/>
                <w:szCs w:val="24"/>
                <w:highlight w:val="none"/>
              </w:rPr>
            </w:pPr>
          </w:p>
        </w:tc>
      </w:tr>
    </w:tbl>
    <w:p w14:paraId="2CD3239B">
      <w:pPr>
        <w:spacing w:line="360" w:lineRule="auto"/>
        <w:rPr>
          <w:rFonts w:hint="eastAsia" w:ascii="仿宋" w:hAnsi="仿宋" w:eastAsia="仿宋"/>
          <w:color w:val="auto"/>
          <w:sz w:val="24"/>
          <w:szCs w:val="24"/>
          <w:highlight w:val="none"/>
        </w:rPr>
      </w:pPr>
      <w:r>
        <w:rPr>
          <w:rFonts w:ascii="仿宋" w:hAnsi="仿宋" w:eastAsia="仿宋"/>
          <w:color w:val="auto"/>
          <w:sz w:val="24"/>
          <w:szCs w:val="24"/>
          <w:highlight w:val="none"/>
        </w:rPr>
        <w:t>备注：</w:t>
      </w:r>
    </w:p>
    <w:p w14:paraId="3098F427">
      <w:pPr>
        <w:wordWrap w:val="0"/>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1）</w:t>
      </w:r>
      <w:r>
        <w:rPr>
          <w:rFonts w:ascii="仿宋" w:hAnsi="仿宋" w:eastAsia="仿宋"/>
          <w:color w:val="auto"/>
          <w:sz w:val="24"/>
          <w:szCs w:val="24"/>
          <w:highlight w:val="none"/>
        </w:rPr>
        <w:t>开标时，投标人</w:t>
      </w:r>
      <w:r>
        <w:rPr>
          <w:rFonts w:hint="eastAsia" w:ascii="仿宋" w:hAnsi="仿宋" w:eastAsia="仿宋"/>
          <w:color w:val="auto"/>
          <w:sz w:val="24"/>
          <w:szCs w:val="24"/>
          <w:highlight w:val="none"/>
        </w:rPr>
        <w:t>必须</w:t>
      </w:r>
      <w:r>
        <w:rPr>
          <w:rFonts w:ascii="仿宋" w:hAnsi="仿宋" w:eastAsia="仿宋"/>
          <w:color w:val="auto"/>
          <w:sz w:val="24"/>
          <w:szCs w:val="24"/>
          <w:highlight w:val="none"/>
        </w:rPr>
        <w:t>提交上述证明材料</w:t>
      </w:r>
      <w:r>
        <w:rPr>
          <w:rFonts w:hint="eastAsia" w:ascii="仿宋" w:hAnsi="仿宋" w:eastAsia="仿宋"/>
          <w:b/>
          <w:bCs/>
          <w:color w:val="auto"/>
          <w:sz w:val="24"/>
          <w:szCs w:val="24"/>
          <w:highlight w:val="none"/>
          <w:u w:val="single"/>
        </w:rPr>
        <w:t>1-</w:t>
      </w:r>
      <w:r>
        <w:rPr>
          <w:rFonts w:hint="eastAsia" w:ascii="仿宋" w:hAnsi="仿宋" w:eastAsia="仿宋"/>
          <w:b/>
          <w:bCs/>
          <w:color w:val="auto"/>
          <w:sz w:val="24"/>
          <w:szCs w:val="24"/>
          <w:highlight w:val="none"/>
          <w:u w:val="single"/>
          <w:lang w:val="en-US" w:eastAsia="zh-CN"/>
        </w:rPr>
        <w:t>6</w:t>
      </w:r>
      <w:r>
        <w:rPr>
          <w:rFonts w:hint="eastAsia" w:ascii="仿宋" w:hAnsi="仿宋" w:eastAsia="仿宋"/>
          <w:color w:val="auto"/>
          <w:sz w:val="24"/>
          <w:szCs w:val="24"/>
          <w:highlight w:val="none"/>
        </w:rPr>
        <w:t>项，未提交或提交不全的视为资格性审查不合格；</w:t>
      </w:r>
      <w:r>
        <w:rPr>
          <w:rFonts w:hint="eastAsia" w:ascii="仿宋" w:hAnsi="仿宋" w:eastAsia="仿宋" w:cs="仿宋"/>
          <w:color w:val="auto"/>
          <w:sz w:val="24"/>
          <w:szCs w:val="24"/>
          <w:highlight w:val="none"/>
        </w:rPr>
        <w:t>第</w:t>
      </w:r>
      <w:r>
        <w:rPr>
          <w:rFonts w:hint="eastAsia" w:ascii="仿宋" w:hAnsi="仿宋" w:eastAsia="仿宋" w:cs="仿宋"/>
          <w:b/>
          <w:bCs/>
          <w:color w:val="auto"/>
          <w:sz w:val="24"/>
          <w:szCs w:val="24"/>
          <w:highlight w:val="none"/>
          <w:u w:val="single"/>
          <w:lang w:val="en-US" w:eastAsia="zh-CN"/>
        </w:rPr>
        <w:t>7</w:t>
      </w:r>
      <w:r>
        <w:rPr>
          <w:rFonts w:hint="eastAsia" w:ascii="仿宋" w:hAnsi="仿宋" w:eastAsia="仿宋" w:cs="仿宋"/>
          <w:color w:val="auto"/>
          <w:sz w:val="24"/>
          <w:szCs w:val="24"/>
          <w:highlight w:val="none"/>
        </w:rPr>
        <w:t>项由投标人根据招标文件要求和自身情况提供，且第</w:t>
      </w:r>
      <w:r>
        <w:rPr>
          <w:rFonts w:hint="eastAsia" w:ascii="仿宋" w:hAnsi="仿宋" w:eastAsia="仿宋" w:cs="仿宋"/>
          <w:b/>
          <w:bCs/>
          <w:color w:val="auto"/>
          <w:sz w:val="24"/>
          <w:szCs w:val="24"/>
          <w:highlight w:val="none"/>
          <w:u w:val="single"/>
        </w:rPr>
        <w:t>1-</w:t>
      </w:r>
      <w:r>
        <w:rPr>
          <w:rFonts w:hint="eastAsia" w:ascii="仿宋" w:hAnsi="仿宋" w:eastAsia="仿宋" w:cs="仿宋"/>
          <w:b/>
          <w:bCs/>
          <w:color w:val="auto"/>
          <w:sz w:val="24"/>
          <w:szCs w:val="24"/>
          <w:highlight w:val="none"/>
          <w:u w:val="single"/>
          <w:lang w:val="en-US" w:eastAsia="zh-CN"/>
        </w:rPr>
        <w:t>7</w:t>
      </w:r>
      <w:r>
        <w:rPr>
          <w:rFonts w:hint="eastAsia" w:ascii="仿宋" w:hAnsi="仿宋" w:eastAsia="仿宋" w:cs="仿宋"/>
          <w:color w:val="auto"/>
          <w:sz w:val="24"/>
          <w:szCs w:val="24"/>
          <w:highlight w:val="none"/>
        </w:rPr>
        <w:t>项复印件应当全部装订于投标文件中。</w:t>
      </w:r>
    </w:p>
    <w:p w14:paraId="317CDBDF">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2）要求提交的证明材料可以是复印件的，需加盖投标人公章。</w:t>
      </w:r>
    </w:p>
    <w:p w14:paraId="37FA4B77">
      <w:pPr>
        <w:spacing w:after="156" w:afterLines="50" w:line="360" w:lineRule="auto"/>
        <w:ind w:firstLine="560" w:firstLineChars="200"/>
        <w:outlineLvl w:val="2"/>
        <w:rPr>
          <w:rFonts w:ascii="楷体" w:hAnsi="楷体" w:eastAsia="楷体"/>
          <w:color w:val="auto"/>
          <w:sz w:val="28"/>
          <w:szCs w:val="28"/>
          <w:highlight w:val="none"/>
        </w:rPr>
      </w:pPr>
      <w:bookmarkStart w:id="4" w:name="_Toc7677"/>
      <w:r>
        <w:rPr>
          <w:rFonts w:ascii="楷体" w:hAnsi="楷体" w:eastAsia="楷体"/>
          <w:color w:val="auto"/>
          <w:sz w:val="28"/>
          <w:szCs w:val="28"/>
          <w:highlight w:val="none"/>
        </w:rPr>
        <w:t>2</w:t>
      </w:r>
      <w:r>
        <w:rPr>
          <w:rFonts w:hint="eastAsia" w:ascii="楷体" w:hAnsi="楷体" w:eastAsia="楷体"/>
          <w:color w:val="auto"/>
          <w:sz w:val="28"/>
          <w:szCs w:val="28"/>
          <w:highlight w:val="none"/>
        </w:rPr>
        <w:t>.其他规定</w:t>
      </w:r>
      <w:bookmarkEnd w:id="4"/>
    </w:p>
    <w:p w14:paraId="10CD6E6A">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.1投标人的资格证明材料应当真实、有效、完整，字迹、印章要清晰。</w:t>
      </w:r>
    </w:p>
    <w:p w14:paraId="1B68C453">
      <w:pPr>
        <w:spacing w:line="360" w:lineRule="auto"/>
        <w:ind w:firstLine="480" w:firstLineChars="200"/>
        <w:rPr>
          <w:rFonts w:hint="eastAsia" w:ascii="仿宋" w:hAnsi="仿宋" w:eastAsia="仿宋"/>
          <w:b/>
          <w:bCs/>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w:t>
      </w:r>
      <w:r>
        <w:rPr>
          <w:rFonts w:ascii="仿宋" w:hAnsi="仿宋" w:eastAsia="仿宋"/>
          <w:color w:val="auto"/>
          <w:sz w:val="24"/>
          <w:szCs w:val="24"/>
          <w:highlight w:val="none"/>
        </w:rPr>
        <w:t>2</w:t>
      </w:r>
      <w:r>
        <w:rPr>
          <w:rFonts w:hint="eastAsia" w:ascii="仿宋" w:hAnsi="仿宋" w:eastAsia="仿宋"/>
          <w:b/>
          <w:bCs/>
          <w:color w:val="auto"/>
          <w:sz w:val="24"/>
          <w:szCs w:val="24"/>
          <w:highlight w:val="none"/>
        </w:rPr>
        <w:t>招标文件中所要求的相关证明资料原件（如合同书、营业执照、相关许可证等），应当在递交投标文件截止时间前密封于资格资信等证明文件密封件（包括电子版投标文件）与投标文件一并递交，逾期拒绝接收。</w:t>
      </w:r>
    </w:p>
    <w:p w14:paraId="1DDB2911">
      <w:pPr>
        <w:spacing w:line="360" w:lineRule="auto"/>
        <w:ind w:firstLine="480" w:firstLineChars="200"/>
        <w:rPr>
          <w:rFonts w:ascii="宋体" w:hAnsi="宋体"/>
          <w:color w:val="auto"/>
          <w:szCs w:val="21"/>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w:t>
      </w:r>
      <w:r>
        <w:rPr>
          <w:rFonts w:ascii="仿宋" w:hAnsi="仿宋" w:eastAsia="仿宋"/>
          <w:color w:val="auto"/>
          <w:sz w:val="24"/>
          <w:szCs w:val="24"/>
          <w:highlight w:val="none"/>
        </w:rPr>
        <w:t>3</w:t>
      </w:r>
      <w:r>
        <w:rPr>
          <w:rFonts w:hint="eastAsia" w:ascii="仿宋" w:hAnsi="仿宋" w:eastAsia="仿宋"/>
          <w:color w:val="auto"/>
          <w:sz w:val="24"/>
          <w:szCs w:val="24"/>
          <w:highlight w:val="none"/>
        </w:rPr>
        <w:t>投标人需收回的证明材料（如合同书、营业执照、相关许可证等）待评标完毕后退还。不需收回的证明材料原件（产品授权书等）和投标文件一起不予退还，需收回的证明材料的复印件（页数过多时，可以提供证明材料的主要条款页复印件）、其他证明材料的复印件应当装订于投标文件中。</w:t>
      </w:r>
    </w:p>
    <w:p w14:paraId="6BA2514E">
      <w:pPr>
        <w:rPr>
          <w:color w:val="auto"/>
          <w:highlight w:val="none"/>
        </w:rPr>
        <w:sectPr>
          <w:pgSz w:w="11906" w:h="16838"/>
          <w:pgMar w:top="1417" w:right="1249"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231E0FA6">
      <w:pPr>
        <w:spacing w:after="120" w:afterLines="50"/>
        <w:jc w:val="center"/>
        <w:outlineLvl w:val="1"/>
        <w:rPr>
          <w:rFonts w:ascii="黑体" w:hAnsi="黑体" w:eastAsia="黑体"/>
          <w:color w:val="auto"/>
          <w:sz w:val="28"/>
          <w:szCs w:val="28"/>
          <w:highlight w:val="none"/>
        </w:rPr>
      </w:pPr>
      <w:bookmarkStart w:id="5" w:name="_Toc5961"/>
      <w:r>
        <w:rPr>
          <w:rFonts w:ascii="黑体" w:hAnsi="黑体" w:eastAsia="黑体"/>
          <w:color w:val="auto"/>
          <w:sz w:val="28"/>
          <w:szCs w:val="28"/>
          <w:highlight w:val="none"/>
        </w:rPr>
        <w:t>第四章</w:t>
      </w:r>
      <w:r>
        <w:rPr>
          <w:rFonts w:hint="eastAsia" w:ascii="黑体" w:hAnsi="黑体" w:eastAsia="黑体"/>
          <w:color w:val="auto"/>
          <w:sz w:val="28"/>
          <w:szCs w:val="28"/>
          <w:highlight w:val="none"/>
        </w:rPr>
        <w:t xml:space="preserve">  采购需求</w:t>
      </w:r>
      <w:bookmarkEnd w:id="5"/>
    </w:p>
    <w:p w14:paraId="160B8D73">
      <w:pPr>
        <w:spacing w:line="360" w:lineRule="auto"/>
        <w:ind w:firstLine="560" w:firstLineChars="200"/>
        <w:jc w:val="left"/>
        <w:outlineLvl w:val="2"/>
        <w:rPr>
          <w:rFonts w:hint="eastAsia" w:ascii="楷体" w:hAnsi="楷体" w:eastAsia="楷体"/>
          <w:color w:val="auto"/>
          <w:sz w:val="28"/>
          <w:szCs w:val="28"/>
          <w:highlight w:val="none"/>
        </w:rPr>
      </w:pPr>
      <w:bookmarkStart w:id="6" w:name="_Toc11324"/>
      <w:r>
        <w:rPr>
          <w:rFonts w:hint="eastAsia" w:ascii="楷体" w:hAnsi="楷体" w:eastAsia="楷体"/>
          <w:color w:val="auto"/>
          <w:sz w:val="28"/>
          <w:szCs w:val="28"/>
          <w:highlight w:val="none"/>
        </w:rPr>
        <w:t>1.项目说明</w:t>
      </w:r>
      <w:bookmarkEnd w:id="6"/>
    </w:p>
    <w:p w14:paraId="32B3C760">
      <w:pPr>
        <w:spacing w:line="360" w:lineRule="auto"/>
        <w:ind w:firstLine="480" w:firstLineChars="200"/>
        <w:jc w:val="left"/>
        <w:rPr>
          <w:rFonts w:ascii="仿宋" w:hAnsi="仿宋" w:eastAsia="仿宋"/>
          <w:color w:val="auto"/>
          <w:sz w:val="24"/>
          <w:szCs w:val="24"/>
          <w:highlight w:val="none"/>
        </w:rPr>
      </w:pPr>
      <w:r>
        <w:rPr>
          <w:rFonts w:hint="eastAsia" w:ascii="仿宋" w:hAnsi="仿宋" w:eastAsia="仿宋"/>
          <w:color w:val="auto"/>
          <w:sz w:val="24"/>
          <w:szCs w:val="24"/>
          <w:highlight w:val="none"/>
        </w:rPr>
        <w:t>1.1本章内容是根据采购项目的实际需求制定的。</w:t>
      </w:r>
    </w:p>
    <w:p w14:paraId="34DA0299">
      <w:pPr>
        <w:spacing w:line="360" w:lineRule="auto"/>
        <w:ind w:firstLine="480" w:firstLineChars="200"/>
        <w:jc w:val="left"/>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1.2本项目共分为</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个包进行招标。投标人所报价格应为含税全包价，包括产品的设计、制作、包装、运输、装卸、安装、调试、培训、验收、保修等一切费用（即交钥匙项目）。</w:t>
      </w:r>
    </w:p>
    <w:p w14:paraId="4830037F">
      <w:pPr>
        <w:spacing w:line="360" w:lineRule="auto"/>
        <w:ind w:firstLine="560" w:firstLineChars="200"/>
        <w:jc w:val="left"/>
        <w:outlineLvl w:val="2"/>
        <w:rPr>
          <w:rFonts w:hint="eastAsia" w:ascii="楷体" w:hAnsi="楷体" w:eastAsia="楷体"/>
          <w:color w:val="auto"/>
          <w:sz w:val="28"/>
          <w:szCs w:val="28"/>
          <w:highlight w:val="none"/>
        </w:rPr>
      </w:pPr>
      <w:bookmarkStart w:id="7" w:name="_Toc31182"/>
      <w:r>
        <w:rPr>
          <w:rFonts w:hint="eastAsia" w:ascii="楷体" w:hAnsi="楷体" w:eastAsia="楷体"/>
          <w:color w:val="auto"/>
          <w:sz w:val="28"/>
          <w:szCs w:val="28"/>
          <w:highlight w:val="none"/>
        </w:rPr>
        <w:t>2.招标产品技术规格、要求和数量</w:t>
      </w:r>
      <w:bookmarkEnd w:id="7"/>
    </w:p>
    <w:p w14:paraId="6C380920">
      <w:pPr>
        <w:spacing w:line="360" w:lineRule="auto"/>
        <w:ind w:firstLine="480" w:firstLineChars="200"/>
        <w:jc w:val="left"/>
        <w:rPr>
          <w:rFonts w:hint="default" w:ascii="仿宋" w:hAnsi="仿宋" w:eastAsia="仿宋" w:cs="Times New Roman"/>
          <w:color w:val="auto"/>
          <w:sz w:val="24"/>
          <w:szCs w:val="24"/>
          <w:highlight w:val="none"/>
          <w:lang w:val="en-US" w:eastAsia="zh-CN"/>
        </w:rPr>
      </w:pPr>
      <w:r>
        <w:rPr>
          <w:rFonts w:hint="eastAsia" w:ascii="仿宋" w:hAnsi="仿宋" w:eastAsia="仿宋" w:cs="Times New Roman"/>
          <w:color w:val="auto"/>
          <w:sz w:val="24"/>
          <w:szCs w:val="24"/>
          <w:highlight w:val="none"/>
          <w:lang w:val="en-US" w:eastAsia="zh-CN"/>
        </w:rPr>
        <w:t>第一包</w:t>
      </w:r>
    </w:p>
    <w:p w14:paraId="2D00C734">
      <w:pPr>
        <w:spacing w:line="360" w:lineRule="auto"/>
        <w:ind w:firstLine="480" w:firstLineChars="200"/>
        <w:jc w:val="left"/>
        <w:rPr>
          <w:rFonts w:hint="eastAsia" w:ascii="仿宋" w:hAnsi="仿宋" w:eastAsia="仿宋" w:cs="Times New Roman"/>
          <w:color w:val="auto"/>
          <w:sz w:val="24"/>
          <w:szCs w:val="24"/>
          <w:highlight w:val="none"/>
          <w:lang w:val="en-US" w:eastAsia="zh-CN"/>
        </w:rPr>
      </w:pPr>
      <w:r>
        <w:rPr>
          <w:rFonts w:hint="eastAsia" w:ascii="仿宋" w:hAnsi="仿宋" w:eastAsia="仿宋" w:cs="Times New Roman"/>
          <w:color w:val="auto"/>
          <w:sz w:val="24"/>
          <w:szCs w:val="24"/>
          <w:highlight w:val="none"/>
          <w:lang w:val="en-US" w:eastAsia="zh-CN"/>
        </w:rPr>
        <w:t>2.1产品明细</w:t>
      </w:r>
    </w:p>
    <w:tbl>
      <w:tblPr>
        <w:tblStyle w:val="23"/>
        <w:tblW w:w="979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1"/>
        <w:gridCol w:w="3012"/>
        <w:gridCol w:w="1759"/>
        <w:gridCol w:w="941"/>
        <w:gridCol w:w="1708"/>
        <w:gridCol w:w="1543"/>
      </w:tblGrid>
      <w:tr w14:paraId="0DF57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A305">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序号</w:t>
            </w:r>
          </w:p>
        </w:tc>
        <w:tc>
          <w:tcPr>
            <w:tcW w:w="3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FD1E7">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科室</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154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产品名称</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8D3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数量</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9209">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控制单价</w:t>
            </w:r>
          </w:p>
          <w:p w14:paraId="3D6DA0E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（万元）</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20C4">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合计</w:t>
            </w:r>
          </w:p>
          <w:p w14:paraId="376105C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（万元）</w:t>
            </w:r>
          </w:p>
        </w:tc>
      </w:tr>
      <w:tr w14:paraId="534D9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7729F">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5F11">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儿科门急诊护理</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31B5">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压缩式雾化机</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35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61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0.20</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44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0.60</w:t>
            </w:r>
          </w:p>
        </w:tc>
      </w:tr>
      <w:tr w14:paraId="083C4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262D">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CF56">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放射科</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8CCB">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成人铅帽</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26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5B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0.01</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A36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0.3</w:t>
            </w:r>
          </w:p>
        </w:tc>
      </w:tr>
      <w:tr w14:paraId="7B239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F4D1">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554B3">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放射科+济众楼手术室</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EA933">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异型铅围脖</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D8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35</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98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0.01</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84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0.35</w:t>
            </w:r>
          </w:p>
        </w:tc>
      </w:tr>
      <w:tr w14:paraId="53209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D030">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81827">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放射科</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094F">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儿童铅帽</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94E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2C0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0.008</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8049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0.12</w:t>
            </w:r>
          </w:p>
        </w:tc>
      </w:tr>
      <w:tr w14:paraId="5EF0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0FDA3">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5</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878D9">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放射科</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B72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儿童铅围脖</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21B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A8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0.008</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5D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0.12</w:t>
            </w:r>
          </w:p>
        </w:tc>
      </w:tr>
      <w:tr w14:paraId="4DD70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E7BA0">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6</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FFFA2">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放射科</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8854">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成人无袖一体铅衣</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CEE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896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0.1</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29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r>
      <w:tr w14:paraId="4ADAD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578B">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7</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DF59">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放射科</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4322D">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铅三角巾</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67A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B1C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0.015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70F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0.3</w:t>
            </w:r>
          </w:p>
        </w:tc>
      </w:tr>
      <w:tr w14:paraId="78AD0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9F0F">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8</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30DA8">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放射科</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BD3E">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铅方巾</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23D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DE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0.015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30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0.3</w:t>
            </w:r>
          </w:p>
        </w:tc>
      </w:tr>
      <w:tr w14:paraId="2B0EA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5A89">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9</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69722">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放射科</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8C7A">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铅毯</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B1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B9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0.07</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230F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w:t>
            </w:r>
          </w:p>
        </w:tc>
      </w:tr>
      <w:tr w14:paraId="769C8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C844C">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10</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4DB9C">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急诊ICU</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B937E">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防护铅屏</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62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8F5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878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0.5</w:t>
            </w:r>
          </w:p>
        </w:tc>
      </w:tr>
      <w:tr w14:paraId="169BC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07C4">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11</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138ED">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心内科2、护理单元6、8A重症医学科病区2、血液科移植仓1、急诊内科1</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F1A1">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轮椅</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955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62B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0.065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02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0.91</w:t>
            </w:r>
          </w:p>
        </w:tc>
      </w:tr>
      <w:tr w14:paraId="26B40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36838">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12</w:t>
            </w:r>
          </w:p>
        </w:tc>
        <w:tc>
          <w:tcPr>
            <w:tcW w:w="3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25B0D">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护理单元</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716E1">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紫外线消毒车</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46B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1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C42BC">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rPr>
            </w:pPr>
            <w:r>
              <w:rPr>
                <w:rFonts w:hint="eastAsia" w:ascii="仿宋" w:hAnsi="仿宋" w:eastAsia="仿宋" w:cs="仿宋"/>
                <w:i w:val="0"/>
                <w:iCs w:val="0"/>
                <w:color w:val="auto"/>
                <w:kern w:val="0"/>
                <w:sz w:val="24"/>
                <w:szCs w:val="24"/>
                <w:highlight w:val="none"/>
                <w:u w:val="none"/>
                <w:lang w:val="en-US" w:eastAsia="zh-CN" w:bidi="ar"/>
              </w:rPr>
              <w:t>0.058</w:t>
            </w: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1F4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0.174</w:t>
            </w:r>
          </w:p>
        </w:tc>
      </w:tr>
      <w:tr w14:paraId="581D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47E54">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13</w:t>
            </w:r>
          </w:p>
        </w:tc>
        <w:tc>
          <w:tcPr>
            <w:tcW w:w="3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1D85D">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护理单元、8A重症医学科病区1、急诊外科病区1</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3BEC5">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阅片灯（2联）</w:t>
            </w: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FD8F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w:t>
            </w:r>
          </w:p>
        </w:tc>
        <w:tc>
          <w:tcPr>
            <w:tcW w:w="1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A39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0.12</w:t>
            </w: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5E2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0.6</w:t>
            </w:r>
          </w:p>
        </w:tc>
      </w:tr>
      <w:tr w14:paraId="06542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CEED8">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14</w:t>
            </w:r>
          </w:p>
        </w:tc>
        <w:tc>
          <w:tcPr>
            <w:tcW w:w="3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6B619">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神经内科</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9CDC0">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阅片灯（4联）</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798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17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1F1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0.35</w:t>
            </w: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C5B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0.35</w:t>
            </w:r>
          </w:p>
        </w:tc>
      </w:tr>
      <w:tr w14:paraId="41A6B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1A0F3">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15</w:t>
            </w:r>
          </w:p>
        </w:tc>
        <w:tc>
          <w:tcPr>
            <w:tcW w:w="3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99A00">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院前急救1、护理单元3、8A重症医学科病区1</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B914E">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带电源吸痰器</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9920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w:t>
            </w:r>
          </w:p>
        </w:tc>
        <w:tc>
          <w:tcPr>
            <w:tcW w:w="17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9F5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0.15</w:t>
            </w: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74B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0.75</w:t>
            </w:r>
          </w:p>
        </w:tc>
      </w:tr>
      <w:tr w14:paraId="6B75E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C80B7">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16</w:t>
            </w:r>
          </w:p>
        </w:tc>
        <w:tc>
          <w:tcPr>
            <w:tcW w:w="3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7C9FC">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中医科</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FBA0C">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中药熏蒸仪</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9A20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7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14A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0.6</w:t>
            </w: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D6D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w:t>
            </w:r>
          </w:p>
        </w:tc>
      </w:tr>
      <w:tr w14:paraId="1E72F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FA2B1">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17</w:t>
            </w:r>
          </w:p>
        </w:tc>
        <w:tc>
          <w:tcPr>
            <w:tcW w:w="3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04621">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护理单元、8A重症医学科病区1、科室肾内病房</w:t>
            </w:r>
          </w:p>
        </w:tc>
        <w:tc>
          <w:tcPr>
            <w:tcW w:w="1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E7BE3">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臭氧消毒机</w:t>
            </w: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38F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w:t>
            </w:r>
          </w:p>
        </w:tc>
        <w:tc>
          <w:tcPr>
            <w:tcW w:w="1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088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0.70</w:t>
            </w: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002E6">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rPr>
            </w:pPr>
            <w:r>
              <w:rPr>
                <w:rFonts w:hint="eastAsia" w:ascii="仿宋" w:hAnsi="仿宋" w:eastAsia="仿宋" w:cs="仿宋"/>
                <w:i w:val="0"/>
                <w:iCs w:val="0"/>
                <w:color w:val="auto"/>
                <w:kern w:val="0"/>
                <w:sz w:val="24"/>
                <w:szCs w:val="24"/>
                <w:highlight w:val="none"/>
                <w:u w:val="none"/>
                <w:lang w:val="en-US" w:eastAsia="zh-CN" w:bidi="ar"/>
              </w:rPr>
              <w:t>3.5</w:t>
            </w:r>
          </w:p>
        </w:tc>
      </w:tr>
      <w:tr w14:paraId="7B5F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CA49">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18</w:t>
            </w:r>
          </w:p>
        </w:tc>
        <w:tc>
          <w:tcPr>
            <w:tcW w:w="30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AE6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风湿科</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6ACC">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中频治疗仪</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19E7">
            <w:pPr>
              <w:keepNext w:val="0"/>
              <w:keepLines w:val="0"/>
              <w:widowControl/>
              <w:suppressLineNumbers w:val="0"/>
              <w:jc w:val="righ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F80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0.45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9DE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0.45</w:t>
            </w:r>
          </w:p>
        </w:tc>
      </w:tr>
      <w:tr w14:paraId="6F68C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D8BB9B">
            <w:pPr>
              <w:jc w:val="center"/>
              <w:rPr>
                <w:rFonts w:hint="default" w:ascii="仿宋" w:hAnsi="仿宋" w:eastAsia="仿宋" w:cs="仿宋"/>
                <w:b/>
                <w:bCs/>
                <w:i w:val="0"/>
                <w:iCs w:val="0"/>
                <w:color w:val="auto"/>
                <w:sz w:val="24"/>
                <w:szCs w:val="24"/>
                <w:highlight w:val="none"/>
                <w:u w:val="none"/>
                <w:lang w:val="en-US" w:eastAsia="zh-CN"/>
              </w:rPr>
            </w:pPr>
            <w:r>
              <w:rPr>
                <w:rFonts w:hint="eastAsia" w:ascii="仿宋" w:hAnsi="仿宋" w:eastAsia="仿宋" w:cs="仿宋"/>
                <w:b/>
                <w:bCs/>
                <w:i w:val="0"/>
                <w:iCs w:val="0"/>
                <w:color w:val="auto"/>
                <w:sz w:val="24"/>
                <w:szCs w:val="24"/>
                <w:highlight w:val="none"/>
                <w:u w:val="none"/>
                <w:lang w:val="en-US" w:eastAsia="zh-CN"/>
              </w:rPr>
              <w:t>19</w:t>
            </w:r>
          </w:p>
        </w:tc>
        <w:tc>
          <w:tcPr>
            <w:tcW w:w="3012"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7573FA17">
            <w:pPr>
              <w:jc w:val="center"/>
              <w:rPr>
                <w:rFonts w:hint="eastAsia" w:ascii="仿宋" w:hAnsi="仿宋" w:eastAsia="仿宋" w:cs="仿宋"/>
                <w:b/>
                <w:bCs/>
                <w:i w:val="0"/>
                <w:iCs w:val="0"/>
                <w:color w:val="auto"/>
                <w:sz w:val="24"/>
                <w:szCs w:val="24"/>
                <w:highlight w:val="none"/>
                <w:u w:val="none"/>
              </w:rPr>
            </w:pPr>
          </w:p>
        </w:tc>
        <w:tc>
          <w:tcPr>
            <w:tcW w:w="175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18AC0CD">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经皮神经电刺激</w:t>
            </w:r>
          </w:p>
        </w:tc>
        <w:tc>
          <w:tcPr>
            <w:tcW w:w="94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3EB1BC">
            <w:pPr>
              <w:keepNext w:val="0"/>
              <w:keepLines w:val="0"/>
              <w:widowControl/>
              <w:suppressLineNumbers w:val="0"/>
              <w:jc w:val="righ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170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74F1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154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2091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r>
      <w:tr w14:paraId="0568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8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717DE">
            <w:pPr>
              <w:jc w:val="center"/>
              <w:rPr>
                <w:rFonts w:hint="default" w:ascii="仿宋" w:hAnsi="仿宋" w:eastAsia="仿宋" w:cs="仿宋"/>
                <w:b/>
                <w:bCs/>
                <w:i w:val="0"/>
                <w:iCs w:val="0"/>
                <w:color w:val="auto"/>
                <w:sz w:val="24"/>
                <w:szCs w:val="24"/>
                <w:highlight w:val="none"/>
                <w:u w:val="none"/>
                <w:lang w:val="en-US" w:eastAsia="zh-CN"/>
              </w:rPr>
            </w:pPr>
            <w:r>
              <w:rPr>
                <w:rFonts w:hint="eastAsia" w:ascii="仿宋" w:hAnsi="仿宋" w:eastAsia="仿宋" w:cs="仿宋"/>
                <w:b/>
                <w:bCs/>
                <w:i w:val="0"/>
                <w:iCs w:val="0"/>
                <w:color w:val="auto"/>
                <w:sz w:val="24"/>
                <w:szCs w:val="24"/>
                <w:highlight w:val="none"/>
                <w:u w:val="none"/>
                <w:lang w:val="en-US" w:eastAsia="zh-CN"/>
              </w:rPr>
              <w:t>20</w:t>
            </w:r>
          </w:p>
        </w:tc>
        <w:tc>
          <w:tcPr>
            <w:tcW w:w="301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3C5336D">
            <w:pPr>
              <w:jc w:val="center"/>
              <w:rPr>
                <w:rFonts w:hint="eastAsia" w:ascii="仿宋" w:hAnsi="仿宋" w:eastAsia="仿宋" w:cs="仿宋"/>
                <w:b/>
                <w:bCs/>
                <w:i w:val="0"/>
                <w:iCs w:val="0"/>
                <w:color w:val="auto"/>
                <w:sz w:val="24"/>
                <w:szCs w:val="24"/>
                <w:highlight w:val="none"/>
                <w:u w:val="none"/>
              </w:rPr>
            </w:pPr>
          </w:p>
        </w:tc>
        <w:tc>
          <w:tcPr>
            <w:tcW w:w="17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3DFE7E">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TDP特定电磁波治疗仪</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7237B">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1A17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0.04</w:t>
            </w:r>
          </w:p>
        </w:tc>
        <w:tc>
          <w:tcPr>
            <w:tcW w:w="15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34D8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0.08</w:t>
            </w:r>
          </w:p>
        </w:tc>
      </w:tr>
      <w:tr w14:paraId="78175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8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4165A">
            <w:pPr>
              <w:jc w:val="center"/>
              <w:rPr>
                <w:rFonts w:hint="default" w:ascii="仿宋" w:hAnsi="仿宋" w:eastAsia="仿宋" w:cs="仿宋"/>
                <w:b/>
                <w:bCs/>
                <w:i w:val="0"/>
                <w:iCs w:val="0"/>
                <w:color w:val="auto"/>
                <w:sz w:val="24"/>
                <w:szCs w:val="24"/>
                <w:highlight w:val="none"/>
                <w:u w:val="none"/>
                <w:lang w:val="en-US" w:eastAsia="zh-CN"/>
              </w:rPr>
            </w:pPr>
            <w:r>
              <w:rPr>
                <w:rFonts w:hint="eastAsia" w:ascii="仿宋" w:hAnsi="仿宋" w:eastAsia="仿宋" w:cs="仿宋"/>
                <w:b/>
                <w:bCs/>
                <w:i w:val="0"/>
                <w:iCs w:val="0"/>
                <w:color w:val="auto"/>
                <w:sz w:val="24"/>
                <w:szCs w:val="24"/>
                <w:highlight w:val="none"/>
                <w:u w:val="none"/>
                <w:lang w:val="en-US" w:eastAsia="zh-CN"/>
              </w:rPr>
              <w:t>21</w:t>
            </w:r>
          </w:p>
        </w:tc>
        <w:tc>
          <w:tcPr>
            <w:tcW w:w="301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1F3F19B">
            <w:pPr>
              <w:jc w:val="center"/>
              <w:rPr>
                <w:rFonts w:hint="eastAsia" w:ascii="仿宋" w:hAnsi="仿宋" w:eastAsia="仿宋" w:cs="仿宋"/>
                <w:b/>
                <w:bCs/>
                <w:i w:val="0"/>
                <w:iCs w:val="0"/>
                <w:color w:val="auto"/>
                <w:sz w:val="24"/>
                <w:szCs w:val="24"/>
                <w:highlight w:val="none"/>
                <w:u w:val="none"/>
              </w:rPr>
            </w:pPr>
          </w:p>
        </w:tc>
        <w:tc>
          <w:tcPr>
            <w:tcW w:w="17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E23D1">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甲壁微循环检测仪</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BC1DB">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D903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0.2</w:t>
            </w:r>
          </w:p>
        </w:tc>
        <w:tc>
          <w:tcPr>
            <w:tcW w:w="15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D693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0.2</w:t>
            </w:r>
          </w:p>
        </w:tc>
      </w:tr>
      <w:tr w14:paraId="299DD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8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579DC">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22</w:t>
            </w:r>
          </w:p>
        </w:tc>
        <w:tc>
          <w:tcPr>
            <w:tcW w:w="301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E5B447C">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default" w:ascii="仿宋" w:hAnsi="仿宋" w:eastAsia="仿宋" w:cs="仿宋"/>
                <w:b/>
                <w:bCs/>
                <w:i w:val="0"/>
                <w:iCs w:val="0"/>
                <w:color w:val="auto"/>
                <w:kern w:val="0"/>
                <w:sz w:val="24"/>
                <w:szCs w:val="24"/>
                <w:highlight w:val="none"/>
                <w:u w:val="none"/>
                <w:lang w:val="en-US" w:eastAsia="zh-CN" w:bidi="ar"/>
              </w:rPr>
              <w:t>康复科门诊</w:t>
            </w:r>
          </w:p>
        </w:tc>
        <w:tc>
          <w:tcPr>
            <w:tcW w:w="17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A3916">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生物反馈电刺激工作站</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8DAF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4141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4.9</w:t>
            </w:r>
          </w:p>
        </w:tc>
        <w:tc>
          <w:tcPr>
            <w:tcW w:w="15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7C08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4.9</w:t>
            </w:r>
          </w:p>
        </w:tc>
      </w:tr>
      <w:tr w14:paraId="794E1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8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9858A">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23</w:t>
            </w:r>
          </w:p>
        </w:tc>
        <w:tc>
          <w:tcPr>
            <w:tcW w:w="301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046075B">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p>
        </w:tc>
        <w:tc>
          <w:tcPr>
            <w:tcW w:w="17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035B8">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olor w:val="auto"/>
                <w:sz w:val="24"/>
                <w:highlight w:val="none"/>
              </w:rPr>
              <w:t>●</w:t>
            </w:r>
            <w:r>
              <w:rPr>
                <w:rFonts w:hint="default" w:ascii="仿宋" w:hAnsi="仿宋" w:eastAsia="仿宋" w:cs="仿宋"/>
                <w:i w:val="0"/>
                <w:iCs w:val="0"/>
                <w:color w:val="auto"/>
                <w:kern w:val="0"/>
                <w:sz w:val="24"/>
                <w:szCs w:val="24"/>
                <w:highlight w:val="none"/>
                <w:u w:val="none"/>
                <w:lang w:val="en-US" w:eastAsia="zh-CN" w:bidi="ar"/>
              </w:rPr>
              <w:t>无线神经肌肉刺激器</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2984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8BE0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15</w:t>
            </w:r>
          </w:p>
        </w:tc>
        <w:tc>
          <w:tcPr>
            <w:tcW w:w="15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4527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15</w:t>
            </w:r>
          </w:p>
        </w:tc>
      </w:tr>
      <w:tr w14:paraId="374BE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8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AF146">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24</w:t>
            </w:r>
          </w:p>
        </w:tc>
        <w:tc>
          <w:tcPr>
            <w:tcW w:w="301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BC98043">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default" w:ascii="仿宋" w:hAnsi="仿宋" w:eastAsia="仿宋" w:cs="仿宋"/>
                <w:b/>
                <w:bCs/>
                <w:i w:val="0"/>
                <w:iCs w:val="0"/>
                <w:color w:val="auto"/>
                <w:kern w:val="0"/>
                <w:sz w:val="24"/>
                <w:szCs w:val="24"/>
                <w:highlight w:val="none"/>
                <w:u w:val="none"/>
                <w:lang w:val="en-US" w:eastAsia="zh-CN" w:bidi="ar"/>
              </w:rPr>
              <w:t>康复科</w:t>
            </w:r>
          </w:p>
        </w:tc>
        <w:tc>
          <w:tcPr>
            <w:tcW w:w="17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7999F4">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经皮神经电刺激仪</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6F62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96C1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1.4</w:t>
            </w:r>
          </w:p>
        </w:tc>
        <w:tc>
          <w:tcPr>
            <w:tcW w:w="15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5E3A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2.8</w:t>
            </w:r>
          </w:p>
        </w:tc>
      </w:tr>
      <w:tr w14:paraId="37243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9" w:hRule="atLeast"/>
          <w:jc w:val="center"/>
        </w:trPr>
        <w:tc>
          <w:tcPr>
            <w:tcW w:w="8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46C04">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25</w:t>
            </w:r>
          </w:p>
        </w:tc>
        <w:tc>
          <w:tcPr>
            <w:tcW w:w="301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AD51D3E">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p>
        </w:tc>
        <w:tc>
          <w:tcPr>
            <w:tcW w:w="17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86F7E">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正中神经与肌电反馈电刺激仪（促醒）</w:t>
            </w:r>
          </w:p>
        </w:tc>
        <w:tc>
          <w:tcPr>
            <w:tcW w:w="9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D061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7474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4.5</w:t>
            </w:r>
          </w:p>
        </w:tc>
        <w:tc>
          <w:tcPr>
            <w:tcW w:w="15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2275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4.5</w:t>
            </w:r>
          </w:p>
        </w:tc>
      </w:tr>
    </w:tbl>
    <w:p w14:paraId="041B07D3">
      <w:pPr>
        <w:spacing w:line="360" w:lineRule="auto"/>
        <w:ind w:firstLine="480" w:firstLineChars="200"/>
        <w:jc w:val="left"/>
        <w:rPr>
          <w:rFonts w:hint="default" w:ascii="仿宋" w:hAnsi="仿宋" w:eastAsia="仿宋" w:cs="Times New Roman"/>
          <w:color w:val="auto"/>
          <w:sz w:val="24"/>
          <w:szCs w:val="24"/>
          <w:highlight w:val="none"/>
          <w:lang w:val="en-US" w:eastAsia="zh-CN"/>
        </w:rPr>
      </w:pPr>
      <w:r>
        <w:rPr>
          <w:rFonts w:hint="eastAsia" w:ascii="仿宋" w:hAnsi="仿宋" w:eastAsia="仿宋" w:cs="Times New Roman"/>
          <w:color w:val="auto"/>
          <w:sz w:val="24"/>
          <w:szCs w:val="24"/>
          <w:highlight w:val="none"/>
          <w:lang w:val="en-US" w:eastAsia="zh-CN"/>
        </w:rPr>
        <w:t>2.2采购需求</w:t>
      </w:r>
    </w:p>
    <w:tbl>
      <w:tblPr>
        <w:tblStyle w:val="23"/>
        <w:tblW w:w="10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1278"/>
        <w:gridCol w:w="5415"/>
        <w:gridCol w:w="1042"/>
        <w:gridCol w:w="722"/>
        <w:gridCol w:w="1145"/>
      </w:tblGrid>
      <w:tr w14:paraId="34D3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64" w:type="dxa"/>
            <w:noWrap/>
            <w:vAlign w:val="center"/>
          </w:tcPr>
          <w:p w14:paraId="31222C51">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bookmarkStart w:id="8" w:name="_Toc73790571"/>
            <w:bookmarkStart w:id="9" w:name="_Toc18742"/>
            <w:r>
              <w:rPr>
                <w:rFonts w:hint="eastAsia" w:ascii="仿宋" w:hAnsi="仿宋" w:eastAsia="仿宋" w:cs="仿宋"/>
                <w:i w:val="0"/>
                <w:iCs w:val="0"/>
                <w:color w:val="auto"/>
                <w:kern w:val="0"/>
                <w:sz w:val="24"/>
                <w:szCs w:val="24"/>
                <w:highlight w:val="none"/>
                <w:u w:val="none"/>
                <w:lang w:val="en-US" w:eastAsia="zh-CN" w:bidi="ar"/>
              </w:rPr>
              <w:t>序号</w:t>
            </w:r>
          </w:p>
        </w:tc>
        <w:tc>
          <w:tcPr>
            <w:tcW w:w="1278" w:type="dxa"/>
            <w:noWrap/>
            <w:vAlign w:val="center"/>
          </w:tcPr>
          <w:p w14:paraId="5F385497">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货物名称</w:t>
            </w:r>
          </w:p>
        </w:tc>
        <w:tc>
          <w:tcPr>
            <w:tcW w:w="5415" w:type="dxa"/>
            <w:noWrap/>
            <w:vAlign w:val="center"/>
          </w:tcPr>
          <w:p w14:paraId="258BE298">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技术参数</w:t>
            </w:r>
          </w:p>
        </w:tc>
        <w:tc>
          <w:tcPr>
            <w:tcW w:w="1042" w:type="dxa"/>
            <w:noWrap/>
            <w:vAlign w:val="center"/>
          </w:tcPr>
          <w:p w14:paraId="3E9D792E">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数量</w:t>
            </w:r>
          </w:p>
        </w:tc>
        <w:tc>
          <w:tcPr>
            <w:tcW w:w="722" w:type="dxa"/>
            <w:noWrap/>
            <w:vAlign w:val="center"/>
          </w:tcPr>
          <w:p w14:paraId="273E1EB4">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单位</w:t>
            </w:r>
          </w:p>
        </w:tc>
        <w:tc>
          <w:tcPr>
            <w:tcW w:w="1145" w:type="dxa"/>
            <w:noWrap/>
            <w:vAlign w:val="center"/>
          </w:tcPr>
          <w:p w14:paraId="1CE2D12C">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控制单价（万元）</w:t>
            </w:r>
          </w:p>
        </w:tc>
      </w:tr>
      <w:tr w14:paraId="658B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2C6327CC">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278" w:type="dxa"/>
            <w:noWrap/>
            <w:vAlign w:val="center"/>
          </w:tcPr>
          <w:p w14:paraId="64732612">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压缩式雾化机</w:t>
            </w:r>
          </w:p>
        </w:tc>
        <w:tc>
          <w:tcPr>
            <w:tcW w:w="5415" w:type="dxa"/>
            <w:noWrap/>
            <w:vAlign w:val="center"/>
          </w:tcPr>
          <w:p w14:paraId="7044FB68">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1.雾化器残留液量≤1ml；</w:t>
            </w:r>
          </w:p>
          <w:p w14:paraId="495EB083">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2.雾粒分布:1-5μm雾粒所占比例≥60%；</w:t>
            </w:r>
          </w:p>
          <w:p w14:paraId="20DB9182">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3.噪音:≤65db；</w:t>
            </w:r>
          </w:p>
          <w:p w14:paraId="2BD8E45E">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4.平均雾化率:≥0.3ml/min；</w:t>
            </w:r>
          </w:p>
          <w:p w14:paraId="18017D6D">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5.工作气压:60kPa~ 150kPa；</w:t>
            </w:r>
          </w:p>
          <w:p w14:paraId="50EB2CF3">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6.工作气体流量≥5L/min；</w:t>
            </w:r>
          </w:p>
        </w:tc>
        <w:tc>
          <w:tcPr>
            <w:tcW w:w="1042" w:type="dxa"/>
            <w:noWrap/>
            <w:vAlign w:val="center"/>
          </w:tcPr>
          <w:p w14:paraId="4F838F40">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w:t>
            </w:r>
          </w:p>
        </w:tc>
        <w:tc>
          <w:tcPr>
            <w:tcW w:w="722" w:type="dxa"/>
            <w:noWrap/>
            <w:vAlign w:val="center"/>
          </w:tcPr>
          <w:p w14:paraId="4BAD32FE">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noWrap/>
            <w:vAlign w:val="center"/>
          </w:tcPr>
          <w:p w14:paraId="1AEB9386">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0.20</w:t>
            </w:r>
          </w:p>
        </w:tc>
      </w:tr>
      <w:tr w14:paraId="7F6F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71355624">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278" w:type="dxa"/>
            <w:noWrap/>
            <w:vAlign w:val="center"/>
          </w:tcPr>
          <w:p w14:paraId="73A63B7E">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成人铅帽</w:t>
            </w:r>
          </w:p>
        </w:tc>
        <w:tc>
          <w:tcPr>
            <w:tcW w:w="5415" w:type="dxa"/>
            <w:noWrap/>
            <w:vAlign w:val="center"/>
          </w:tcPr>
          <w:p w14:paraId="2545BFC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≥0.5mmpb铅当量</w:t>
            </w:r>
          </w:p>
        </w:tc>
        <w:tc>
          <w:tcPr>
            <w:tcW w:w="1042" w:type="dxa"/>
            <w:noWrap/>
            <w:vAlign w:val="center"/>
          </w:tcPr>
          <w:p w14:paraId="1CD49AA4">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w:t>
            </w:r>
          </w:p>
        </w:tc>
        <w:tc>
          <w:tcPr>
            <w:tcW w:w="722" w:type="dxa"/>
            <w:noWrap/>
            <w:vAlign w:val="center"/>
          </w:tcPr>
          <w:p w14:paraId="18978027">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个</w:t>
            </w:r>
          </w:p>
        </w:tc>
        <w:tc>
          <w:tcPr>
            <w:tcW w:w="1145" w:type="dxa"/>
            <w:noWrap/>
            <w:vAlign w:val="center"/>
          </w:tcPr>
          <w:p w14:paraId="000E81D1">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 xml:space="preserve">0.0100 </w:t>
            </w:r>
          </w:p>
        </w:tc>
      </w:tr>
      <w:tr w14:paraId="05E4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390F5043">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w:t>
            </w:r>
          </w:p>
        </w:tc>
        <w:tc>
          <w:tcPr>
            <w:tcW w:w="1278" w:type="dxa"/>
            <w:noWrap/>
            <w:vAlign w:val="center"/>
          </w:tcPr>
          <w:p w14:paraId="2BC97D02">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异型铅围脖</w:t>
            </w:r>
          </w:p>
        </w:tc>
        <w:tc>
          <w:tcPr>
            <w:tcW w:w="5415" w:type="dxa"/>
            <w:noWrap/>
            <w:vAlign w:val="center"/>
          </w:tcPr>
          <w:p w14:paraId="27812E1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1.≥0.5mmpb铅当量</w:t>
            </w:r>
          </w:p>
          <w:p w14:paraId="497110A4">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2.大领</w:t>
            </w:r>
          </w:p>
        </w:tc>
        <w:tc>
          <w:tcPr>
            <w:tcW w:w="1042" w:type="dxa"/>
            <w:noWrap/>
            <w:vAlign w:val="center"/>
          </w:tcPr>
          <w:p w14:paraId="0874B765">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w:t>
            </w:r>
          </w:p>
        </w:tc>
        <w:tc>
          <w:tcPr>
            <w:tcW w:w="722" w:type="dxa"/>
            <w:noWrap/>
            <w:vAlign w:val="center"/>
          </w:tcPr>
          <w:p w14:paraId="236E4C43">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件</w:t>
            </w:r>
          </w:p>
        </w:tc>
        <w:tc>
          <w:tcPr>
            <w:tcW w:w="1145" w:type="dxa"/>
            <w:noWrap/>
            <w:vAlign w:val="center"/>
          </w:tcPr>
          <w:p w14:paraId="7FF15899">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 xml:space="preserve">0.0100 </w:t>
            </w:r>
          </w:p>
        </w:tc>
      </w:tr>
      <w:tr w14:paraId="0C0D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28046149">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1278" w:type="dxa"/>
            <w:noWrap/>
            <w:vAlign w:val="center"/>
          </w:tcPr>
          <w:p w14:paraId="608BE3D5">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儿童铅帽</w:t>
            </w:r>
          </w:p>
        </w:tc>
        <w:tc>
          <w:tcPr>
            <w:tcW w:w="5415" w:type="dxa"/>
            <w:noWrap/>
            <w:vAlign w:val="center"/>
          </w:tcPr>
          <w:p w14:paraId="0CF17FD2">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≥0.5mmpb铅当量</w:t>
            </w:r>
          </w:p>
        </w:tc>
        <w:tc>
          <w:tcPr>
            <w:tcW w:w="1042" w:type="dxa"/>
            <w:noWrap/>
            <w:vAlign w:val="center"/>
          </w:tcPr>
          <w:p w14:paraId="64561327">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w:t>
            </w:r>
          </w:p>
        </w:tc>
        <w:tc>
          <w:tcPr>
            <w:tcW w:w="722" w:type="dxa"/>
            <w:noWrap/>
            <w:vAlign w:val="center"/>
          </w:tcPr>
          <w:p w14:paraId="4482BD51">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个</w:t>
            </w:r>
          </w:p>
        </w:tc>
        <w:tc>
          <w:tcPr>
            <w:tcW w:w="1145" w:type="dxa"/>
            <w:noWrap/>
            <w:vAlign w:val="center"/>
          </w:tcPr>
          <w:p w14:paraId="30A43CC3">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 xml:space="preserve">0.0080 </w:t>
            </w:r>
          </w:p>
        </w:tc>
      </w:tr>
      <w:tr w14:paraId="2F1C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0B4AA06A">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w:t>
            </w:r>
          </w:p>
        </w:tc>
        <w:tc>
          <w:tcPr>
            <w:tcW w:w="1278" w:type="dxa"/>
            <w:noWrap/>
            <w:vAlign w:val="center"/>
          </w:tcPr>
          <w:p w14:paraId="6E7CD871">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儿童铅围脖</w:t>
            </w:r>
          </w:p>
        </w:tc>
        <w:tc>
          <w:tcPr>
            <w:tcW w:w="5415" w:type="dxa"/>
            <w:noWrap/>
            <w:vAlign w:val="center"/>
          </w:tcPr>
          <w:p w14:paraId="7F4D995E">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≥0.5mmpb铅当量</w:t>
            </w:r>
          </w:p>
        </w:tc>
        <w:tc>
          <w:tcPr>
            <w:tcW w:w="1042" w:type="dxa"/>
            <w:noWrap/>
            <w:vAlign w:val="center"/>
          </w:tcPr>
          <w:p w14:paraId="1872688F">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w:t>
            </w:r>
          </w:p>
        </w:tc>
        <w:tc>
          <w:tcPr>
            <w:tcW w:w="722" w:type="dxa"/>
            <w:noWrap/>
            <w:vAlign w:val="center"/>
          </w:tcPr>
          <w:p w14:paraId="04C44282">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件</w:t>
            </w:r>
          </w:p>
        </w:tc>
        <w:tc>
          <w:tcPr>
            <w:tcW w:w="1145" w:type="dxa"/>
            <w:noWrap/>
            <w:vAlign w:val="center"/>
          </w:tcPr>
          <w:p w14:paraId="1A31BBBD">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 xml:space="preserve">0.0080 </w:t>
            </w:r>
          </w:p>
        </w:tc>
      </w:tr>
      <w:tr w14:paraId="6138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27C92C50">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w:t>
            </w:r>
          </w:p>
        </w:tc>
        <w:tc>
          <w:tcPr>
            <w:tcW w:w="1278" w:type="dxa"/>
            <w:noWrap/>
            <w:vAlign w:val="center"/>
          </w:tcPr>
          <w:p w14:paraId="2C694293">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成人无袖一体铅衣</w:t>
            </w:r>
          </w:p>
        </w:tc>
        <w:tc>
          <w:tcPr>
            <w:tcW w:w="5415" w:type="dxa"/>
            <w:noWrap/>
            <w:vAlign w:val="center"/>
          </w:tcPr>
          <w:p w14:paraId="68830A7B">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1.≥0.5mmpb铅当量；</w:t>
            </w:r>
          </w:p>
          <w:p w14:paraId="7F9D96DC">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2.无袖；</w:t>
            </w:r>
          </w:p>
          <w:p w14:paraId="556421F0">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3.包裆部前后。</w:t>
            </w:r>
          </w:p>
        </w:tc>
        <w:tc>
          <w:tcPr>
            <w:tcW w:w="1042" w:type="dxa"/>
            <w:noWrap/>
            <w:vAlign w:val="center"/>
          </w:tcPr>
          <w:p w14:paraId="416D65B7">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w:t>
            </w:r>
          </w:p>
        </w:tc>
        <w:tc>
          <w:tcPr>
            <w:tcW w:w="722" w:type="dxa"/>
            <w:noWrap/>
            <w:vAlign w:val="center"/>
          </w:tcPr>
          <w:p w14:paraId="5E9B964E">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件</w:t>
            </w:r>
          </w:p>
        </w:tc>
        <w:tc>
          <w:tcPr>
            <w:tcW w:w="1145" w:type="dxa"/>
            <w:noWrap/>
            <w:vAlign w:val="center"/>
          </w:tcPr>
          <w:p w14:paraId="0106AF56">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 xml:space="preserve">0.1000 </w:t>
            </w:r>
          </w:p>
        </w:tc>
      </w:tr>
      <w:tr w14:paraId="15B1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07BA82A5">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w:t>
            </w:r>
          </w:p>
        </w:tc>
        <w:tc>
          <w:tcPr>
            <w:tcW w:w="1278" w:type="dxa"/>
            <w:noWrap/>
            <w:vAlign w:val="center"/>
          </w:tcPr>
          <w:p w14:paraId="3584CD3A">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铅三角巾</w:t>
            </w:r>
          </w:p>
        </w:tc>
        <w:tc>
          <w:tcPr>
            <w:tcW w:w="5415" w:type="dxa"/>
            <w:noWrap/>
            <w:vAlign w:val="center"/>
          </w:tcPr>
          <w:p w14:paraId="63676672">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≥0.5mmpb铅当量</w:t>
            </w:r>
          </w:p>
        </w:tc>
        <w:tc>
          <w:tcPr>
            <w:tcW w:w="1042" w:type="dxa"/>
            <w:noWrap/>
            <w:vAlign w:val="center"/>
          </w:tcPr>
          <w:p w14:paraId="19417EF6">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w:t>
            </w:r>
          </w:p>
        </w:tc>
        <w:tc>
          <w:tcPr>
            <w:tcW w:w="722" w:type="dxa"/>
            <w:noWrap/>
            <w:vAlign w:val="center"/>
          </w:tcPr>
          <w:p w14:paraId="5FB041E0">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件</w:t>
            </w:r>
          </w:p>
        </w:tc>
        <w:tc>
          <w:tcPr>
            <w:tcW w:w="1145" w:type="dxa"/>
            <w:noWrap/>
            <w:vAlign w:val="center"/>
          </w:tcPr>
          <w:p w14:paraId="3DB335AD">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 xml:space="preserve">0.0150 </w:t>
            </w:r>
          </w:p>
        </w:tc>
      </w:tr>
      <w:tr w14:paraId="7D72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5449371E">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c>
          <w:tcPr>
            <w:tcW w:w="1278" w:type="dxa"/>
            <w:noWrap/>
            <w:vAlign w:val="center"/>
          </w:tcPr>
          <w:p w14:paraId="5C761F9D">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铅方巾</w:t>
            </w:r>
          </w:p>
        </w:tc>
        <w:tc>
          <w:tcPr>
            <w:tcW w:w="5415" w:type="dxa"/>
            <w:noWrap/>
            <w:vAlign w:val="center"/>
          </w:tcPr>
          <w:p w14:paraId="508FD58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1.≥0.5mmpb铅当量；</w:t>
            </w:r>
          </w:p>
          <w:p w14:paraId="7EB38F3B">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2.规格：400*600mm。</w:t>
            </w:r>
          </w:p>
        </w:tc>
        <w:tc>
          <w:tcPr>
            <w:tcW w:w="1042" w:type="dxa"/>
            <w:noWrap/>
            <w:vAlign w:val="center"/>
          </w:tcPr>
          <w:p w14:paraId="01005855">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w:t>
            </w:r>
          </w:p>
        </w:tc>
        <w:tc>
          <w:tcPr>
            <w:tcW w:w="722" w:type="dxa"/>
            <w:noWrap/>
            <w:vAlign w:val="center"/>
          </w:tcPr>
          <w:p w14:paraId="2294FD85">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件</w:t>
            </w:r>
          </w:p>
        </w:tc>
        <w:tc>
          <w:tcPr>
            <w:tcW w:w="1145" w:type="dxa"/>
            <w:noWrap/>
            <w:vAlign w:val="center"/>
          </w:tcPr>
          <w:p w14:paraId="106C4BFF">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 xml:space="preserve">0.0150 </w:t>
            </w:r>
          </w:p>
        </w:tc>
      </w:tr>
      <w:tr w14:paraId="6490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60066E29">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w:t>
            </w:r>
          </w:p>
        </w:tc>
        <w:tc>
          <w:tcPr>
            <w:tcW w:w="1278" w:type="dxa"/>
            <w:noWrap/>
            <w:vAlign w:val="center"/>
          </w:tcPr>
          <w:p w14:paraId="6685D7CB">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铅毯</w:t>
            </w:r>
          </w:p>
        </w:tc>
        <w:tc>
          <w:tcPr>
            <w:tcW w:w="5415" w:type="dxa"/>
            <w:noWrap/>
            <w:vAlign w:val="center"/>
          </w:tcPr>
          <w:p w14:paraId="77BE9A91">
            <w:pPr>
              <w:keepNext w:val="0"/>
              <w:keepLines w:val="0"/>
              <w:widowControl/>
              <w:numPr>
                <w:ilvl w:val="0"/>
                <w:numId w:val="2"/>
              </w:numPr>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≥0.5mmpb铅当量；</w:t>
            </w:r>
          </w:p>
          <w:p w14:paraId="66821FF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2.规格：600*1500mm。</w:t>
            </w:r>
          </w:p>
        </w:tc>
        <w:tc>
          <w:tcPr>
            <w:tcW w:w="1042" w:type="dxa"/>
            <w:noWrap/>
            <w:vAlign w:val="center"/>
          </w:tcPr>
          <w:p w14:paraId="4B9CA740">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w:t>
            </w:r>
          </w:p>
        </w:tc>
        <w:tc>
          <w:tcPr>
            <w:tcW w:w="722" w:type="dxa"/>
            <w:noWrap/>
            <w:vAlign w:val="center"/>
          </w:tcPr>
          <w:p w14:paraId="249F2C22">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张</w:t>
            </w:r>
          </w:p>
        </w:tc>
        <w:tc>
          <w:tcPr>
            <w:tcW w:w="1145" w:type="dxa"/>
            <w:noWrap/>
            <w:vAlign w:val="center"/>
          </w:tcPr>
          <w:p w14:paraId="17FCD8D1">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 xml:space="preserve">0.0700 </w:t>
            </w:r>
          </w:p>
        </w:tc>
      </w:tr>
      <w:tr w14:paraId="072D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770CE88B">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w:t>
            </w:r>
          </w:p>
        </w:tc>
        <w:tc>
          <w:tcPr>
            <w:tcW w:w="1278" w:type="dxa"/>
            <w:noWrap/>
            <w:vAlign w:val="center"/>
          </w:tcPr>
          <w:p w14:paraId="6EEE8A95">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防护铅屏</w:t>
            </w:r>
          </w:p>
        </w:tc>
        <w:tc>
          <w:tcPr>
            <w:tcW w:w="5415" w:type="dxa"/>
            <w:noWrap/>
            <w:vAlign w:val="center"/>
          </w:tcPr>
          <w:p w14:paraId="2AACDD1C">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1.可移动屏风，宽约1000mm，高2000mm，铅当量≥2mmPb，耐酸耐碱防锈；</w:t>
            </w:r>
          </w:p>
          <w:p w14:paraId="54A8DA02">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2.屏风上应有铅玻璃，玻璃尺寸大约200*300mm,铅玻璃铅当量≥2mmPb。</w:t>
            </w:r>
          </w:p>
        </w:tc>
        <w:tc>
          <w:tcPr>
            <w:tcW w:w="1042" w:type="dxa"/>
            <w:noWrap/>
            <w:vAlign w:val="center"/>
          </w:tcPr>
          <w:p w14:paraId="3151507D">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722" w:type="dxa"/>
            <w:noWrap/>
            <w:vAlign w:val="center"/>
          </w:tcPr>
          <w:p w14:paraId="4B3F49EE">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个</w:t>
            </w:r>
          </w:p>
        </w:tc>
        <w:tc>
          <w:tcPr>
            <w:tcW w:w="1145" w:type="dxa"/>
            <w:noWrap/>
            <w:vAlign w:val="center"/>
          </w:tcPr>
          <w:p w14:paraId="64E5DE8E">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0.5000</w:t>
            </w:r>
          </w:p>
        </w:tc>
      </w:tr>
      <w:tr w14:paraId="0CC1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61FF45ED">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w:t>
            </w:r>
          </w:p>
        </w:tc>
        <w:tc>
          <w:tcPr>
            <w:tcW w:w="1278" w:type="dxa"/>
            <w:noWrap/>
            <w:vAlign w:val="center"/>
          </w:tcPr>
          <w:p w14:paraId="3CCC2869">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轮椅</w:t>
            </w:r>
          </w:p>
        </w:tc>
        <w:tc>
          <w:tcPr>
            <w:tcW w:w="5415" w:type="dxa"/>
            <w:noWrap/>
            <w:vAlign w:val="center"/>
          </w:tcPr>
          <w:p w14:paraId="3A95E8EB">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1.总长≥1000mm；</w:t>
            </w:r>
          </w:p>
          <w:p w14:paraId="1B1A3537">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2.总宽≥600mm；</w:t>
            </w:r>
          </w:p>
          <w:p w14:paraId="08A84183">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3.总高≥850mm；</w:t>
            </w:r>
          </w:p>
          <w:p w14:paraId="396CD123">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4.折叠宽度≤280mm；</w:t>
            </w:r>
          </w:p>
          <w:p w14:paraId="05AEAD2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5.靠背高度≥400mm；</w:t>
            </w:r>
          </w:p>
          <w:p w14:paraId="5EDDD1DE">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6.座位宽度≥430mm；</w:t>
            </w:r>
          </w:p>
          <w:p w14:paraId="56C1A139">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7.座位深度≥400mm；</w:t>
            </w:r>
          </w:p>
          <w:p w14:paraId="6A2513C3">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8.前座高度≥470mm；</w:t>
            </w:r>
          </w:p>
          <w:p w14:paraId="5F46DBDD">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9.后座高度≥445mm；</w:t>
            </w:r>
          </w:p>
          <w:p w14:paraId="6AC3D37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10.扶手高度≥310mm；</w:t>
            </w:r>
          </w:p>
          <w:p w14:paraId="50AA5BED">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11.前轮直径≥7寸；</w:t>
            </w:r>
          </w:p>
          <w:p w14:paraId="60C0CECC">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12.后轮直径≥24寸钢圈高弹性实心PU胎；</w:t>
            </w:r>
          </w:p>
          <w:p w14:paraId="14ACE56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13.最大载荷≥100kg；</w:t>
            </w:r>
          </w:p>
          <w:p w14:paraId="7EB9DA36">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14.净重量≥14kg；</w:t>
            </w:r>
          </w:p>
          <w:p w14:paraId="4757AD9E">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15.材质：不锈钢；</w:t>
            </w:r>
          </w:p>
          <w:p w14:paraId="5C3D2C36">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16.座靠垫：采用阻燃牛津纺材质，缝制牢固平整，配安全带。</w:t>
            </w:r>
          </w:p>
        </w:tc>
        <w:tc>
          <w:tcPr>
            <w:tcW w:w="1042" w:type="dxa"/>
            <w:noWrap/>
            <w:vAlign w:val="center"/>
          </w:tcPr>
          <w:p w14:paraId="4A68E7AC">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w:t>
            </w:r>
          </w:p>
        </w:tc>
        <w:tc>
          <w:tcPr>
            <w:tcW w:w="722" w:type="dxa"/>
            <w:noWrap/>
            <w:vAlign w:val="center"/>
          </w:tcPr>
          <w:p w14:paraId="6CBA725C">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noWrap/>
            <w:vAlign w:val="center"/>
          </w:tcPr>
          <w:p w14:paraId="5A5146BA">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0.065</w:t>
            </w:r>
          </w:p>
        </w:tc>
      </w:tr>
      <w:tr w14:paraId="3494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192CF3B8">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w:t>
            </w:r>
          </w:p>
        </w:tc>
        <w:tc>
          <w:tcPr>
            <w:tcW w:w="1278" w:type="dxa"/>
            <w:noWrap/>
            <w:vAlign w:val="center"/>
          </w:tcPr>
          <w:p w14:paraId="50E99C9E">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紫外线消毒车</w:t>
            </w:r>
          </w:p>
        </w:tc>
        <w:tc>
          <w:tcPr>
            <w:tcW w:w="5415" w:type="dxa"/>
            <w:noWrap/>
            <w:vAlign w:val="center"/>
          </w:tcPr>
          <w:p w14:paraId="0FE064E5">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1、机身需采用碳钢制作</w:t>
            </w:r>
            <w:r>
              <w:rPr>
                <w:rFonts w:hint="eastAsia" w:ascii="仿宋" w:hAnsi="仿宋" w:eastAsia="仿宋" w:cs="仿宋"/>
                <w:color w:val="auto"/>
                <w:sz w:val="24"/>
                <w:szCs w:val="24"/>
                <w:highlight w:val="none"/>
                <w:lang w:eastAsia="zh-CN"/>
              </w:rPr>
              <w:t>；</w:t>
            </w:r>
          </w:p>
          <w:p w14:paraId="2F4E01ED">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2、灯臂可 0 °-180 °旋转，实现多角度消毒</w:t>
            </w:r>
            <w:r>
              <w:rPr>
                <w:rFonts w:hint="eastAsia" w:ascii="仿宋" w:hAnsi="仿宋" w:eastAsia="仿宋" w:cs="仿宋"/>
                <w:color w:val="auto"/>
                <w:sz w:val="24"/>
                <w:szCs w:val="24"/>
                <w:highlight w:val="none"/>
                <w:lang w:eastAsia="zh-CN"/>
              </w:rPr>
              <w:t>；</w:t>
            </w:r>
          </w:p>
          <w:p w14:paraId="33E2A4B5">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3、机器消毒时间 0-120min 可调，延时 30s 启动</w:t>
            </w:r>
            <w:r>
              <w:rPr>
                <w:rFonts w:hint="eastAsia" w:ascii="仿宋" w:hAnsi="仿宋" w:eastAsia="仿宋" w:cs="仿宋"/>
                <w:color w:val="auto"/>
                <w:sz w:val="24"/>
                <w:szCs w:val="24"/>
                <w:highlight w:val="none"/>
                <w:lang w:eastAsia="zh-CN"/>
              </w:rPr>
              <w:t>；</w:t>
            </w:r>
          </w:p>
          <w:p w14:paraId="32720CD9">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4、距离灯管 1m 处的辐照强度≥120uW/cm2</w:t>
            </w:r>
            <w:r>
              <w:rPr>
                <w:rFonts w:hint="eastAsia" w:ascii="仿宋" w:hAnsi="仿宋" w:eastAsia="仿宋" w:cs="仿宋"/>
                <w:color w:val="auto"/>
                <w:sz w:val="24"/>
                <w:szCs w:val="24"/>
                <w:highlight w:val="none"/>
                <w:lang w:eastAsia="zh-CN"/>
              </w:rPr>
              <w:t>；</w:t>
            </w:r>
          </w:p>
          <w:p w14:paraId="6FBAED89">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5、底部安装万向脚轮</w:t>
            </w:r>
            <w:r>
              <w:rPr>
                <w:rFonts w:hint="eastAsia" w:ascii="仿宋" w:hAnsi="仿宋" w:eastAsia="仿宋" w:cs="仿宋"/>
                <w:color w:val="auto"/>
                <w:sz w:val="24"/>
                <w:szCs w:val="24"/>
                <w:highlight w:val="none"/>
                <w:lang w:eastAsia="zh-CN"/>
              </w:rPr>
              <w:t>；</w:t>
            </w:r>
          </w:p>
          <w:p w14:paraId="02D56CCB">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6、灯臂固定采用机械结构</w:t>
            </w:r>
            <w:r>
              <w:rPr>
                <w:rFonts w:hint="eastAsia" w:ascii="仿宋" w:hAnsi="仿宋" w:eastAsia="仿宋" w:cs="仿宋"/>
                <w:color w:val="auto"/>
                <w:sz w:val="24"/>
                <w:szCs w:val="24"/>
                <w:highlight w:val="none"/>
                <w:lang w:eastAsia="zh-CN"/>
              </w:rPr>
              <w:t>；</w:t>
            </w:r>
          </w:p>
          <w:p w14:paraId="786BCB8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color w:val="auto"/>
                <w:sz w:val="24"/>
                <w:szCs w:val="24"/>
                <w:highlight w:val="none"/>
              </w:rPr>
              <w:t>7、设有定时消毒装置和延时启动装置</w:t>
            </w:r>
            <w:r>
              <w:rPr>
                <w:rFonts w:hint="eastAsia" w:ascii="仿宋" w:hAnsi="仿宋" w:eastAsia="仿宋" w:cs="仿宋"/>
                <w:color w:val="auto"/>
                <w:sz w:val="24"/>
                <w:szCs w:val="24"/>
                <w:highlight w:val="none"/>
                <w:lang w:eastAsia="zh-CN"/>
              </w:rPr>
              <w:t>。</w:t>
            </w:r>
          </w:p>
        </w:tc>
        <w:tc>
          <w:tcPr>
            <w:tcW w:w="1042" w:type="dxa"/>
            <w:noWrap/>
            <w:vAlign w:val="center"/>
          </w:tcPr>
          <w:p w14:paraId="720AD011">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w:t>
            </w:r>
          </w:p>
        </w:tc>
        <w:tc>
          <w:tcPr>
            <w:tcW w:w="722" w:type="dxa"/>
            <w:noWrap/>
            <w:vAlign w:val="center"/>
          </w:tcPr>
          <w:p w14:paraId="48C7C473">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5063A49E">
            <w:pPr>
              <w:keepNext w:val="0"/>
              <w:keepLines w:val="0"/>
              <w:widowControl/>
              <w:suppressLineNumbers w:val="0"/>
              <w:spacing w:line="360" w:lineRule="auto"/>
              <w:jc w:val="center"/>
              <w:textAlignment w:val="center"/>
              <w:outlineLvl w:val="9"/>
              <w:rPr>
                <w:rFonts w:hint="eastAsia" w:ascii="宋体" w:hAnsi="宋体" w:eastAsia="宋体" w:cs="宋体"/>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0.058</w:t>
            </w:r>
          </w:p>
        </w:tc>
      </w:tr>
      <w:tr w14:paraId="43EC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2E4F3D0D">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w:t>
            </w:r>
          </w:p>
        </w:tc>
        <w:tc>
          <w:tcPr>
            <w:tcW w:w="1278" w:type="dxa"/>
            <w:noWrap/>
            <w:vAlign w:val="center"/>
          </w:tcPr>
          <w:p w14:paraId="703B0D11">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阅片灯（2联）</w:t>
            </w:r>
          </w:p>
        </w:tc>
        <w:tc>
          <w:tcPr>
            <w:tcW w:w="5415" w:type="dxa"/>
            <w:noWrap/>
            <w:vAlign w:val="center"/>
          </w:tcPr>
          <w:p w14:paraId="139CFECD">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1、符合行业标准 YY/T0610-2007(《医学影像照片观察装置通用技术条件》)</w:t>
            </w:r>
            <w:r>
              <w:rPr>
                <w:rFonts w:hint="eastAsia" w:ascii="仿宋" w:hAnsi="仿宋" w:eastAsia="仿宋" w:cs="仿宋"/>
                <w:color w:val="auto"/>
                <w:sz w:val="24"/>
                <w:highlight w:val="none"/>
                <w:lang w:eastAsia="zh-CN"/>
              </w:rPr>
              <w:t>；</w:t>
            </w:r>
          </w:p>
          <w:p w14:paraId="1FD58E8C">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2、光源：采用LED</w:t>
            </w:r>
            <w:r>
              <w:rPr>
                <w:rFonts w:hint="eastAsia" w:ascii="仿宋" w:hAnsi="仿宋" w:eastAsia="仿宋" w:cs="仿宋"/>
                <w:color w:val="auto"/>
                <w:sz w:val="24"/>
                <w:highlight w:val="none"/>
                <w:lang w:val="en-US" w:eastAsia="zh-CN"/>
              </w:rPr>
              <w:t>灯</w:t>
            </w:r>
            <w:r>
              <w:rPr>
                <w:rFonts w:hint="eastAsia" w:ascii="仿宋" w:hAnsi="仿宋" w:eastAsia="仿宋" w:cs="仿宋"/>
                <w:color w:val="auto"/>
                <w:sz w:val="24"/>
                <w:highlight w:val="none"/>
              </w:rPr>
              <w:t>，寿命≥十万小时。色温≥6500K</w:t>
            </w:r>
            <w:r>
              <w:rPr>
                <w:rFonts w:hint="eastAsia" w:ascii="仿宋" w:hAnsi="仿宋" w:eastAsia="仿宋" w:cs="仿宋"/>
                <w:color w:val="auto"/>
                <w:sz w:val="24"/>
                <w:highlight w:val="none"/>
                <w:lang w:eastAsia="zh-CN"/>
              </w:rPr>
              <w:t>；</w:t>
            </w:r>
          </w:p>
          <w:p w14:paraId="4CFF90DB">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3、光强分布特性：亮度分布均匀，无闪烁、无暗区、无视觉疲劳</w:t>
            </w:r>
            <w:r>
              <w:rPr>
                <w:rFonts w:hint="eastAsia" w:ascii="仿宋" w:hAnsi="仿宋" w:eastAsia="仿宋" w:cs="仿宋"/>
                <w:color w:val="auto"/>
                <w:sz w:val="24"/>
                <w:highlight w:val="none"/>
                <w:lang w:eastAsia="zh-CN"/>
              </w:rPr>
              <w:t>；</w:t>
            </w:r>
          </w:p>
          <w:p w14:paraId="6A5A1D79">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4、照明方式：导光板侧入光式背光源</w:t>
            </w:r>
            <w:r>
              <w:rPr>
                <w:rFonts w:hint="eastAsia" w:ascii="仿宋" w:hAnsi="仿宋" w:eastAsia="仿宋" w:cs="仿宋"/>
                <w:color w:val="auto"/>
                <w:sz w:val="24"/>
                <w:highlight w:val="none"/>
                <w:lang w:eastAsia="zh-CN"/>
              </w:rPr>
              <w:t>；</w:t>
            </w:r>
          </w:p>
          <w:p w14:paraId="5F56AAA5">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5、观察屏材料采用的亚克力板和导光板具有超越玻璃的透光性,亮度均匀性≥90%，且持久耐用，不变形，不变色</w:t>
            </w:r>
            <w:r>
              <w:rPr>
                <w:rFonts w:hint="eastAsia" w:ascii="仿宋" w:hAnsi="仿宋" w:eastAsia="仿宋" w:cs="仿宋"/>
                <w:color w:val="auto"/>
                <w:sz w:val="24"/>
                <w:highlight w:val="none"/>
                <w:lang w:eastAsia="zh-CN"/>
              </w:rPr>
              <w:t>；</w:t>
            </w:r>
          </w:p>
          <w:p w14:paraId="6DF290A6">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6、夹片机构：滚针滚珠自锁式夹片机构或者硅胶夹片装置</w:t>
            </w:r>
            <w:r>
              <w:rPr>
                <w:rFonts w:hint="eastAsia" w:ascii="仿宋" w:hAnsi="仿宋" w:eastAsia="仿宋" w:cs="仿宋"/>
                <w:color w:val="auto"/>
                <w:sz w:val="24"/>
                <w:highlight w:val="none"/>
                <w:lang w:eastAsia="zh-CN"/>
              </w:rPr>
              <w:t>；</w:t>
            </w:r>
          </w:p>
          <w:p w14:paraId="44EF1A5F">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7、供电电源：宽电压优质内置电源</w:t>
            </w:r>
            <w:r>
              <w:rPr>
                <w:rFonts w:hint="eastAsia" w:ascii="仿宋" w:hAnsi="仿宋" w:eastAsia="仿宋" w:cs="仿宋"/>
                <w:color w:val="auto"/>
                <w:sz w:val="24"/>
                <w:highlight w:val="none"/>
                <w:lang w:eastAsia="zh-CN"/>
              </w:rPr>
              <w:t>；</w:t>
            </w:r>
          </w:p>
          <w:p w14:paraId="3C3DD04C">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8、亮度调节范围：≥10-100﹪</w:t>
            </w:r>
            <w:r>
              <w:rPr>
                <w:rFonts w:hint="eastAsia" w:ascii="仿宋" w:hAnsi="仿宋" w:eastAsia="仿宋" w:cs="仿宋"/>
                <w:color w:val="auto"/>
                <w:sz w:val="24"/>
                <w:highlight w:val="none"/>
                <w:lang w:eastAsia="zh-CN"/>
              </w:rPr>
              <w:t>；</w:t>
            </w:r>
          </w:p>
          <w:p w14:paraId="509311DE">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9、观察屏尺寸（mm）：可阅两联17*14英寸胶片</w:t>
            </w:r>
            <w:r>
              <w:rPr>
                <w:rFonts w:hint="eastAsia" w:ascii="仿宋" w:hAnsi="仿宋" w:eastAsia="仿宋" w:cs="仿宋"/>
                <w:color w:val="auto"/>
                <w:sz w:val="24"/>
                <w:highlight w:val="none"/>
                <w:lang w:eastAsia="zh-CN"/>
              </w:rPr>
              <w:t>；</w:t>
            </w:r>
          </w:p>
          <w:p w14:paraId="6A465975">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10、外壳结构：铝合金外框；散热系数高铝底板</w:t>
            </w:r>
            <w:r>
              <w:rPr>
                <w:rFonts w:hint="eastAsia" w:ascii="仿宋" w:hAnsi="仿宋" w:eastAsia="仿宋" w:cs="仿宋"/>
                <w:color w:val="auto"/>
                <w:sz w:val="24"/>
                <w:highlight w:val="none"/>
                <w:lang w:eastAsia="zh-CN"/>
              </w:rPr>
              <w:t>；</w:t>
            </w:r>
          </w:p>
          <w:p w14:paraId="4CF88F98">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11、整机厚度：≤25mm</w:t>
            </w:r>
            <w:r>
              <w:rPr>
                <w:rFonts w:hint="eastAsia" w:ascii="仿宋" w:hAnsi="仿宋" w:eastAsia="仿宋" w:cs="仿宋"/>
                <w:color w:val="auto"/>
                <w:sz w:val="24"/>
                <w:highlight w:val="none"/>
                <w:lang w:eastAsia="zh-CN"/>
              </w:rPr>
              <w:t>；</w:t>
            </w:r>
          </w:p>
          <w:p w14:paraId="2B06603F">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12、具有胶片导入机构</w:t>
            </w:r>
            <w:r>
              <w:rPr>
                <w:rFonts w:hint="eastAsia" w:ascii="仿宋" w:hAnsi="仿宋" w:eastAsia="仿宋" w:cs="仿宋"/>
                <w:color w:val="auto"/>
                <w:sz w:val="24"/>
                <w:highlight w:val="none"/>
                <w:lang w:eastAsia="zh-CN"/>
              </w:rPr>
              <w:t>；</w:t>
            </w:r>
          </w:p>
          <w:p w14:paraId="0CBA9D0E">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13、具有分联插片自动感应控制及数字电子方式调光技术</w:t>
            </w:r>
            <w:r>
              <w:rPr>
                <w:rFonts w:hint="eastAsia" w:ascii="仿宋" w:hAnsi="仿宋" w:eastAsia="仿宋" w:cs="仿宋"/>
                <w:color w:val="auto"/>
                <w:sz w:val="24"/>
                <w:highlight w:val="none"/>
                <w:lang w:eastAsia="zh-CN"/>
              </w:rPr>
              <w:t>；</w:t>
            </w:r>
          </w:p>
          <w:p w14:paraId="6165CB26">
            <w:pPr>
              <w:spacing w:before="0" w:line="400" w:lineRule="exact"/>
              <w:ind w:right="0" w:rightChars="0"/>
              <w:jc w:val="left"/>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14、观察屏中心最高亮度：≥4000cd/m2。</w:t>
            </w:r>
          </w:p>
        </w:tc>
        <w:tc>
          <w:tcPr>
            <w:tcW w:w="1042" w:type="dxa"/>
            <w:noWrap/>
            <w:vAlign w:val="center"/>
          </w:tcPr>
          <w:p w14:paraId="26404A99">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w:t>
            </w:r>
          </w:p>
        </w:tc>
        <w:tc>
          <w:tcPr>
            <w:tcW w:w="722" w:type="dxa"/>
            <w:noWrap/>
            <w:vAlign w:val="center"/>
          </w:tcPr>
          <w:p w14:paraId="5C39C093">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7D8BC934">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0.12</w:t>
            </w:r>
          </w:p>
        </w:tc>
      </w:tr>
      <w:tr w14:paraId="1D54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7CF23B24">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w:t>
            </w:r>
          </w:p>
        </w:tc>
        <w:tc>
          <w:tcPr>
            <w:tcW w:w="1278" w:type="dxa"/>
            <w:noWrap/>
            <w:vAlign w:val="center"/>
          </w:tcPr>
          <w:p w14:paraId="59E7A3F8">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阅片灯（4联）</w:t>
            </w:r>
          </w:p>
        </w:tc>
        <w:tc>
          <w:tcPr>
            <w:tcW w:w="5415" w:type="dxa"/>
            <w:noWrap/>
            <w:vAlign w:val="center"/>
          </w:tcPr>
          <w:p w14:paraId="7ABF26E8">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1、符合行业标准 YY/T0610-2007(《医学影像照片观察装置通用技术条件》)。</w:t>
            </w:r>
          </w:p>
          <w:p w14:paraId="35E5A9CF">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2、光源：采用LED</w:t>
            </w:r>
            <w:r>
              <w:rPr>
                <w:rFonts w:hint="eastAsia" w:ascii="仿宋" w:hAnsi="仿宋" w:eastAsia="仿宋" w:cs="仿宋"/>
                <w:color w:val="auto"/>
                <w:sz w:val="24"/>
                <w:highlight w:val="none"/>
                <w:lang w:val="en-US" w:eastAsia="zh-CN"/>
              </w:rPr>
              <w:t>灯</w:t>
            </w:r>
            <w:r>
              <w:rPr>
                <w:rFonts w:hint="eastAsia" w:ascii="仿宋" w:hAnsi="仿宋" w:eastAsia="仿宋" w:cs="仿宋"/>
                <w:color w:val="auto"/>
                <w:sz w:val="24"/>
                <w:highlight w:val="none"/>
              </w:rPr>
              <w:t>，寿命≥十万小时。色温≥6500K。</w:t>
            </w:r>
          </w:p>
          <w:p w14:paraId="21AC3E8C">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3、光强分布特性：亮度分布均匀，无闪烁、无暗区、无视觉疲劳。</w:t>
            </w:r>
          </w:p>
          <w:p w14:paraId="386ABE91">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4、照明方式：导光板侧入光式背光源。</w:t>
            </w:r>
          </w:p>
          <w:p w14:paraId="14E641C1">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5、观察屏材料采用的亚克力板和导光板具有超越玻璃的透光性,亮度均匀性≥90%</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且持久耐用，不变形，不变色。</w:t>
            </w:r>
          </w:p>
          <w:p w14:paraId="209F9B95">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6、夹片机构：滚针滚珠自锁式夹片机构或者硅胶夹片装置。</w:t>
            </w:r>
          </w:p>
          <w:p w14:paraId="77D6CBC5">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7、供电电源：宽电压内置电源。</w:t>
            </w:r>
          </w:p>
          <w:p w14:paraId="5EC43AED">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8、亮度调节范围：≥10-100﹪。</w:t>
            </w:r>
          </w:p>
          <w:p w14:paraId="5ED714C3">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9、观察屏尺寸（mm）：可阅四联17*14英寸胶片。</w:t>
            </w:r>
          </w:p>
          <w:p w14:paraId="228A0496">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10、外壳结构：铝合金外框；散热系数高铝底板。</w:t>
            </w:r>
          </w:p>
          <w:p w14:paraId="54430655">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11、整机厚度：≤25mm。</w:t>
            </w:r>
          </w:p>
          <w:p w14:paraId="0A3332E7">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12、具有胶片导入机构。</w:t>
            </w:r>
          </w:p>
          <w:p w14:paraId="6095A562">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13、具有分联插片自动感应控制及数字电子方式调光技术。</w:t>
            </w:r>
          </w:p>
          <w:p w14:paraId="257DCE01">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14、观察屏中心最高亮度：≥4000cd/m2。</w:t>
            </w:r>
          </w:p>
        </w:tc>
        <w:tc>
          <w:tcPr>
            <w:tcW w:w="1042" w:type="dxa"/>
            <w:noWrap/>
            <w:vAlign w:val="center"/>
          </w:tcPr>
          <w:p w14:paraId="7BEEC5E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722" w:type="dxa"/>
            <w:noWrap/>
            <w:vAlign w:val="center"/>
          </w:tcPr>
          <w:p w14:paraId="0A8E529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2E2A2993">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0.35</w:t>
            </w:r>
          </w:p>
        </w:tc>
      </w:tr>
      <w:tr w14:paraId="4AB2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10C3CABF">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w:t>
            </w:r>
          </w:p>
        </w:tc>
        <w:tc>
          <w:tcPr>
            <w:tcW w:w="1278" w:type="dxa"/>
            <w:noWrap/>
            <w:vAlign w:val="center"/>
          </w:tcPr>
          <w:p w14:paraId="3CF27295">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带电源吸痰器</w:t>
            </w:r>
          </w:p>
        </w:tc>
        <w:tc>
          <w:tcPr>
            <w:tcW w:w="5415" w:type="dxa"/>
            <w:noWrap/>
            <w:vAlign w:val="center"/>
          </w:tcPr>
          <w:p w14:paraId="6DFAAAE5">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1.主机重量≤3.5kg（含电池）</w:t>
            </w:r>
            <w:r>
              <w:rPr>
                <w:rFonts w:hint="eastAsia" w:ascii="仿宋" w:hAnsi="仿宋" w:eastAsia="仿宋" w:cs="仿宋"/>
                <w:color w:val="auto"/>
                <w:sz w:val="24"/>
                <w:highlight w:val="none"/>
                <w:lang w:eastAsia="zh-CN"/>
              </w:rPr>
              <w:t>；</w:t>
            </w:r>
          </w:p>
          <w:p w14:paraId="3D9FC7F3">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2.电源：内部DC12V/5A，外部100-240V~ 50/60Hz</w:t>
            </w:r>
            <w:r>
              <w:rPr>
                <w:rFonts w:hint="eastAsia" w:ascii="仿宋" w:hAnsi="仿宋" w:eastAsia="仿宋" w:cs="仿宋"/>
                <w:color w:val="auto"/>
                <w:sz w:val="24"/>
                <w:highlight w:val="none"/>
                <w:lang w:eastAsia="zh-CN"/>
              </w:rPr>
              <w:t>；</w:t>
            </w:r>
          </w:p>
          <w:p w14:paraId="2A57C8C6">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3.抽气速率≥20L/min，极限负压≥80kPa，精度±5kPa</w:t>
            </w:r>
            <w:r>
              <w:rPr>
                <w:rFonts w:hint="eastAsia" w:ascii="仿宋" w:hAnsi="仿宋" w:eastAsia="仿宋" w:cs="仿宋"/>
                <w:color w:val="auto"/>
                <w:sz w:val="24"/>
                <w:highlight w:val="none"/>
                <w:lang w:eastAsia="zh-CN"/>
              </w:rPr>
              <w:t>；</w:t>
            </w:r>
          </w:p>
          <w:p w14:paraId="2A3DECAB">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4.表盘指针显示负压</w:t>
            </w:r>
            <w:r>
              <w:rPr>
                <w:rFonts w:hint="eastAsia" w:ascii="仿宋" w:hAnsi="仿宋" w:eastAsia="仿宋" w:cs="仿宋"/>
                <w:color w:val="auto"/>
                <w:sz w:val="24"/>
                <w:highlight w:val="none"/>
                <w:lang w:eastAsia="zh-CN"/>
              </w:rPr>
              <w:t>；</w:t>
            </w:r>
          </w:p>
          <w:p w14:paraId="67082A2A">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5.收集罐≥1L</w:t>
            </w:r>
            <w:r>
              <w:rPr>
                <w:rFonts w:hint="eastAsia" w:ascii="仿宋" w:hAnsi="仿宋" w:eastAsia="仿宋" w:cs="仿宋"/>
                <w:color w:val="auto"/>
                <w:sz w:val="24"/>
                <w:highlight w:val="none"/>
                <w:lang w:eastAsia="zh-CN"/>
              </w:rPr>
              <w:t>；</w:t>
            </w:r>
          </w:p>
          <w:p w14:paraId="76FC61A2">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6.噪音≤70dB</w:t>
            </w:r>
            <w:r>
              <w:rPr>
                <w:rFonts w:hint="eastAsia" w:ascii="仿宋" w:hAnsi="仿宋" w:eastAsia="仿宋" w:cs="仿宋"/>
                <w:color w:val="auto"/>
                <w:sz w:val="24"/>
                <w:highlight w:val="none"/>
                <w:lang w:eastAsia="zh-CN"/>
              </w:rPr>
              <w:t>；</w:t>
            </w:r>
          </w:p>
          <w:p w14:paraId="276A30DA">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7.内置锂电池11.1V/≥2600mAh</w:t>
            </w:r>
            <w:r>
              <w:rPr>
                <w:rFonts w:hint="eastAsia" w:ascii="仿宋" w:hAnsi="仿宋" w:eastAsia="仿宋" w:cs="仿宋"/>
                <w:color w:val="auto"/>
                <w:sz w:val="24"/>
                <w:highlight w:val="none"/>
                <w:lang w:eastAsia="zh-CN"/>
              </w:rPr>
              <w:t>；</w:t>
            </w:r>
          </w:p>
          <w:p w14:paraId="29B8658C">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8.具有溢流防护、空气过滤器</w:t>
            </w:r>
            <w:r>
              <w:rPr>
                <w:rFonts w:hint="eastAsia" w:ascii="仿宋" w:hAnsi="仿宋" w:eastAsia="仿宋" w:cs="仿宋"/>
                <w:color w:val="auto"/>
                <w:sz w:val="24"/>
                <w:highlight w:val="none"/>
                <w:lang w:eastAsia="zh-CN"/>
              </w:rPr>
              <w:t>；</w:t>
            </w:r>
          </w:p>
          <w:p w14:paraId="66D02987">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9.储液容器可温水清洗、浸泡消毒及93℃以下热消毒。</w:t>
            </w:r>
          </w:p>
        </w:tc>
        <w:tc>
          <w:tcPr>
            <w:tcW w:w="1042" w:type="dxa"/>
            <w:noWrap/>
            <w:vAlign w:val="center"/>
          </w:tcPr>
          <w:p w14:paraId="149FB7B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w:t>
            </w:r>
          </w:p>
        </w:tc>
        <w:tc>
          <w:tcPr>
            <w:tcW w:w="722" w:type="dxa"/>
            <w:noWrap/>
            <w:vAlign w:val="center"/>
          </w:tcPr>
          <w:p w14:paraId="108BDD7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48DDBA0E">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0.15</w:t>
            </w:r>
          </w:p>
        </w:tc>
      </w:tr>
      <w:tr w14:paraId="3048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6E623FA5">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w:t>
            </w:r>
          </w:p>
        </w:tc>
        <w:tc>
          <w:tcPr>
            <w:tcW w:w="1278" w:type="dxa"/>
            <w:noWrap/>
            <w:vAlign w:val="center"/>
          </w:tcPr>
          <w:p w14:paraId="13F3FE5E">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中药熏蒸仪</w:t>
            </w:r>
          </w:p>
        </w:tc>
        <w:tc>
          <w:tcPr>
            <w:tcW w:w="5415" w:type="dxa"/>
            <w:noWrap/>
            <w:vAlign w:val="center"/>
          </w:tcPr>
          <w:p w14:paraId="70F2C9F3">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具有自漏保护、自动防干烧、温控保护等功能</w:t>
            </w:r>
            <w:r>
              <w:rPr>
                <w:rFonts w:hint="eastAsia" w:ascii="仿宋" w:hAnsi="仿宋" w:eastAsia="仿宋" w:cs="仿宋"/>
                <w:color w:val="auto"/>
                <w:sz w:val="24"/>
                <w:highlight w:val="none"/>
                <w:lang w:eastAsia="zh-CN"/>
              </w:rPr>
              <w:t>；</w:t>
            </w:r>
          </w:p>
          <w:p w14:paraId="2AA8F256">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具有预热煎药、预热保温等功能</w:t>
            </w:r>
            <w:r>
              <w:rPr>
                <w:rFonts w:hint="eastAsia" w:ascii="仿宋" w:hAnsi="仿宋" w:eastAsia="仿宋" w:cs="仿宋"/>
                <w:color w:val="auto"/>
                <w:sz w:val="24"/>
                <w:highlight w:val="none"/>
                <w:lang w:eastAsia="zh-CN"/>
              </w:rPr>
              <w:t>；</w:t>
            </w:r>
          </w:p>
          <w:p w14:paraId="5608710F">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具有多种治疗档位，时间调节功能</w:t>
            </w:r>
            <w:r>
              <w:rPr>
                <w:rFonts w:hint="eastAsia" w:ascii="仿宋" w:hAnsi="仿宋" w:eastAsia="仿宋" w:cs="仿宋"/>
                <w:color w:val="auto"/>
                <w:sz w:val="24"/>
                <w:highlight w:val="none"/>
                <w:lang w:eastAsia="zh-CN"/>
              </w:rPr>
              <w:t>；</w:t>
            </w:r>
          </w:p>
          <w:p w14:paraId="129862FC">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电子控制部分与蒸汽及水有效隔离</w:t>
            </w:r>
            <w:r>
              <w:rPr>
                <w:rFonts w:hint="eastAsia" w:ascii="仿宋" w:hAnsi="仿宋" w:eastAsia="仿宋" w:cs="仿宋"/>
                <w:color w:val="auto"/>
                <w:sz w:val="24"/>
                <w:highlight w:val="none"/>
                <w:lang w:eastAsia="zh-CN"/>
              </w:rPr>
              <w:t>；</w:t>
            </w:r>
          </w:p>
          <w:p w14:paraId="03FE6DEF">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 xml:space="preserve"> 输出功率可在0～20档内调节；</w:t>
            </w:r>
          </w:p>
          <w:p w14:paraId="71539745">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 xml:space="preserve"> 熏蒸容器容积≥5L；</w:t>
            </w:r>
          </w:p>
          <w:p w14:paraId="4AFA3B12">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具有传感器测量皮肤温度且可实时显示，传感器精度±1℃；</w:t>
            </w:r>
          </w:p>
          <w:p w14:paraId="20AF4575">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 治疗时间可在0～99min内设定，级差1min,定时允差±30s，结束时加热装置自动断电</w:t>
            </w:r>
            <w:r>
              <w:rPr>
                <w:rFonts w:hint="eastAsia" w:ascii="仿宋" w:hAnsi="仿宋" w:eastAsia="仿宋" w:cs="仿宋"/>
                <w:color w:val="auto"/>
                <w:sz w:val="24"/>
                <w:highlight w:val="none"/>
                <w:lang w:eastAsia="zh-CN"/>
              </w:rPr>
              <w:t>；</w:t>
            </w:r>
          </w:p>
          <w:p w14:paraId="5403CBD5">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过滤式出气孔，防止堵塞；</w:t>
            </w:r>
          </w:p>
          <w:p w14:paraId="5D0F61A6">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具有冷凝水回流系统，冷凝水能有效回流；</w:t>
            </w:r>
          </w:p>
          <w:p w14:paraId="49E5DD67">
            <w:pPr>
              <w:spacing w:before="0" w:line="400" w:lineRule="exact"/>
              <w:ind w:right="0" w:rightChars="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双通道输出，能同时治疗两个部位或两个患者</w:t>
            </w:r>
            <w:r>
              <w:rPr>
                <w:rFonts w:hint="eastAsia" w:ascii="仿宋" w:hAnsi="仿宋" w:eastAsia="仿宋" w:cs="仿宋"/>
                <w:color w:val="auto"/>
                <w:sz w:val="24"/>
                <w:highlight w:val="none"/>
                <w:lang w:eastAsia="zh-CN"/>
              </w:rPr>
              <w:t>；</w:t>
            </w:r>
          </w:p>
          <w:p w14:paraId="566D457D">
            <w:pPr>
              <w:spacing w:before="0" w:line="400" w:lineRule="exact"/>
              <w:ind w:right="0" w:right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12.</w:t>
            </w:r>
            <w:r>
              <w:rPr>
                <w:rFonts w:hint="eastAsia" w:ascii="仿宋" w:hAnsi="仿宋" w:eastAsia="仿宋" w:cs="仿宋"/>
                <w:color w:val="auto"/>
                <w:sz w:val="24"/>
                <w:highlight w:val="none"/>
              </w:rPr>
              <w:t>≥4个强力散热风扇；</w:t>
            </w:r>
          </w:p>
        </w:tc>
        <w:tc>
          <w:tcPr>
            <w:tcW w:w="1042" w:type="dxa"/>
            <w:noWrap/>
            <w:vAlign w:val="center"/>
          </w:tcPr>
          <w:p w14:paraId="3F4B8BB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722" w:type="dxa"/>
            <w:noWrap/>
            <w:vAlign w:val="center"/>
          </w:tcPr>
          <w:p w14:paraId="0725512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63F0B607">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0.6</w:t>
            </w:r>
          </w:p>
        </w:tc>
      </w:tr>
      <w:tr w14:paraId="252E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1D584C11">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17</w:t>
            </w:r>
          </w:p>
        </w:tc>
        <w:tc>
          <w:tcPr>
            <w:tcW w:w="1278" w:type="dxa"/>
            <w:noWrap/>
            <w:vAlign w:val="center"/>
          </w:tcPr>
          <w:p w14:paraId="726B601D">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臭氧消毒机</w:t>
            </w:r>
          </w:p>
        </w:tc>
        <w:tc>
          <w:tcPr>
            <w:tcW w:w="5415" w:type="dxa"/>
            <w:noWrap/>
            <w:vAlign w:val="center"/>
          </w:tcPr>
          <w:p w14:paraId="14199A73">
            <w:pPr>
              <w:spacing w:before="0" w:line="400" w:lineRule="exact"/>
              <w:ind w:right="0" w:rightChars="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1.整机参考尺寸：385mm×355mm×865mm，带脚轮移动便捷；</w:t>
            </w:r>
          </w:p>
          <w:p w14:paraId="75AC5B97">
            <w:pPr>
              <w:spacing w:before="0" w:line="400" w:lineRule="exact"/>
              <w:ind w:right="0" w:rightChars="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2.对大肠杆菌、金黄色葡萄球菌、白色念珠球菌杀灭对数值≥3.0，自然菌杀灭对数值≥1；</w:t>
            </w:r>
          </w:p>
          <w:p w14:paraId="7B278CA1">
            <w:pPr>
              <w:spacing w:before="0" w:line="400" w:lineRule="exact"/>
              <w:ind w:right="0" w:rightChars="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3.内置臭氧发生器寿命≥20000h，臭氧浓度≥1500mg/m³、产量≥5000mg/m³，泄漏量≤0.07mg/m³、残留浓度≤0.07mg/m³，带解析还原功能无二次污染；</w:t>
            </w:r>
          </w:p>
          <w:p w14:paraId="1EDE8E91">
            <w:pPr>
              <w:spacing w:before="0" w:line="400" w:lineRule="exact"/>
              <w:ind w:right="0" w:rightChars="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4.消毒时间 1-120min 可调；</w:t>
            </w:r>
          </w:p>
          <w:p w14:paraId="0B4D2E93">
            <w:pPr>
              <w:spacing w:before="0" w:line="400" w:lineRule="exact"/>
              <w:ind w:right="0" w:rightChars="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5.电源 220V±22V、50Hz±1Hz，噪音≤50dB；</w:t>
            </w:r>
          </w:p>
          <w:p w14:paraId="05BC9B2C">
            <w:pPr>
              <w:spacing w:before="0" w:line="400" w:lineRule="exact"/>
              <w:ind w:right="0" w:rightChars="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6.具备抽真空功能，双通道输出可同时 / 单独对两张床消毒，每台配1.75m×2.7m 片式床罩2个。</w:t>
            </w:r>
          </w:p>
        </w:tc>
        <w:tc>
          <w:tcPr>
            <w:tcW w:w="1042" w:type="dxa"/>
            <w:noWrap/>
            <w:vAlign w:val="center"/>
          </w:tcPr>
          <w:p w14:paraId="726B77B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w:t>
            </w:r>
          </w:p>
        </w:tc>
        <w:tc>
          <w:tcPr>
            <w:tcW w:w="722" w:type="dxa"/>
            <w:noWrap/>
            <w:vAlign w:val="center"/>
          </w:tcPr>
          <w:p w14:paraId="466C7BB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6C50C207">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0.70</w:t>
            </w:r>
          </w:p>
        </w:tc>
      </w:tr>
      <w:tr w14:paraId="58A24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6F75662D">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w:t>
            </w:r>
          </w:p>
        </w:tc>
        <w:tc>
          <w:tcPr>
            <w:tcW w:w="1278" w:type="dxa"/>
            <w:noWrap/>
            <w:vAlign w:val="center"/>
          </w:tcPr>
          <w:p w14:paraId="4BC875F3">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中频治疗仪</w:t>
            </w:r>
          </w:p>
        </w:tc>
        <w:tc>
          <w:tcPr>
            <w:tcW w:w="5415" w:type="dxa"/>
            <w:noWrap/>
            <w:vAlign w:val="center"/>
          </w:tcPr>
          <w:p w14:paraId="32392940">
            <w:pPr>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1.中频频率：2kHz-8kHz，单一频率允差±10%，调制波频率：0～166HZ ；</w:t>
            </w:r>
          </w:p>
          <w:p w14:paraId="41B7A8CC">
            <w:pPr>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2.脉冲宽度：50μs-500μs，允差±10%；</w:t>
            </w:r>
          </w:p>
          <w:p w14:paraId="5660AF1C">
            <w:pPr>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3.调幅度：100% ；</w:t>
            </w:r>
          </w:p>
          <w:p w14:paraId="4AEFE21B">
            <w:pPr>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4.广角液晶控制屏，显示通道、时间、强度、处方等信息；</w:t>
            </w:r>
          </w:p>
          <w:p w14:paraId="483AC1DB">
            <w:pPr>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5.各通道设定参数、工作参数独立显示；</w:t>
            </w:r>
          </w:p>
          <w:p w14:paraId="12314E29">
            <w:pPr>
              <w:spacing w:before="0" w:line="400" w:lineRule="exact"/>
              <w:ind w:right="0" w:rightChars="0"/>
              <w:jc w:val="left"/>
              <w:rPr>
                <w:rFonts w:hint="eastAsia" w:ascii="仿宋" w:hAnsi="仿宋" w:eastAsia="仿宋" w:cs="仿宋"/>
                <w:color w:val="auto"/>
                <w:sz w:val="24"/>
                <w:highlight w:val="none"/>
                <w:lang w:val="en-US" w:eastAsia="zh-CN"/>
              </w:rPr>
            </w:pPr>
            <w:r>
              <w:rPr>
                <w:rFonts w:hint="eastAsia" w:ascii="仿宋" w:hAnsi="仿宋" w:eastAsia="仿宋" w:cs="仿宋"/>
                <w:b w:val="0"/>
                <w:bCs w:val="0"/>
                <w:color w:val="auto"/>
                <w:sz w:val="24"/>
                <w:szCs w:val="24"/>
                <w:highlight w:val="none"/>
                <w:lang w:val="en-US" w:eastAsia="zh-CN"/>
              </w:rPr>
              <w:t>6.需配备台车，车高80cm、长70cm 宽40cm。</w:t>
            </w:r>
          </w:p>
        </w:tc>
        <w:tc>
          <w:tcPr>
            <w:tcW w:w="1042" w:type="dxa"/>
            <w:noWrap/>
            <w:vAlign w:val="center"/>
          </w:tcPr>
          <w:p w14:paraId="1CDB45B7">
            <w:pPr>
              <w:keepNext w:val="0"/>
              <w:keepLines w:val="0"/>
              <w:widowControl/>
              <w:suppressLineNumbers w:val="0"/>
              <w:jc w:val="righ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722" w:type="dxa"/>
            <w:noWrap/>
            <w:vAlign w:val="center"/>
          </w:tcPr>
          <w:p w14:paraId="67648D1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1363A76F">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0.45</w:t>
            </w:r>
          </w:p>
        </w:tc>
      </w:tr>
      <w:tr w14:paraId="1E3E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5326A48A">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19</w:t>
            </w:r>
          </w:p>
        </w:tc>
        <w:tc>
          <w:tcPr>
            <w:tcW w:w="1278" w:type="dxa"/>
            <w:noWrap/>
            <w:vAlign w:val="center"/>
          </w:tcPr>
          <w:p w14:paraId="717D0A10">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经皮神经电刺激</w:t>
            </w:r>
          </w:p>
        </w:tc>
        <w:tc>
          <w:tcPr>
            <w:tcW w:w="5415" w:type="dxa"/>
            <w:noWrap/>
            <w:vAlign w:val="center"/>
          </w:tcPr>
          <w:p w14:paraId="3D86ACD4">
            <w:pPr>
              <w:spacing w:before="0" w:line="400" w:lineRule="exact"/>
              <w:ind w:right="0" w:rightChars="0"/>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1.输出波形：不对称的平衡双相波型；</w:t>
            </w:r>
          </w:p>
          <w:p w14:paraId="7EA5EE9A">
            <w:pPr>
              <w:spacing w:before="0" w:line="400" w:lineRule="exact"/>
              <w:ind w:right="0" w:rightChars="0"/>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2.输出脉冲宽度：20μS ～ 500μS范围连续可调,允差±20%；</w:t>
            </w:r>
          </w:p>
          <w:p w14:paraId="769FD512">
            <w:pPr>
              <w:spacing w:before="0" w:line="400" w:lineRule="exact"/>
              <w:ind w:right="0" w:rightChars="0"/>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3.输出脉冲频率：在2HZ ～ 160HZ范围连续可调，允差±20%；</w:t>
            </w:r>
          </w:p>
          <w:p w14:paraId="23498ECC">
            <w:pPr>
              <w:spacing w:before="0" w:line="400" w:lineRule="exact"/>
              <w:ind w:right="0" w:rightChars="0"/>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4.输出电流：治疗仪各路独立输出，刺激器在 500Ω 的负载电阻下，每路输出电流的有效值≤50mA；</w:t>
            </w:r>
          </w:p>
          <w:p w14:paraId="318F895B">
            <w:pPr>
              <w:spacing w:before="0" w:line="400" w:lineRule="exact"/>
              <w:ind w:right="0" w:rightChars="0"/>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5.单个脉冲最大输出能量可达300mJ ；</w:t>
            </w:r>
          </w:p>
          <w:p w14:paraId="06C22069">
            <w:pPr>
              <w:spacing w:before="0" w:line="400" w:lineRule="exact"/>
              <w:ind w:right="0" w:rightChars="0"/>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6.定时设置：5min-30min连续可调，步进5min。允许偏差±10%；</w:t>
            </w:r>
          </w:p>
        </w:tc>
        <w:tc>
          <w:tcPr>
            <w:tcW w:w="1042" w:type="dxa"/>
            <w:noWrap/>
            <w:vAlign w:val="center"/>
          </w:tcPr>
          <w:p w14:paraId="1C11547A">
            <w:pPr>
              <w:keepNext w:val="0"/>
              <w:keepLines w:val="0"/>
              <w:widowControl/>
              <w:suppressLineNumbers w:val="0"/>
              <w:jc w:val="right"/>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722" w:type="dxa"/>
            <w:noWrap/>
            <w:vAlign w:val="center"/>
          </w:tcPr>
          <w:p w14:paraId="7982CA17">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4073CB9F">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7D98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48FBE4B7">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w:t>
            </w:r>
          </w:p>
        </w:tc>
        <w:tc>
          <w:tcPr>
            <w:tcW w:w="1278" w:type="dxa"/>
            <w:noWrap/>
            <w:vAlign w:val="center"/>
          </w:tcPr>
          <w:p w14:paraId="4E895375">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TDP特定电磁波治疗仪</w:t>
            </w:r>
          </w:p>
        </w:tc>
        <w:tc>
          <w:tcPr>
            <w:tcW w:w="5415" w:type="dxa"/>
            <w:noWrap/>
            <w:vAlign w:val="center"/>
          </w:tcPr>
          <w:p w14:paraId="3E004FB4">
            <w:pPr>
              <w:spacing w:line="360" w:lineRule="auto"/>
              <w:ind w:firstLine="0" w:firstLine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立式、治疗头大盘，单头</w:t>
            </w:r>
            <w:r>
              <w:rPr>
                <w:rFonts w:hint="eastAsia" w:ascii="仿宋" w:hAnsi="仿宋" w:eastAsia="仿宋" w:cs="仿宋"/>
                <w:color w:val="auto"/>
                <w:sz w:val="24"/>
                <w:szCs w:val="24"/>
                <w:highlight w:val="none"/>
                <w:lang w:eastAsia="zh-CN"/>
              </w:rPr>
              <w:t>；</w:t>
            </w:r>
          </w:p>
          <w:p w14:paraId="0BB549D6">
            <w:pPr>
              <w:spacing w:line="360" w:lineRule="auto"/>
              <w:ind w:firstLine="0" w:firstLine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治疗仪辐射板辐射波谱范围：2μm-25.0μm</w:t>
            </w:r>
            <w:r>
              <w:rPr>
                <w:rFonts w:hint="eastAsia" w:ascii="仿宋" w:hAnsi="仿宋" w:eastAsia="仿宋" w:cs="仿宋"/>
                <w:color w:val="auto"/>
                <w:sz w:val="24"/>
                <w:szCs w:val="24"/>
                <w:highlight w:val="none"/>
                <w:lang w:eastAsia="zh-CN"/>
              </w:rPr>
              <w:t>；</w:t>
            </w:r>
          </w:p>
          <w:p w14:paraId="130F1793">
            <w:pPr>
              <w:spacing w:line="360" w:lineRule="auto"/>
              <w:ind w:firstLine="0" w:firstLine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加热器表面温度标称值为320℃±10%</w:t>
            </w:r>
            <w:r>
              <w:rPr>
                <w:rFonts w:hint="eastAsia" w:ascii="仿宋" w:hAnsi="仿宋" w:eastAsia="仿宋" w:cs="仿宋"/>
                <w:color w:val="auto"/>
                <w:sz w:val="24"/>
                <w:szCs w:val="24"/>
                <w:highlight w:val="none"/>
                <w:lang w:eastAsia="zh-CN"/>
              </w:rPr>
              <w:t>；</w:t>
            </w:r>
          </w:p>
          <w:p w14:paraId="0E3246AE">
            <w:pPr>
              <w:spacing w:line="360" w:lineRule="auto"/>
              <w:ind w:firstLine="0" w:firstLine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热响应时间应</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20min</w:t>
            </w:r>
            <w:r>
              <w:rPr>
                <w:rFonts w:hint="eastAsia" w:ascii="仿宋" w:hAnsi="仿宋" w:eastAsia="仿宋" w:cs="仿宋"/>
                <w:color w:val="auto"/>
                <w:sz w:val="24"/>
                <w:szCs w:val="24"/>
                <w:highlight w:val="none"/>
                <w:lang w:eastAsia="zh-CN"/>
              </w:rPr>
              <w:t>；</w:t>
            </w:r>
          </w:p>
          <w:p w14:paraId="1F9B70C5">
            <w:pPr>
              <w:spacing w:line="360" w:lineRule="auto"/>
              <w:ind w:firstLine="0" w:firstLine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电磁波功率为25mw/cm²，功率密度为25-35mw/cm²</w:t>
            </w:r>
            <w:r>
              <w:rPr>
                <w:rFonts w:hint="eastAsia" w:ascii="仿宋" w:hAnsi="仿宋" w:eastAsia="仿宋" w:cs="仿宋"/>
                <w:color w:val="auto"/>
                <w:sz w:val="24"/>
                <w:szCs w:val="24"/>
                <w:highlight w:val="none"/>
                <w:lang w:eastAsia="zh-CN"/>
              </w:rPr>
              <w:t>；</w:t>
            </w:r>
          </w:p>
          <w:p w14:paraId="7057E3E3">
            <w:pPr>
              <w:spacing w:before="0" w:line="400" w:lineRule="exact"/>
              <w:ind w:right="0" w:rightChars="0"/>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万向轮可移动，防倾倒</w:t>
            </w:r>
            <w:r>
              <w:rPr>
                <w:rFonts w:hint="eastAsia" w:ascii="仿宋" w:hAnsi="仿宋" w:eastAsia="仿宋" w:cs="仿宋"/>
                <w:color w:val="auto"/>
                <w:sz w:val="24"/>
                <w:szCs w:val="24"/>
                <w:highlight w:val="none"/>
                <w:lang w:eastAsia="zh-CN"/>
              </w:rPr>
              <w:t>。</w:t>
            </w:r>
          </w:p>
        </w:tc>
        <w:tc>
          <w:tcPr>
            <w:tcW w:w="1042" w:type="dxa"/>
            <w:noWrap/>
            <w:vAlign w:val="center"/>
          </w:tcPr>
          <w:p w14:paraId="64E683C1">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722" w:type="dxa"/>
            <w:noWrap/>
            <w:vAlign w:val="center"/>
          </w:tcPr>
          <w:p w14:paraId="3CECF62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46179885">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0.04</w:t>
            </w:r>
          </w:p>
        </w:tc>
      </w:tr>
      <w:tr w14:paraId="67BD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627AA9A1">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21</w:t>
            </w:r>
          </w:p>
        </w:tc>
        <w:tc>
          <w:tcPr>
            <w:tcW w:w="1278" w:type="dxa"/>
            <w:noWrap/>
            <w:vAlign w:val="center"/>
          </w:tcPr>
          <w:p w14:paraId="784E66D1">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甲壁微循环检测仪</w:t>
            </w:r>
          </w:p>
        </w:tc>
        <w:tc>
          <w:tcPr>
            <w:tcW w:w="5415" w:type="dxa"/>
            <w:noWrap/>
            <w:vAlign w:val="center"/>
          </w:tcPr>
          <w:p w14:paraId="7BACFD0D">
            <w:pPr>
              <w:keepNext w:val="0"/>
              <w:keepLines w:val="0"/>
              <w:pageBreakBefore w:val="0"/>
              <w:widowControl/>
              <w:kinsoku/>
              <w:wordWrap/>
              <w:overflowPunct/>
              <w:topLinePunct w:val="0"/>
              <w:autoSpaceDE/>
              <w:autoSpaceDN/>
              <w:bidi w:val="0"/>
              <w:adjustRightInd/>
              <w:snapToGrid/>
              <w:spacing w:after="0" w:line="400" w:lineRule="exact"/>
              <w:ind w:firstLine="0" w:firstLineChars="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总放大倍数：≥240倍</w:t>
            </w:r>
            <w:r>
              <w:rPr>
                <w:rFonts w:hint="eastAsia" w:ascii="仿宋" w:hAnsi="仿宋" w:eastAsia="仿宋" w:cs="仿宋"/>
                <w:color w:val="auto"/>
                <w:sz w:val="24"/>
                <w:szCs w:val="24"/>
                <w:highlight w:val="none"/>
                <w:lang w:eastAsia="zh-CN"/>
              </w:rPr>
              <w:t>；</w:t>
            </w:r>
          </w:p>
          <w:p w14:paraId="62937506">
            <w:pPr>
              <w:keepNext w:val="0"/>
              <w:keepLines w:val="0"/>
              <w:pageBreakBefore w:val="0"/>
              <w:widowControl/>
              <w:kinsoku/>
              <w:wordWrap/>
              <w:overflowPunct/>
              <w:topLinePunct w:val="0"/>
              <w:autoSpaceDE/>
              <w:autoSpaceDN/>
              <w:bidi w:val="0"/>
              <w:adjustRightInd/>
              <w:snapToGrid/>
              <w:spacing w:after="0" w:line="400" w:lineRule="exact"/>
              <w:ind w:firstLine="0" w:firstLineChars="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物镜：10X</w:t>
            </w:r>
            <w:r>
              <w:rPr>
                <w:rFonts w:hint="eastAsia" w:ascii="仿宋" w:hAnsi="仿宋" w:eastAsia="仿宋" w:cs="仿宋"/>
                <w:color w:val="auto"/>
                <w:sz w:val="24"/>
                <w:szCs w:val="24"/>
                <w:highlight w:val="none"/>
                <w:lang w:eastAsia="zh-CN"/>
              </w:rPr>
              <w:t>；</w:t>
            </w:r>
          </w:p>
          <w:p w14:paraId="037AC78A">
            <w:pPr>
              <w:keepNext w:val="0"/>
              <w:keepLines w:val="0"/>
              <w:pageBreakBefore w:val="0"/>
              <w:widowControl/>
              <w:kinsoku/>
              <w:wordWrap/>
              <w:overflowPunct/>
              <w:topLinePunct w:val="0"/>
              <w:autoSpaceDE/>
              <w:autoSpaceDN/>
              <w:bidi w:val="0"/>
              <w:adjustRightInd/>
              <w:snapToGrid/>
              <w:spacing w:after="0" w:line="400" w:lineRule="exact"/>
              <w:ind w:firstLine="0" w:firstLineChars="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调焦与移动系统：粗调升降范围和微调升降范围≥20mm，纵横移动平台移动范围≥20mm</w:t>
            </w:r>
            <w:r>
              <w:rPr>
                <w:rFonts w:hint="eastAsia" w:ascii="仿宋" w:hAnsi="仿宋" w:eastAsia="仿宋" w:cs="仿宋"/>
                <w:color w:val="auto"/>
                <w:sz w:val="24"/>
                <w:szCs w:val="24"/>
                <w:highlight w:val="none"/>
                <w:lang w:eastAsia="zh-CN"/>
              </w:rPr>
              <w:t>；</w:t>
            </w:r>
          </w:p>
          <w:p w14:paraId="1F0D48A1">
            <w:pPr>
              <w:keepNext w:val="0"/>
              <w:keepLines w:val="0"/>
              <w:pageBreakBefore w:val="0"/>
              <w:widowControl/>
              <w:kinsoku/>
              <w:wordWrap/>
              <w:overflowPunct/>
              <w:topLinePunct w:val="0"/>
              <w:autoSpaceDE/>
              <w:autoSpaceDN/>
              <w:bidi w:val="0"/>
              <w:adjustRightInd/>
              <w:snapToGrid/>
              <w:spacing w:after="0" w:line="400" w:lineRule="exact"/>
              <w:ind w:firstLine="0" w:firstLineChars="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照明：</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"https://baike.baidu.com/item/LED%E5%85%89%E6%BA%90/922390?fromModule=lemma_inlink" \t "https://baike.baidu.com/item/%E5%BE%AE%E5%BE%AA%E7%8E%AF%E6%A3%80%E6%B5%8B%E4%BB%AA/_blank"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LED光源</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系统</w:t>
            </w:r>
            <w:r>
              <w:rPr>
                <w:rFonts w:hint="eastAsia" w:ascii="仿宋" w:hAnsi="仿宋" w:eastAsia="仿宋" w:cs="仿宋"/>
                <w:color w:val="auto"/>
                <w:sz w:val="24"/>
                <w:szCs w:val="24"/>
                <w:highlight w:val="none"/>
                <w:lang w:eastAsia="zh-CN"/>
              </w:rPr>
              <w:t>；</w:t>
            </w:r>
          </w:p>
          <w:p w14:paraId="305C2FA1">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摄像系统：彩色摄像系统</w:t>
            </w:r>
            <w:r>
              <w:rPr>
                <w:rFonts w:hint="eastAsia" w:ascii="仿宋" w:hAnsi="仿宋" w:eastAsia="仿宋" w:cs="仿宋"/>
                <w:color w:val="auto"/>
                <w:sz w:val="24"/>
                <w:szCs w:val="24"/>
                <w:highlight w:val="none"/>
                <w:lang w:eastAsia="zh-CN"/>
              </w:rPr>
              <w:t>。</w:t>
            </w:r>
          </w:p>
        </w:tc>
        <w:tc>
          <w:tcPr>
            <w:tcW w:w="1042" w:type="dxa"/>
            <w:noWrap/>
            <w:vAlign w:val="center"/>
          </w:tcPr>
          <w:p w14:paraId="13DDCBD2">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722" w:type="dxa"/>
            <w:noWrap/>
            <w:vAlign w:val="center"/>
          </w:tcPr>
          <w:p w14:paraId="608F657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10D8FC2F">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0.2</w:t>
            </w:r>
          </w:p>
        </w:tc>
      </w:tr>
      <w:tr w14:paraId="3E53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31CB1D18">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22</w:t>
            </w:r>
          </w:p>
        </w:tc>
        <w:tc>
          <w:tcPr>
            <w:tcW w:w="1278" w:type="dxa"/>
            <w:noWrap/>
            <w:vAlign w:val="center"/>
          </w:tcPr>
          <w:p w14:paraId="21A6F39F">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生物反馈电刺激工作站</w:t>
            </w:r>
          </w:p>
        </w:tc>
        <w:tc>
          <w:tcPr>
            <w:tcW w:w="5415" w:type="dxa"/>
            <w:noWrap/>
            <w:vAlign w:val="center"/>
          </w:tcPr>
          <w:p w14:paraId="2B29102B">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分体式设计：由1台主机和≥2台治疗子机组成</w:t>
            </w:r>
            <w:r>
              <w:rPr>
                <w:rFonts w:hint="eastAsia" w:ascii="仿宋" w:hAnsi="仿宋" w:eastAsia="仿宋" w:cs="仿宋"/>
                <w:color w:val="auto"/>
                <w:sz w:val="24"/>
                <w:szCs w:val="24"/>
                <w:highlight w:val="none"/>
                <w:lang w:eastAsia="zh-CN"/>
              </w:rPr>
              <w:t>；</w:t>
            </w:r>
          </w:p>
          <w:p w14:paraId="76A9E87A">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治疗模式：≥4种</w:t>
            </w:r>
            <w:r>
              <w:rPr>
                <w:rFonts w:hint="eastAsia" w:ascii="仿宋" w:hAnsi="仿宋" w:eastAsia="仿宋" w:cs="仿宋"/>
                <w:color w:val="auto"/>
                <w:sz w:val="24"/>
                <w:szCs w:val="24"/>
                <w:highlight w:val="none"/>
                <w:lang w:eastAsia="zh-CN"/>
              </w:rPr>
              <w:t>；</w:t>
            </w:r>
          </w:p>
          <w:p w14:paraId="47823DE7">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治疗主机具备高清显示屏</w:t>
            </w:r>
            <w:r>
              <w:rPr>
                <w:rFonts w:hint="eastAsia" w:ascii="仿宋" w:hAnsi="仿宋" w:eastAsia="仿宋" w:cs="仿宋"/>
                <w:color w:val="auto"/>
                <w:sz w:val="24"/>
                <w:szCs w:val="24"/>
                <w:highlight w:val="none"/>
                <w:lang w:eastAsia="zh-CN"/>
              </w:rPr>
              <w:t>；</w:t>
            </w:r>
          </w:p>
          <w:p w14:paraId="1F3CCB29">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内置方案≥60个；自由定制方案可对频率、脉宽、波形、治疗时长自定义调节</w:t>
            </w:r>
            <w:r>
              <w:rPr>
                <w:rFonts w:hint="eastAsia" w:ascii="仿宋" w:hAnsi="仿宋" w:eastAsia="仿宋" w:cs="仿宋"/>
                <w:color w:val="auto"/>
                <w:sz w:val="24"/>
                <w:szCs w:val="24"/>
                <w:highlight w:val="none"/>
                <w:lang w:eastAsia="zh-CN"/>
              </w:rPr>
              <w:t>；</w:t>
            </w:r>
          </w:p>
          <w:p w14:paraId="4B6AF4B7">
            <w:pPr>
              <w:spacing w:before="0" w:line="400" w:lineRule="exact"/>
              <w:ind w:right="0" w:right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子机通道配置：≥2个独立工作通道，支持≥2通道肌电信号同步采集+≥2通道电刺激稳定输出；</w:t>
            </w:r>
          </w:p>
          <w:p w14:paraId="09B58851">
            <w:pPr>
              <w:spacing w:before="0" w:line="400" w:lineRule="exact"/>
              <w:ind w:right="0" w:right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子机显示与输入：触摸屏，分辨率≥320×240，屏幕尺寸≥3英寸；内置电池，工作时长≥2h；</w:t>
            </w:r>
          </w:p>
          <w:p w14:paraId="2F5B2248">
            <w:pPr>
              <w:spacing w:before="0" w:line="400" w:lineRule="exact"/>
              <w:ind w:right="0" w:right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支持屏幕图形显示、语音播报等功能</w:t>
            </w:r>
            <w:r>
              <w:rPr>
                <w:rFonts w:hint="eastAsia" w:ascii="仿宋" w:hAnsi="仿宋" w:eastAsia="仿宋" w:cs="仿宋"/>
                <w:color w:val="auto"/>
                <w:sz w:val="24"/>
                <w:szCs w:val="24"/>
                <w:highlight w:val="none"/>
                <w:lang w:eastAsia="zh-CN"/>
              </w:rPr>
              <w:t>。</w:t>
            </w:r>
          </w:p>
        </w:tc>
        <w:tc>
          <w:tcPr>
            <w:tcW w:w="1042" w:type="dxa"/>
            <w:noWrap/>
            <w:vAlign w:val="center"/>
          </w:tcPr>
          <w:p w14:paraId="504658E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w:t>
            </w:r>
          </w:p>
        </w:tc>
        <w:tc>
          <w:tcPr>
            <w:tcW w:w="722" w:type="dxa"/>
            <w:noWrap/>
            <w:vAlign w:val="center"/>
          </w:tcPr>
          <w:p w14:paraId="4F56562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7F7AF785">
            <w:pPr>
              <w:keepNext w:val="0"/>
              <w:keepLines w:val="0"/>
              <w:widowControl/>
              <w:suppressLineNumbers w:val="0"/>
              <w:spacing w:line="360" w:lineRule="auto"/>
              <w:jc w:val="center"/>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4.9</w:t>
            </w:r>
          </w:p>
        </w:tc>
      </w:tr>
      <w:tr w14:paraId="5204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339045DB">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23</w:t>
            </w:r>
          </w:p>
        </w:tc>
        <w:tc>
          <w:tcPr>
            <w:tcW w:w="1278" w:type="dxa"/>
            <w:noWrap/>
            <w:vAlign w:val="center"/>
          </w:tcPr>
          <w:p w14:paraId="3A6839C0">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olor w:val="auto"/>
                <w:sz w:val="24"/>
                <w:highlight w:val="none"/>
              </w:rPr>
              <w:t>●</w:t>
            </w:r>
            <w:r>
              <w:rPr>
                <w:rFonts w:hint="default" w:ascii="仿宋" w:hAnsi="仿宋" w:eastAsia="仿宋" w:cs="仿宋"/>
                <w:i w:val="0"/>
                <w:iCs w:val="0"/>
                <w:color w:val="auto"/>
                <w:kern w:val="0"/>
                <w:sz w:val="24"/>
                <w:szCs w:val="24"/>
                <w:highlight w:val="none"/>
                <w:u w:val="none"/>
                <w:lang w:val="en-US" w:eastAsia="zh-CN" w:bidi="ar"/>
              </w:rPr>
              <w:t>无线神经肌肉刺激器</w:t>
            </w:r>
          </w:p>
        </w:tc>
        <w:tc>
          <w:tcPr>
            <w:tcW w:w="5415" w:type="dxa"/>
            <w:noWrap/>
            <w:vAlign w:val="center"/>
          </w:tcPr>
          <w:p w14:paraId="1FC5042C">
            <w:pPr>
              <w:spacing w:before="0" w:line="400" w:lineRule="exact"/>
              <w:ind w:right="0" w:right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通道数量：≥4个独立、可分别调节的通道；</w:t>
            </w:r>
          </w:p>
          <w:p w14:paraId="135872AF">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具备≥17个治疗程序</w:t>
            </w:r>
            <w:r>
              <w:rPr>
                <w:rFonts w:hint="eastAsia" w:ascii="仿宋" w:hAnsi="仿宋" w:eastAsia="仿宋" w:cs="仿宋"/>
                <w:color w:val="auto"/>
                <w:sz w:val="24"/>
                <w:szCs w:val="24"/>
                <w:highlight w:val="none"/>
                <w:lang w:eastAsia="zh-CN"/>
              </w:rPr>
              <w:t>；</w:t>
            </w:r>
          </w:p>
          <w:p w14:paraId="7EF29875">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具备调频TENS、调脉宽TENS治疗程序包含1Hz和100Hz止疼及去肌肉张力程序，频率可调</w:t>
            </w:r>
            <w:r>
              <w:rPr>
                <w:rFonts w:hint="eastAsia" w:ascii="仿宋" w:hAnsi="仿宋" w:eastAsia="仿宋" w:cs="仿宋"/>
                <w:color w:val="auto"/>
                <w:sz w:val="24"/>
                <w:szCs w:val="24"/>
                <w:highlight w:val="none"/>
                <w:lang w:eastAsia="zh-CN"/>
              </w:rPr>
              <w:t>；</w:t>
            </w:r>
          </w:p>
          <w:p w14:paraId="5EC41C25">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具备自定义治疗程序</w:t>
            </w:r>
            <w:r>
              <w:rPr>
                <w:rFonts w:hint="eastAsia" w:ascii="仿宋" w:hAnsi="仿宋" w:eastAsia="仿宋" w:cs="仿宋"/>
                <w:color w:val="auto"/>
                <w:sz w:val="24"/>
                <w:szCs w:val="24"/>
                <w:highlight w:val="none"/>
                <w:lang w:eastAsia="zh-CN"/>
              </w:rPr>
              <w:t>；</w:t>
            </w:r>
          </w:p>
          <w:p w14:paraId="1BF9253E">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脉冲频率：频率≥1~120Hz范围内连续可调</w:t>
            </w:r>
            <w:r>
              <w:rPr>
                <w:rFonts w:hint="eastAsia" w:ascii="仿宋" w:hAnsi="仿宋" w:eastAsia="仿宋" w:cs="仿宋"/>
                <w:color w:val="auto"/>
                <w:sz w:val="24"/>
                <w:szCs w:val="24"/>
                <w:highlight w:val="none"/>
                <w:lang w:eastAsia="zh-CN"/>
              </w:rPr>
              <w:t>；</w:t>
            </w:r>
          </w:p>
          <w:p w14:paraId="2CB7E0C0">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脉宽：脉宽≥50~400μs范围内可调</w:t>
            </w:r>
            <w:r>
              <w:rPr>
                <w:rFonts w:hint="eastAsia" w:ascii="仿宋" w:hAnsi="仿宋" w:eastAsia="仿宋" w:cs="仿宋"/>
                <w:color w:val="auto"/>
                <w:sz w:val="24"/>
                <w:szCs w:val="24"/>
                <w:highlight w:val="none"/>
                <w:lang w:eastAsia="zh-CN"/>
              </w:rPr>
              <w:t>；</w:t>
            </w:r>
          </w:p>
          <w:p w14:paraId="35F7A5B7">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脉冲强度：≥0～80mA范围可调</w:t>
            </w:r>
            <w:r>
              <w:rPr>
                <w:rFonts w:hint="eastAsia" w:ascii="仿宋" w:hAnsi="仿宋" w:eastAsia="仿宋" w:cs="仿宋"/>
                <w:color w:val="auto"/>
                <w:sz w:val="24"/>
                <w:szCs w:val="24"/>
                <w:highlight w:val="none"/>
                <w:lang w:eastAsia="zh-CN"/>
              </w:rPr>
              <w:t>；</w:t>
            </w:r>
          </w:p>
          <w:p w14:paraId="1A590137">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8</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连接方式：无线连接</w:t>
            </w:r>
            <w:r>
              <w:rPr>
                <w:rFonts w:hint="eastAsia" w:ascii="仿宋" w:hAnsi="仿宋" w:eastAsia="仿宋" w:cs="仿宋"/>
                <w:color w:val="auto"/>
                <w:sz w:val="24"/>
                <w:szCs w:val="24"/>
                <w:highlight w:val="none"/>
                <w:lang w:eastAsia="zh-CN"/>
              </w:rPr>
              <w:t>；</w:t>
            </w:r>
          </w:p>
          <w:p w14:paraId="3CC84EE3">
            <w:pPr>
              <w:spacing w:before="0" w:line="400" w:lineRule="exact"/>
              <w:ind w:right="0" w:right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9</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设备可智能扫描肌肉活性，自动匹配最佳脉宽等参数；</w:t>
            </w:r>
          </w:p>
          <w:p w14:paraId="19647A8A">
            <w:pPr>
              <w:spacing w:before="0" w:line="400" w:lineRule="exact"/>
              <w:ind w:right="0" w:right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可用于患者金属内置物区域治疗。</w:t>
            </w:r>
          </w:p>
        </w:tc>
        <w:tc>
          <w:tcPr>
            <w:tcW w:w="1042" w:type="dxa"/>
            <w:noWrap/>
            <w:vAlign w:val="center"/>
          </w:tcPr>
          <w:p w14:paraId="46D62CE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w:t>
            </w:r>
          </w:p>
        </w:tc>
        <w:tc>
          <w:tcPr>
            <w:tcW w:w="722" w:type="dxa"/>
            <w:noWrap/>
            <w:vAlign w:val="center"/>
          </w:tcPr>
          <w:p w14:paraId="51EE1CC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0B18826F">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w:t>
            </w:r>
          </w:p>
        </w:tc>
      </w:tr>
      <w:tr w14:paraId="673F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23AB4A6D">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w:t>
            </w:r>
          </w:p>
        </w:tc>
        <w:tc>
          <w:tcPr>
            <w:tcW w:w="1278" w:type="dxa"/>
            <w:noWrap/>
            <w:vAlign w:val="center"/>
          </w:tcPr>
          <w:p w14:paraId="21E2DC16">
            <w:pPr>
              <w:keepNext w:val="0"/>
              <w:keepLines w:val="0"/>
              <w:widowControl/>
              <w:suppressLineNumbers w:val="0"/>
              <w:spacing w:line="360" w:lineRule="auto"/>
              <w:jc w:val="center"/>
              <w:textAlignment w:val="center"/>
              <w:outlineLvl w:val="9"/>
              <w:rPr>
                <w:rFonts w:hint="eastAsia" w:ascii="仿宋" w:hAnsi="仿宋" w:eastAsia="仿宋"/>
                <w:color w:val="auto"/>
                <w:sz w:val="24"/>
                <w:highlight w:val="none"/>
              </w:rPr>
            </w:pPr>
            <w:r>
              <w:rPr>
                <w:rFonts w:hint="default" w:ascii="仿宋" w:hAnsi="仿宋" w:eastAsia="仿宋" w:cs="仿宋"/>
                <w:i w:val="0"/>
                <w:iCs w:val="0"/>
                <w:color w:val="auto"/>
                <w:kern w:val="0"/>
                <w:sz w:val="24"/>
                <w:szCs w:val="24"/>
                <w:highlight w:val="none"/>
                <w:u w:val="none"/>
                <w:lang w:val="en-US" w:eastAsia="zh-CN" w:bidi="ar"/>
              </w:rPr>
              <w:t>经皮神经电刺激仪</w:t>
            </w:r>
          </w:p>
        </w:tc>
        <w:tc>
          <w:tcPr>
            <w:tcW w:w="5415" w:type="dxa"/>
            <w:noWrap/>
            <w:vAlign w:val="center"/>
          </w:tcPr>
          <w:p w14:paraId="6B8D8278">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液晶屏显示，按键操作</w:t>
            </w:r>
            <w:r>
              <w:rPr>
                <w:rFonts w:hint="eastAsia" w:ascii="仿宋" w:hAnsi="仿宋" w:eastAsia="仿宋" w:cs="仿宋"/>
                <w:color w:val="auto"/>
                <w:sz w:val="24"/>
                <w:szCs w:val="24"/>
                <w:highlight w:val="none"/>
                <w:lang w:eastAsia="zh-CN"/>
              </w:rPr>
              <w:t>；</w:t>
            </w:r>
          </w:p>
          <w:p w14:paraId="6C66FE34">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输出路数：≥4通道独立输出</w:t>
            </w:r>
            <w:r>
              <w:rPr>
                <w:rFonts w:hint="eastAsia" w:ascii="仿宋" w:hAnsi="仿宋" w:eastAsia="仿宋" w:cs="仿宋"/>
                <w:color w:val="auto"/>
                <w:sz w:val="24"/>
                <w:szCs w:val="24"/>
                <w:highlight w:val="none"/>
                <w:lang w:eastAsia="zh-CN"/>
              </w:rPr>
              <w:t>；</w:t>
            </w:r>
          </w:p>
          <w:p w14:paraId="1B404115">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载波波形：双向非对称方波</w:t>
            </w:r>
            <w:r>
              <w:rPr>
                <w:rFonts w:hint="eastAsia" w:ascii="仿宋" w:hAnsi="仿宋" w:eastAsia="仿宋" w:cs="仿宋"/>
                <w:color w:val="auto"/>
                <w:sz w:val="24"/>
                <w:szCs w:val="24"/>
                <w:highlight w:val="none"/>
                <w:lang w:eastAsia="zh-CN"/>
              </w:rPr>
              <w:t>；</w:t>
            </w:r>
          </w:p>
          <w:p w14:paraId="484A67C3">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脉冲宽度：≥20μs~500μs</w:t>
            </w:r>
            <w:r>
              <w:rPr>
                <w:rFonts w:hint="eastAsia" w:ascii="仿宋" w:hAnsi="仿宋" w:eastAsia="仿宋" w:cs="仿宋"/>
                <w:color w:val="auto"/>
                <w:sz w:val="24"/>
                <w:szCs w:val="24"/>
                <w:highlight w:val="none"/>
                <w:lang w:eastAsia="zh-CN"/>
              </w:rPr>
              <w:t>；</w:t>
            </w:r>
          </w:p>
          <w:p w14:paraId="4E717F7B">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脉冲频率：≥2Hz~160Hz范围内连续可调</w:t>
            </w:r>
            <w:r>
              <w:rPr>
                <w:rFonts w:hint="eastAsia" w:ascii="仿宋" w:hAnsi="仿宋" w:eastAsia="仿宋" w:cs="仿宋"/>
                <w:color w:val="auto"/>
                <w:sz w:val="24"/>
                <w:szCs w:val="24"/>
                <w:highlight w:val="none"/>
                <w:lang w:eastAsia="zh-CN"/>
              </w:rPr>
              <w:t>；</w:t>
            </w:r>
          </w:p>
          <w:p w14:paraId="3CCB40A5">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电流强度：输出电流峰值≥0mA~99mA连续可调</w:t>
            </w:r>
            <w:r>
              <w:rPr>
                <w:rFonts w:hint="eastAsia" w:ascii="仿宋" w:hAnsi="仿宋" w:eastAsia="仿宋" w:cs="仿宋"/>
                <w:color w:val="auto"/>
                <w:sz w:val="24"/>
                <w:szCs w:val="24"/>
                <w:highlight w:val="none"/>
                <w:lang w:eastAsia="zh-CN"/>
              </w:rPr>
              <w:t>；</w:t>
            </w:r>
          </w:p>
          <w:p w14:paraId="7C5A2E70">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定时功能：≥5min~30min可调</w:t>
            </w:r>
            <w:r>
              <w:rPr>
                <w:rFonts w:hint="eastAsia" w:ascii="仿宋" w:hAnsi="仿宋" w:eastAsia="仿宋" w:cs="仿宋"/>
                <w:color w:val="auto"/>
                <w:sz w:val="24"/>
                <w:szCs w:val="24"/>
                <w:highlight w:val="none"/>
                <w:lang w:eastAsia="zh-CN"/>
              </w:rPr>
              <w:t>；</w:t>
            </w:r>
          </w:p>
          <w:p w14:paraId="1FBA89BC">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8</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治疗模式：≥3种</w:t>
            </w:r>
            <w:r>
              <w:rPr>
                <w:rFonts w:hint="eastAsia" w:ascii="仿宋" w:hAnsi="仿宋" w:eastAsia="仿宋" w:cs="仿宋"/>
                <w:color w:val="auto"/>
                <w:sz w:val="24"/>
                <w:szCs w:val="24"/>
                <w:highlight w:val="none"/>
                <w:lang w:eastAsia="zh-CN"/>
              </w:rPr>
              <w:t>；</w:t>
            </w:r>
          </w:p>
          <w:p w14:paraId="425C5B50">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9</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智能提示功能：结束时有声音报警提示</w:t>
            </w:r>
            <w:r>
              <w:rPr>
                <w:rFonts w:hint="eastAsia" w:ascii="仿宋" w:hAnsi="仿宋" w:eastAsia="仿宋" w:cs="仿宋"/>
                <w:color w:val="auto"/>
                <w:sz w:val="24"/>
                <w:szCs w:val="24"/>
                <w:highlight w:val="none"/>
                <w:lang w:eastAsia="zh-CN"/>
              </w:rPr>
              <w:t>；</w:t>
            </w:r>
          </w:p>
          <w:p w14:paraId="627D128C">
            <w:pPr>
              <w:spacing w:before="0" w:line="400" w:lineRule="exact"/>
              <w:ind w:right="0" w:right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10</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连续工作时间≥4h</w:t>
            </w:r>
            <w:r>
              <w:rPr>
                <w:rFonts w:hint="eastAsia" w:ascii="仿宋" w:hAnsi="仿宋" w:eastAsia="仿宋" w:cs="仿宋"/>
                <w:color w:val="auto"/>
                <w:sz w:val="24"/>
                <w:szCs w:val="24"/>
                <w:highlight w:val="none"/>
                <w:lang w:eastAsia="zh-CN"/>
              </w:rPr>
              <w:t>。</w:t>
            </w:r>
          </w:p>
        </w:tc>
        <w:tc>
          <w:tcPr>
            <w:tcW w:w="1042" w:type="dxa"/>
            <w:noWrap/>
            <w:vAlign w:val="center"/>
          </w:tcPr>
          <w:p w14:paraId="7230741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w:t>
            </w:r>
          </w:p>
        </w:tc>
        <w:tc>
          <w:tcPr>
            <w:tcW w:w="722" w:type="dxa"/>
            <w:noWrap/>
            <w:vAlign w:val="center"/>
          </w:tcPr>
          <w:p w14:paraId="1A64BE2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10E2B1EF">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1.4</w:t>
            </w:r>
          </w:p>
        </w:tc>
      </w:tr>
      <w:tr w14:paraId="3CF8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4" w:type="dxa"/>
            <w:noWrap/>
            <w:vAlign w:val="center"/>
          </w:tcPr>
          <w:p w14:paraId="2A81D891">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w:t>
            </w:r>
          </w:p>
        </w:tc>
        <w:tc>
          <w:tcPr>
            <w:tcW w:w="1278" w:type="dxa"/>
            <w:shd w:val="clear" w:color="auto" w:fill="auto"/>
            <w:noWrap/>
            <w:vAlign w:val="center"/>
          </w:tcPr>
          <w:p w14:paraId="6ED2AEB6">
            <w:pPr>
              <w:keepNext w:val="0"/>
              <w:keepLines w:val="0"/>
              <w:widowControl/>
              <w:suppressLineNumbers w:val="0"/>
              <w:jc w:val="left"/>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正中神经与肌电反馈电刺激仪（促醒）</w:t>
            </w:r>
          </w:p>
        </w:tc>
        <w:tc>
          <w:tcPr>
            <w:tcW w:w="5415" w:type="dxa"/>
            <w:shd w:val="clear" w:color="auto" w:fill="auto"/>
            <w:noWrap/>
            <w:vAlign w:val="center"/>
          </w:tcPr>
          <w:p w14:paraId="0E109F86">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1.≥两个通道，便携机型或台面型，双通道可同时使用，互不干扰；</w:t>
            </w:r>
          </w:p>
          <w:p w14:paraId="177F31E3">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2.直流和交流两种供电方式；</w:t>
            </w:r>
          </w:p>
          <w:p w14:paraId="2D17148A">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3.内置锂电池，工作时间≥8小时；</w:t>
            </w:r>
          </w:p>
          <w:p w14:paraId="25223943">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4.内置抗干扰磁环；</w:t>
            </w:r>
          </w:p>
          <w:p w14:paraId="2BD13DB1">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5.具有≥3种刺激方式，包括处方刺激，自由刺激，反馈刺激，自定义方案等多种功能；</w:t>
            </w:r>
          </w:p>
          <w:p w14:paraId="2EAB719B">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6.处方刺激中包含≥8个部位的固定治疗方案，可直接选择需要治疗的部位；</w:t>
            </w:r>
          </w:p>
          <w:p w14:paraId="0CA80D59">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7.阈值可手动设定和自动设定，根据不同治疗情况下选择；</w:t>
            </w:r>
          </w:p>
          <w:p w14:paraId="2BD2B544">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8.反馈阈值：≥10μV～999μV；</w:t>
            </w:r>
          </w:p>
          <w:p w14:paraId="36AF6EBB">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9.最高分辨率：≤2μV；</w:t>
            </w:r>
          </w:p>
          <w:p w14:paraId="51B3F81D">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10.输入噪声：≤1μV；</w:t>
            </w:r>
          </w:p>
          <w:p w14:paraId="61A9C2E9">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11.电流强度0～50mA可调，误差±10%；</w:t>
            </w:r>
          </w:p>
          <w:p w14:paraId="17BED8E3">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12.通频带：不窄于20Hz～500Hz（﹣3dB）；</w:t>
            </w:r>
          </w:p>
          <w:p w14:paraId="748C33A1">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13.输出频率为≥1～120Hz；</w:t>
            </w:r>
          </w:p>
          <w:p w14:paraId="2B18DEF4">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14.脉宽为≥50～500μs；</w:t>
            </w:r>
          </w:p>
          <w:p w14:paraId="569D195D">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15.共模抑制比：≥100dB；</w:t>
            </w:r>
          </w:p>
          <w:p w14:paraId="15B75D37">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16.具有定时功能。</w:t>
            </w:r>
          </w:p>
        </w:tc>
        <w:tc>
          <w:tcPr>
            <w:tcW w:w="1042" w:type="dxa"/>
            <w:shd w:val="clear" w:color="auto" w:fill="auto"/>
            <w:noWrap/>
            <w:vAlign w:val="center"/>
          </w:tcPr>
          <w:p w14:paraId="4D48AA3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w:t>
            </w:r>
          </w:p>
        </w:tc>
        <w:tc>
          <w:tcPr>
            <w:tcW w:w="722" w:type="dxa"/>
            <w:noWrap/>
            <w:vAlign w:val="center"/>
          </w:tcPr>
          <w:p w14:paraId="46A605C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shd w:val="clear" w:color="auto" w:fill="FFFFFF"/>
            <w:noWrap/>
            <w:vAlign w:val="center"/>
          </w:tcPr>
          <w:p w14:paraId="2384CDD1">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4.5</w:t>
            </w:r>
          </w:p>
        </w:tc>
      </w:tr>
    </w:tbl>
    <w:p w14:paraId="0A157CA0">
      <w:pPr>
        <w:spacing w:line="360" w:lineRule="auto"/>
        <w:ind w:firstLine="482" w:firstLineChars="200"/>
        <w:rPr>
          <w:rFonts w:hint="eastAsia" w:ascii="仿宋" w:hAnsi="仿宋" w:eastAsia="仿宋"/>
          <w:b/>
          <w:bCs/>
          <w:color w:val="auto"/>
          <w:sz w:val="24"/>
          <w:highlight w:val="none"/>
          <w:lang w:eastAsia="zh-CN"/>
        </w:rPr>
      </w:pPr>
    </w:p>
    <w:p w14:paraId="37F21D7E">
      <w:pPr>
        <w:spacing w:line="360" w:lineRule="auto"/>
        <w:ind w:firstLine="482" w:firstLineChars="200"/>
        <w:rPr>
          <w:rFonts w:hint="eastAsia" w:ascii="仿宋" w:hAnsi="仿宋" w:eastAsia="仿宋"/>
          <w:b/>
          <w:bCs/>
          <w:color w:val="auto"/>
          <w:sz w:val="24"/>
          <w:highlight w:val="none"/>
          <w:lang w:val="en-US" w:eastAsia="zh-CN"/>
        </w:rPr>
      </w:pPr>
      <w:r>
        <w:rPr>
          <w:rFonts w:hint="eastAsia" w:ascii="仿宋" w:hAnsi="仿宋" w:eastAsia="仿宋"/>
          <w:b/>
          <w:bCs/>
          <w:color w:val="auto"/>
          <w:sz w:val="24"/>
          <w:highlight w:val="none"/>
          <w:lang w:val="en-US" w:eastAsia="zh-CN"/>
        </w:rPr>
        <w:t>第二包：</w:t>
      </w:r>
    </w:p>
    <w:p w14:paraId="0E1F488B">
      <w:pPr>
        <w:spacing w:line="360" w:lineRule="auto"/>
        <w:ind w:firstLine="480" w:firstLineChars="200"/>
        <w:rPr>
          <w:rFonts w:hint="default" w:ascii="仿宋" w:hAnsi="仿宋" w:eastAsia="仿宋" w:cs="Times New Roman"/>
          <w:color w:val="auto"/>
          <w:sz w:val="24"/>
          <w:szCs w:val="24"/>
          <w:highlight w:val="none"/>
          <w:lang w:val="en-US" w:eastAsia="zh-CN"/>
        </w:rPr>
      </w:pPr>
      <w:r>
        <w:rPr>
          <w:rFonts w:hint="eastAsia" w:ascii="仿宋" w:hAnsi="仿宋" w:eastAsia="仿宋" w:cs="Times New Roman"/>
          <w:color w:val="auto"/>
          <w:sz w:val="24"/>
          <w:szCs w:val="24"/>
          <w:highlight w:val="none"/>
          <w:lang w:val="en-US" w:eastAsia="zh-CN"/>
        </w:rPr>
        <w:t>2.1产品明细</w:t>
      </w:r>
    </w:p>
    <w:tbl>
      <w:tblPr>
        <w:tblStyle w:val="23"/>
        <w:tblW w:w="979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1"/>
        <w:gridCol w:w="3012"/>
        <w:gridCol w:w="1759"/>
        <w:gridCol w:w="941"/>
        <w:gridCol w:w="1708"/>
        <w:gridCol w:w="1543"/>
      </w:tblGrid>
      <w:tr w14:paraId="73E75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F53F">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序号</w:t>
            </w:r>
          </w:p>
        </w:tc>
        <w:tc>
          <w:tcPr>
            <w:tcW w:w="3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0F8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科室</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3DB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产品名称</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045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数量</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9A95">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控制单价</w:t>
            </w:r>
          </w:p>
          <w:p w14:paraId="494115F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（万元）</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2B69">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合计</w:t>
            </w:r>
          </w:p>
          <w:p w14:paraId="397D082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（万元）</w:t>
            </w:r>
          </w:p>
        </w:tc>
      </w:tr>
      <w:tr w14:paraId="63FAC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26F23">
            <w:pPr>
              <w:keepNext w:val="0"/>
              <w:keepLines w:val="0"/>
              <w:widowControl/>
              <w:suppressLineNumbers w:val="0"/>
              <w:jc w:val="left"/>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E6D58">
            <w:pPr>
              <w:keepNext w:val="0"/>
              <w:keepLines w:val="0"/>
              <w:widowControl/>
              <w:suppressLineNumbers w:val="0"/>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康复科</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3E9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TDP</w:t>
            </w:r>
            <w:r>
              <w:rPr>
                <w:rFonts w:hint="eastAsia" w:ascii="仿宋" w:hAnsi="仿宋" w:eastAsia="仿宋" w:cs="仿宋"/>
                <w:i w:val="0"/>
                <w:iCs w:val="0"/>
                <w:color w:val="auto"/>
                <w:kern w:val="0"/>
                <w:sz w:val="24"/>
                <w:szCs w:val="24"/>
                <w:highlight w:val="none"/>
                <w:u w:val="none"/>
                <w:lang w:val="en-US" w:eastAsia="zh-CN" w:bidi="ar"/>
              </w:rPr>
              <w:t>特定电磁波治疗器</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74C9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30</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552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0.042</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673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1.26</w:t>
            </w:r>
          </w:p>
        </w:tc>
      </w:tr>
      <w:tr w14:paraId="129A4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25C29">
            <w:pPr>
              <w:keepNext w:val="0"/>
              <w:keepLines w:val="0"/>
              <w:widowControl/>
              <w:suppressLineNumbers w:val="0"/>
              <w:jc w:val="left"/>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61022">
            <w:pPr>
              <w:keepNext w:val="0"/>
              <w:keepLines w:val="0"/>
              <w:widowControl/>
              <w:suppressLineNumbers w:val="0"/>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康复科门诊</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FC5E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olor w:val="auto"/>
                <w:sz w:val="24"/>
                <w:highlight w:val="none"/>
              </w:rPr>
              <w:t>●</w:t>
            </w:r>
            <w:r>
              <w:rPr>
                <w:rFonts w:hint="eastAsia" w:ascii="仿宋" w:hAnsi="仿宋" w:eastAsia="仿宋" w:cs="仿宋"/>
                <w:i w:val="0"/>
                <w:iCs w:val="0"/>
                <w:color w:val="auto"/>
                <w:kern w:val="0"/>
                <w:sz w:val="24"/>
                <w:szCs w:val="24"/>
                <w:highlight w:val="none"/>
                <w:u w:val="none"/>
                <w:lang w:val="en-US" w:eastAsia="zh-CN" w:bidi="ar"/>
              </w:rPr>
              <w:t>可编程可穿戴治疗仪</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EBA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A0AF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16</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1E16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32</w:t>
            </w:r>
          </w:p>
        </w:tc>
      </w:tr>
      <w:tr w14:paraId="45EA2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E787">
            <w:pPr>
              <w:keepNext w:val="0"/>
              <w:keepLines w:val="0"/>
              <w:widowControl/>
              <w:suppressLineNumbers w:val="0"/>
              <w:jc w:val="left"/>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3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B9F9">
            <w:pPr>
              <w:keepNext w:val="0"/>
              <w:keepLines w:val="0"/>
              <w:widowControl/>
              <w:suppressLineNumbers w:val="0"/>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康复科</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7CD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超声波治疗仪</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EB4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2050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3.5000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EB2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w:t>
            </w:r>
          </w:p>
        </w:tc>
      </w:tr>
    </w:tbl>
    <w:p w14:paraId="6AFEE2EB">
      <w:pPr>
        <w:spacing w:line="360" w:lineRule="auto"/>
        <w:ind w:firstLine="480" w:firstLineChars="200"/>
        <w:rPr>
          <w:rFonts w:hint="eastAsia" w:ascii="仿宋" w:hAnsi="仿宋" w:eastAsia="仿宋"/>
          <w:b w:val="0"/>
          <w:bCs w:val="0"/>
          <w:color w:val="auto"/>
          <w:sz w:val="24"/>
          <w:highlight w:val="none"/>
          <w:lang w:val="en-US" w:eastAsia="zh-CN"/>
        </w:rPr>
      </w:pPr>
    </w:p>
    <w:p w14:paraId="78643C9E">
      <w:pPr>
        <w:spacing w:line="360" w:lineRule="auto"/>
        <w:ind w:firstLine="480" w:firstLineChars="200"/>
        <w:rPr>
          <w:rFonts w:hint="eastAsia" w:ascii="仿宋" w:hAnsi="仿宋" w:eastAsia="仿宋"/>
          <w:b w:val="0"/>
          <w:bCs w:val="0"/>
          <w:color w:val="auto"/>
          <w:sz w:val="24"/>
          <w:highlight w:val="none"/>
          <w:lang w:val="en-US" w:eastAsia="zh-CN"/>
        </w:rPr>
      </w:pPr>
    </w:p>
    <w:p w14:paraId="54AF2AAC">
      <w:pPr>
        <w:spacing w:line="360" w:lineRule="auto"/>
        <w:ind w:firstLine="480" w:firstLineChars="200"/>
        <w:rPr>
          <w:rFonts w:hint="default" w:ascii="仿宋" w:hAnsi="仿宋" w:eastAsia="仿宋"/>
          <w:b w:val="0"/>
          <w:bCs w:val="0"/>
          <w:color w:val="auto"/>
          <w:sz w:val="24"/>
          <w:highlight w:val="none"/>
          <w:lang w:val="en-US" w:eastAsia="zh-CN"/>
        </w:rPr>
      </w:pPr>
      <w:r>
        <w:rPr>
          <w:rFonts w:hint="eastAsia" w:ascii="仿宋" w:hAnsi="仿宋" w:eastAsia="仿宋"/>
          <w:b w:val="0"/>
          <w:bCs w:val="0"/>
          <w:color w:val="auto"/>
          <w:sz w:val="24"/>
          <w:highlight w:val="none"/>
          <w:lang w:val="en-US" w:eastAsia="zh-CN"/>
        </w:rPr>
        <w:t>2.2采购需求</w:t>
      </w:r>
    </w:p>
    <w:tbl>
      <w:tblPr>
        <w:tblStyle w:val="23"/>
        <w:tblW w:w="9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125"/>
        <w:gridCol w:w="4875"/>
        <w:gridCol w:w="1042"/>
        <w:gridCol w:w="722"/>
        <w:gridCol w:w="1145"/>
      </w:tblGrid>
      <w:tr w14:paraId="7C75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92" w:type="dxa"/>
            <w:noWrap/>
            <w:vAlign w:val="center"/>
          </w:tcPr>
          <w:p w14:paraId="4D3919D4">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序号</w:t>
            </w:r>
          </w:p>
        </w:tc>
        <w:tc>
          <w:tcPr>
            <w:tcW w:w="1125" w:type="dxa"/>
            <w:noWrap/>
            <w:vAlign w:val="center"/>
          </w:tcPr>
          <w:p w14:paraId="626C72D4">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货物名称</w:t>
            </w:r>
          </w:p>
        </w:tc>
        <w:tc>
          <w:tcPr>
            <w:tcW w:w="4875" w:type="dxa"/>
            <w:noWrap/>
            <w:vAlign w:val="center"/>
          </w:tcPr>
          <w:p w14:paraId="4B408FC2">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技术参数</w:t>
            </w:r>
          </w:p>
        </w:tc>
        <w:tc>
          <w:tcPr>
            <w:tcW w:w="1042" w:type="dxa"/>
            <w:noWrap/>
            <w:vAlign w:val="center"/>
          </w:tcPr>
          <w:p w14:paraId="6EDD9222">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数量</w:t>
            </w:r>
          </w:p>
        </w:tc>
        <w:tc>
          <w:tcPr>
            <w:tcW w:w="722" w:type="dxa"/>
            <w:noWrap/>
            <w:vAlign w:val="center"/>
          </w:tcPr>
          <w:p w14:paraId="5B80AC87">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单位</w:t>
            </w:r>
          </w:p>
        </w:tc>
        <w:tc>
          <w:tcPr>
            <w:tcW w:w="1145" w:type="dxa"/>
            <w:noWrap/>
            <w:vAlign w:val="center"/>
          </w:tcPr>
          <w:p w14:paraId="0583CA3E">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控制单价（万元）</w:t>
            </w:r>
          </w:p>
        </w:tc>
      </w:tr>
      <w:tr w14:paraId="46E3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92" w:type="dxa"/>
            <w:noWrap/>
            <w:vAlign w:val="center"/>
          </w:tcPr>
          <w:p w14:paraId="4096E541">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125" w:type="dxa"/>
            <w:noWrap/>
            <w:vAlign w:val="center"/>
          </w:tcPr>
          <w:p w14:paraId="4EF5E0A7">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TDP</w:t>
            </w:r>
            <w:r>
              <w:rPr>
                <w:rFonts w:hint="eastAsia" w:ascii="仿宋" w:hAnsi="仿宋" w:eastAsia="仿宋" w:cs="仿宋"/>
                <w:i w:val="0"/>
                <w:iCs w:val="0"/>
                <w:color w:val="auto"/>
                <w:kern w:val="0"/>
                <w:sz w:val="24"/>
                <w:szCs w:val="24"/>
                <w:highlight w:val="none"/>
                <w:u w:val="none"/>
                <w:lang w:val="en-US" w:eastAsia="zh-CN" w:bidi="ar"/>
              </w:rPr>
              <w:t>特定电磁波治疗器</w:t>
            </w:r>
          </w:p>
        </w:tc>
        <w:tc>
          <w:tcPr>
            <w:tcW w:w="4875" w:type="dxa"/>
            <w:noWrap/>
            <w:vAlign w:val="center"/>
          </w:tcPr>
          <w:p w14:paraId="4D23786B">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1.波长范围：2-25um；</w:t>
            </w:r>
          </w:p>
          <w:p w14:paraId="3608BEC2">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2.治疗头直径：≥18cm；</w:t>
            </w:r>
          </w:p>
          <w:p w14:paraId="2C6890B6">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3.活动臂伸缩范围：≥0-760mm；</w:t>
            </w:r>
          </w:p>
          <w:p w14:paraId="530DF53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4.立柱升降范围：≥0-150mm；</w:t>
            </w:r>
          </w:p>
          <w:p w14:paraId="6E84D6E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5.定时方式：至少包含30min、45min、60min、长通；</w:t>
            </w:r>
          </w:p>
          <w:p w14:paraId="1E15C7B8">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6.调温档位：≥三档；</w:t>
            </w:r>
          </w:p>
          <w:p w14:paraId="248669D4">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7.防水防尘等级：≥IP22；</w:t>
            </w:r>
          </w:p>
          <w:p w14:paraId="4E2BE574">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8.倾倒防护：设备倾倒可自动断电。</w:t>
            </w:r>
          </w:p>
        </w:tc>
        <w:tc>
          <w:tcPr>
            <w:tcW w:w="1042" w:type="dxa"/>
            <w:noWrap/>
            <w:vAlign w:val="center"/>
          </w:tcPr>
          <w:p w14:paraId="72ABCA7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30</w:t>
            </w:r>
          </w:p>
        </w:tc>
        <w:tc>
          <w:tcPr>
            <w:tcW w:w="722" w:type="dxa"/>
            <w:noWrap/>
            <w:vAlign w:val="center"/>
          </w:tcPr>
          <w:p w14:paraId="07A06BA9">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noWrap/>
            <w:vAlign w:val="center"/>
          </w:tcPr>
          <w:p w14:paraId="316A7BC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0.042</w:t>
            </w:r>
          </w:p>
        </w:tc>
      </w:tr>
      <w:tr w14:paraId="4E2C9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92" w:type="dxa"/>
            <w:noWrap/>
            <w:vAlign w:val="center"/>
          </w:tcPr>
          <w:p w14:paraId="78696408">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125" w:type="dxa"/>
            <w:noWrap/>
            <w:vAlign w:val="center"/>
          </w:tcPr>
          <w:p w14:paraId="00636E1C">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olor w:val="auto"/>
                <w:sz w:val="24"/>
                <w:highlight w:val="none"/>
              </w:rPr>
              <w:t>●</w:t>
            </w:r>
            <w:r>
              <w:rPr>
                <w:rFonts w:hint="eastAsia" w:ascii="仿宋" w:hAnsi="仿宋" w:eastAsia="仿宋" w:cs="仿宋"/>
                <w:i w:val="0"/>
                <w:iCs w:val="0"/>
                <w:color w:val="auto"/>
                <w:kern w:val="0"/>
                <w:sz w:val="24"/>
                <w:szCs w:val="24"/>
                <w:highlight w:val="none"/>
                <w:u w:val="none"/>
                <w:lang w:val="en-US" w:eastAsia="zh-CN" w:bidi="ar"/>
              </w:rPr>
              <w:t>可编程可穿戴治疗仪</w:t>
            </w:r>
          </w:p>
        </w:tc>
        <w:tc>
          <w:tcPr>
            <w:tcW w:w="4875" w:type="dxa"/>
            <w:noWrap/>
            <w:vAlign w:val="center"/>
          </w:tcPr>
          <w:p w14:paraId="1A0137F2">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1.系统可实现中频与低频两种电刺激功能，可单独或同时使用</w:t>
            </w:r>
          </w:p>
          <w:p w14:paraId="58180664">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2.主机具备≥7.8英寸触屏操作显示屏</w:t>
            </w:r>
          </w:p>
          <w:p w14:paraId="5268468D">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3.主机部分具有≥2个独立中频输出通道，</w:t>
            </w:r>
          </w:p>
          <w:p w14:paraId="67469478">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Times New Roman"/>
                <w:color w:val="auto"/>
                <w:sz w:val="24"/>
                <w:highlight w:val="none"/>
              </w:rPr>
              <w:t>＃</w:t>
            </w:r>
            <w:r>
              <w:rPr>
                <w:rFonts w:hint="eastAsia" w:ascii="仿宋" w:hAnsi="仿宋" w:eastAsia="仿宋" w:cs="仿宋"/>
                <w:i w:val="0"/>
                <w:iCs w:val="0"/>
                <w:color w:val="auto"/>
                <w:kern w:val="0"/>
                <w:sz w:val="24"/>
                <w:szCs w:val="24"/>
                <w:highlight w:val="none"/>
                <w:u w:val="none"/>
                <w:lang w:val="en-US" w:eastAsia="zh-CN" w:bidi="ar"/>
              </w:rPr>
              <w:t>4.系统具备同时给≥24个低频无线接收器配置处方。</w:t>
            </w:r>
          </w:p>
          <w:p w14:paraId="095004A8">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Times New Roman"/>
                <w:color w:val="auto"/>
                <w:sz w:val="24"/>
                <w:highlight w:val="none"/>
              </w:rPr>
              <w:t>＃</w:t>
            </w:r>
            <w:r>
              <w:rPr>
                <w:rFonts w:hint="eastAsia" w:ascii="仿宋" w:hAnsi="仿宋" w:eastAsia="仿宋" w:cs="仿宋"/>
                <w:i w:val="0"/>
                <w:iCs w:val="0"/>
                <w:color w:val="auto"/>
                <w:kern w:val="0"/>
                <w:sz w:val="24"/>
                <w:szCs w:val="24"/>
                <w:highlight w:val="none"/>
                <w:u w:val="none"/>
                <w:lang w:val="en-US" w:eastAsia="zh-CN" w:bidi="ar"/>
              </w:rPr>
              <w:t>5.低频电刺激模块，可脱离主机单独使用。</w:t>
            </w:r>
          </w:p>
          <w:p w14:paraId="697340A3">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6.低频电刺激模块上可单独进行强度调节，启停调节。</w:t>
            </w:r>
          </w:p>
          <w:p w14:paraId="65CF8447">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7.低频电刺激模块具有连接口设计。</w:t>
            </w:r>
          </w:p>
          <w:p w14:paraId="759CA6C0">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8.主机配置移动台车</w:t>
            </w:r>
          </w:p>
          <w:p w14:paraId="1F45382A">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9.主机预置中频治疗方案数≥10个，低频治疗方案数≥27个。</w:t>
            </w:r>
          </w:p>
          <w:p w14:paraId="40B341B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10.软件内置各治疗方案的电极贴片位置示意图，指导用户准确使用。</w:t>
            </w:r>
          </w:p>
          <w:p w14:paraId="5B82646C">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11.波形种类：方波、正弦波、三角波，可调节强度范围≥1-36档位</w:t>
            </w:r>
          </w:p>
          <w:p w14:paraId="5D677F88">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12.治疗时间默认≥20分钟，可调范围：5～60分钟，调整范围内的参数为数字式连续可调。</w:t>
            </w:r>
          </w:p>
          <w:p w14:paraId="2D720637">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13.电刺激治疗通断时间均可在1～60s自由调节，满足患者个性化治疗处方的设置。</w:t>
            </w:r>
          </w:p>
        </w:tc>
        <w:tc>
          <w:tcPr>
            <w:tcW w:w="1042" w:type="dxa"/>
            <w:noWrap/>
            <w:vAlign w:val="center"/>
          </w:tcPr>
          <w:p w14:paraId="2963393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w:t>
            </w:r>
          </w:p>
        </w:tc>
        <w:tc>
          <w:tcPr>
            <w:tcW w:w="722" w:type="dxa"/>
            <w:noWrap/>
            <w:vAlign w:val="center"/>
          </w:tcPr>
          <w:p w14:paraId="45DA2C29">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noWrap/>
            <w:vAlign w:val="center"/>
          </w:tcPr>
          <w:p w14:paraId="2F27C68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16</w:t>
            </w:r>
          </w:p>
        </w:tc>
      </w:tr>
      <w:tr w14:paraId="35E9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92" w:type="dxa"/>
            <w:noWrap/>
            <w:vAlign w:val="center"/>
          </w:tcPr>
          <w:p w14:paraId="72C5A24C">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w:t>
            </w:r>
          </w:p>
        </w:tc>
        <w:tc>
          <w:tcPr>
            <w:tcW w:w="1125" w:type="dxa"/>
            <w:noWrap/>
            <w:vAlign w:val="center"/>
          </w:tcPr>
          <w:p w14:paraId="0D9650C5">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超声波治疗仪</w:t>
            </w:r>
          </w:p>
        </w:tc>
        <w:tc>
          <w:tcPr>
            <w:tcW w:w="4875" w:type="dxa"/>
            <w:noWrap/>
            <w:vAlign w:val="center"/>
          </w:tcPr>
          <w:p w14:paraId="4FB5056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1.显示：中文彩色显示屏；</w:t>
            </w:r>
          </w:p>
          <w:p w14:paraId="3B43F983">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2.超声输出：连续波输出模式、超声脉冲输出模式；</w:t>
            </w:r>
          </w:p>
          <w:p w14:paraId="27DBCBA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3.超声工作频率：可实现双频输出（1 MHz/3 MHz）；</w:t>
            </w:r>
          </w:p>
          <w:p w14:paraId="014198F7">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4.脉冲模式占空比：占空比10-100%可调；</w:t>
            </w:r>
          </w:p>
          <w:p w14:paraId="7E1A9352">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5.处方功能：内含≥10个临床常见疾病的标准处方；可以保存≥10个自定义处方；</w:t>
            </w:r>
          </w:p>
          <w:p w14:paraId="1850799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6.治疗时间可调；</w:t>
            </w:r>
          </w:p>
          <w:p w14:paraId="244D452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7.治疗信息：内设固定处方带有治疗信息，预设治疗处方；</w:t>
            </w:r>
          </w:p>
          <w:p w14:paraId="1B51EB5B">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8.接触控制功能：当超声治疗头接触不良时，输出中断，同时治疗计时中断，超声输出暂停，重新接触后恢复治疗输出，无需再次调节；</w:t>
            </w:r>
          </w:p>
          <w:p w14:paraId="794937E2">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9.设备具有通过软件自动校准或自动修复功能；</w:t>
            </w:r>
          </w:p>
          <w:p w14:paraId="04A22669">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10.具有接触式光圈反馈功能；</w:t>
            </w:r>
          </w:p>
          <w:p w14:paraId="2A681C4B">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11.可选配扩展吸附超声治疗模块；</w:t>
            </w:r>
          </w:p>
          <w:p w14:paraId="72753E79">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12.可选配双通道，双通道分别单独设定治疗参数，可同时使用；</w:t>
            </w:r>
          </w:p>
          <w:p w14:paraId="5412BFCC">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13.机器铭牌标注使用年限≧8年；</w:t>
            </w:r>
          </w:p>
          <w:p w14:paraId="2D1CA568">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14.声强和占空比变化可显示；</w:t>
            </w:r>
          </w:p>
          <w:p w14:paraId="1E440867">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15.输出剂量实时显示功能；</w:t>
            </w:r>
          </w:p>
          <w:p w14:paraId="2DD82A91">
            <w:pPr>
              <w:keepNext w:val="0"/>
              <w:keepLines w:val="0"/>
              <w:widowControl/>
              <w:suppressLineNumbers w:val="0"/>
              <w:spacing w:line="360" w:lineRule="auto"/>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16.超声最小输出强度≦0.2W/cm²。</w:t>
            </w:r>
          </w:p>
        </w:tc>
        <w:tc>
          <w:tcPr>
            <w:tcW w:w="1042" w:type="dxa"/>
            <w:noWrap/>
            <w:vAlign w:val="center"/>
          </w:tcPr>
          <w:p w14:paraId="294F5722">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722" w:type="dxa"/>
            <w:noWrap/>
            <w:vAlign w:val="center"/>
          </w:tcPr>
          <w:p w14:paraId="339A7414">
            <w:pPr>
              <w:keepNext w:val="0"/>
              <w:keepLines w:val="0"/>
              <w:widowControl/>
              <w:suppressLineNumbers w:val="0"/>
              <w:spacing w:line="360" w:lineRule="auto"/>
              <w:jc w:val="center"/>
              <w:textAlignment w:val="center"/>
              <w:outlineLvl w:val="9"/>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1145" w:type="dxa"/>
            <w:noWrap/>
            <w:vAlign w:val="center"/>
          </w:tcPr>
          <w:p w14:paraId="6E61A74F">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3.5000</w:t>
            </w:r>
          </w:p>
        </w:tc>
      </w:tr>
    </w:tbl>
    <w:p w14:paraId="5CD79BCD">
      <w:pPr>
        <w:spacing w:line="360" w:lineRule="auto"/>
        <w:ind w:firstLine="482" w:firstLineChars="200"/>
        <w:rPr>
          <w:rFonts w:hint="eastAsia" w:ascii="仿宋" w:hAnsi="仿宋" w:eastAsia="仿宋"/>
          <w:b/>
          <w:bCs/>
          <w:color w:val="auto"/>
          <w:sz w:val="24"/>
          <w:highlight w:val="none"/>
          <w:lang w:eastAsia="zh-CN"/>
        </w:rPr>
      </w:pPr>
    </w:p>
    <w:p w14:paraId="7DEBF046">
      <w:pPr>
        <w:spacing w:line="360" w:lineRule="auto"/>
        <w:ind w:firstLine="482" w:firstLineChars="200"/>
        <w:rPr>
          <w:rFonts w:ascii="仿宋" w:hAnsi="仿宋" w:eastAsia="仿宋"/>
          <w:b/>
          <w:bCs/>
          <w:color w:val="auto"/>
          <w:sz w:val="24"/>
          <w:highlight w:val="none"/>
        </w:rPr>
      </w:pPr>
      <w:r>
        <w:rPr>
          <w:rFonts w:hint="eastAsia" w:ascii="仿宋" w:hAnsi="仿宋" w:eastAsia="仿宋"/>
          <w:b/>
          <w:bCs/>
          <w:color w:val="auto"/>
          <w:sz w:val="24"/>
          <w:highlight w:val="none"/>
          <w:lang w:eastAsia="zh-CN"/>
        </w:rPr>
        <w:t>采购人</w:t>
      </w:r>
      <w:r>
        <w:rPr>
          <w:rFonts w:hint="eastAsia" w:ascii="仿宋" w:hAnsi="仿宋" w:eastAsia="仿宋"/>
          <w:b/>
          <w:bCs/>
          <w:color w:val="auto"/>
          <w:sz w:val="24"/>
          <w:highlight w:val="none"/>
        </w:rPr>
        <w:t>允许偏离范围或者幅度:</w:t>
      </w:r>
    </w:p>
    <w:p w14:paraId="168F92EE">
      <w:pPr>
        <w:wordWrap w:val="0"/>
        <w:spacing w:line="360" w:lineRule="auto"/>
        <w:ind w:firstLine="482" w:firstLineChars="200"/>
        <w:rPr>
          <w:b/>
          <w:bCs/>
          <w:color w:val="auto"/>
          <w:highlight w:val="none"/>
        </w:rPr>
      </w:pPr>
      <w:r>
        <w:rPr>
          <w:rFonts w:hint="eastAsia" w:ascii="仿宋" w:hAnsi="仿宋" w:eastAsia="仿宋"/>
          <w:b/>
          <w:bCs/>
          <w:color w:val="auto"/>
          <w:sz w:val="24"/>
          <w:highlight w:val="none"/>
        </w:rPr>
        <w:t>带“★”条款为实质性条款，投标人必须按照招标文件的要求做出实质性响应，不允许负偏离，否则投标无效。投标人若有其余偏离项由评标委员会根据评标办法进行综合评定。</w:t>
      </w:r>
    </w:p>
    <w:bookmarkEnd w:id="8"/>
    <w:bookmarkEnd w:id="9"/>
    <w:p w14:paraId="55BFFE79">
      <w:pPr>
        <w:spacing w:afterLines="50" w:line="400" w:lineRule="exact"/>
        <w:ind w:firstLine="480" w:firstLineChars="200"/>
        <w:outlineLvl w:val="2"/>
        <w:rPr>
          <w:rFonts w:ascii="Times New Roman" w:hAnsi="Times New Roman" w:eastAsia="楷体" w:cs="Times New Roman"/>
          <w:b w:val="0"/>
          <w:bCs w:val="0"/>
          <w:color w:val="auto"/>
          <w:sz w:val="28"/>
          <w:szCs w:val="28"/>
          <w:highlight w:val="none"/>
        </w:rPr>
      </w:pPr>
      <w:bookmarkStart w:id="10" w:name="_Toc32520"/>
      <w:bookmarkStart w:id="11" w:name="_Toc7199"/>
      <w:r>
        <w:rPr>
          <w:rFonts w:hint="eastAsia" w:ascii="仿宋" w:hAnsi="仿宋" w:eastAsia="仿宋" w:cs="Times New Roman"/>
          <w:color w:val="auto"/>
          <w:sz w:val="24"/>
          <w:highlight w:val="none"/>
          <w:lang w:val="en-US" w:eastAsia="zh-CN"/>
        </w:rPr>
        <w:t>★</w:t>
      </w:r>
      <w:r>
        <w:rPr>
          <w:rFonts w:hint="eastAsia" w:ascii="Times New Roman" w:hAnsi="Times New Roman" w:eastAsia="楷体" w:cs="Times New Roman"/>
          <w:b w:val="0"/>
          <w:bCs w:val="0"/>
          <w:color w:val="auto"/>
          <w:sz w:val="28"/>
          <w:szCs w:val="28"/>
          <w:highlight w:val="none"/>
        </w:rPr>
        <w:t>3.商务条件</w:t>
      </w:r>
      <w:bookmarkEnd w:id="10"/>
      <w:bookmarkEnd w:id="11"/>
    </w:p>
    <w:p w14:paraId="57CFE6F1">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3.1签订合同后 15个日历日内供货或根据甲方通知时间供货；</w:t>
      </w:r>
    </w:p>
    <w:p w14:paraId="3BD0E001">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3.2属于医疗器械的，需经过NMPA认证</w:t>
      </w:r>
    </w:p>
    <w:p w14:paraId="2A35AFF1">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3.3所投产品属国家市场监督管理总局2020年第42号《</w:t>
      </w:r>
      <w:r>
        <w:rPr>
          <w:rFonts w:hint="eastAsia" w:ascii="仿宋" w:hAnsi="仿宋" w:eastAsia="仿宋" w:cs="Times New Roman"/>
          <w:color w:val="auto"/>
          <w:sz w:val="24"/>
          <w:highlight w:val="none"/>
          <w:lang w:val="en-US" w:eastAsia="zh-CN"/>
        </w:rPr>
        <w:fldChar w:fldCharType="begin"/>
      </w:r>
      <w:r>
        <w:rPr>
          <w:rFonts w:hint="eastAsia" w:ascii="仿宋" w:hAnsi="仿宋" w:eastAsia="仿宋" w:cs="Times New Roman"/>
          <w:color w:val="auto"/>
          <w:sz w:val="24"/>
          <w:highlight w:val="none"/>
          <w:lang w:val="en-US" w:eastAsia="zh-CN"/>
        </w:rPr>
        <w:instrText xml:space="preserve"> HYPERLINK "https://www.samr.gov.cn/api-gateway/jpaas-web-server/front/document/download?fileUrl=YW5UzzlvCwcM/NHHX/tT6KwXYps3uQ8ZcK2HqJxEZb//lX1R4SBg7B8xreD9bBaqiPLAhKLzeyHq4mwDRFJUwrvVb9HPMufZAWMj+U17R85VdDZQWglPLFTt/1G7LAmHq7DH3dT/d17dGp6wpCPhM9/DP5MBa/LWUSPrUNJEcBw=&amp;fileName=%E5%AE%9E%E6%96%BD%E5%BC%BA%E5%88%B6%E7%AE%A1%E7%90%86%E7%9A%84%E8%AE%A1%E9%87%8F%E5%99%A8%E5%85%B7%E7%9B%AE%E5%BD%95.pdf" </w:instrText>
      </w:r>
      <w:r>
        <w:rPr>
          <w:rFonts w:hint="eastAsia" w:ascii="仿宋" w:hAnsi="仿宋" w:eastAsia="仿宋" w:cs="Times New Roman"/>
          <w:color w:val="auto"/>
          <w:sz w:val="24"/>
          <w:highlight w:val="none"/>
          <w:lang w:val="en-US" w:eastAsia="zh-CN"/>
        </w:rPr>
        <w:fldChar w:fldCharType="separate"/>
      </w:r>
      <w:r>
        <w:rPr>
          <w:rFonts w:hint="eastAsia" w:ascii="仿宋" w:hAnsi="仿宋" w:eastAsia="仿宋" w:cs="Times New Roman"/>
          <w:color w:val="auto"/>
          <w:sz w:val="24"/>
          <w:highlight w:val="none"/>
          <w:lang w:val="en-US" w:eastAsia="zh-CN"/>
        </w:rPr>
        <w:t>实施强制管理的计量器具目录</w:t>
      </w:r>
      <w:r>
        <w:rPr>
          <w:rFonts w:hint="eastAsia" w:ascii="仿宋" w:hAnsi="仿宋" w:eastAsia="仿宋" w:cs="Times New Roman"/>
          <w:color w:val="auto"/>
          <w:sz w:val="24"/>
          <w:highlight w:val="none"/>
          <w:lang w:val="en-US" w:eastAsia="zh-CN"/>
        </w:rPr>
        <w:fldChar w:fldCharType="end"/>
      </w:r>
      <w:r>
        <w:rPr>
          <w:rFonts w:hint="eastAsia" w:ascii="仿宋" w:hAnsi="仿宋" w:eastAsia="仿宋" w:cs="Times New Roman"/>
          <w:color w:val="auto"/>
          <w:sz w:val="24"/>
          <w:highlight w:val="none"/>
          <w:lang w:val="en-US" w:eastAsia="zh-CN"/>
        </w:rPr>
        <w:t>》内计量器具，首次检定费用由中标方承担，产品验收时提供国家计量单位有效的计量证书；</w:t>
      </w:r>
    </w:p>
    <w:p w14:paraId="0EA4A2AB">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3.4中标方负责设备的院内接货、安装、调试及对接其它院内信息系统等全面工作，费用由中标方承担，合同签订后设备到货前请联系院方国资供应处相关人员（TEL：0532-66850522）沟通设备安装验收事宜，如发现货物和规格或者两者都与招标文件、投标文件、合同不符，采购人有权限根据检验结果要求中标人立即更换或者提出索赔要求。</w:t>
      </w:r>
    </w:p>
    <w:p w14:paraId="2AD47969">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3.5可对相应技术人员按需不定期进行培训，提供现场培训≥2次，免费培训操作人员，保证使用人员正常操作仪器设备的各种功能，提供临床工程师培训方案和培训计划；</w:t>
      </w:r>
    </w:p>
    <w:p w14:paraId="3556B956">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3.6免费提供使用手册、维修手册、文字资料、电原理图、接线图、结构图等电子版、纸质版资料和提供视频培训资料等，按医院模板提供带有医院LOGO和名字的操作流程规程或者操作流程图、医疗设备状态标识牌。开放维修密码及更换配件密码，终生软件免费升级，及时提供设备新功能和临床应用资料；</w:t>
      </w:r>
    </w:p>
    <w:p w14:paraId="02E1654C">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3.7质保期：自验收合格之日起所有产品全保≥4年，全保范围包括所有产品保修（可单独计费的试剂、医用耗材除外），包含但不限于货物全保范围包括所有产品保修（可单独计费的试剂、医用耗材除外），包含但不限于设备正常运行需定期更换的配件、消耗品，如空气消毒机过滤器，设备储备电池，呼吸机流量传感器、呼气阀和吸气阀，监护附属配件等以及非故意人为故障。</w:t>
      </w:r>
      <w:r>
        <w:rPr>
          <w:rFonts w:hint="eastAsia" w:ascii="仿宋" w:hAnsi="仿宋" w:eastAsia="仿宋" w:cs="Times New Roman"/>
          <w:color w:val="auto"/>
          <w:sz w:val="24"/>
          <w:highlight w:val="none"/>
          <w:lang w:eastAsia="zh-CN"/>
        </w:rPr>
        <w:t>签订合同后，设备安装验收时</w:t>
      </w:r>
      <w:r>
        <w:rPr>
          <w:rFonts w:hint="eastAsia" w:ascii="仿宋" w:hAnsi="仿宋" w:eastAsia="仿宋" w:cs="Times New Roman"/>
          <w:color w:val="auto"/>
          <w:sz w:val="24"/>
          <w:highlight w:val="none"/>
          <w:lang w:val="en-US" w:eastAsia="zh-CN"/>
        </w:rPr>
        <w:t>中标方提供设备生产厂家承诺质保年限并盖章的证明,如若设备生产厂家给予设备质保年限小于中标方承诺的质保年限，由中标方从设备生产厂家购买延保服务并提供相关证明)，质保期内更换原厂配件并提供维修工单，终身维护；接到报修电话2小时内答复，4小时内到达现场，在省内或地级市设有固定的售后服务点，且售后服务点有至少1名固定的售后维修服务人员（提供相关证明，非临时聘用人员）,24小时内无法修复可提供备用机或其它替代办法，以使临床科室工作正常运行；质保期内设备开机率</w:t>
      </w:r>
      <w:r>
        <w:rPr>
          <w:rFonts w:hint="eastAsia" w:ascii="仿宋" w:hAnsi="仿宋" w:eastAsia="仿宋" w:cs="Times New Roman"/>
          <w:color w:val="auto"/>
          <w:sz w:val="24"/>
          <w:highlight w:val="none"/>
          <w:lang w:eastAsia="zh-CN"/>
        </w:rPr>
        <w:t>≥</w:t>
      </w:r>
      <w:r>
        <w:rPr>
          <w:rFonts w:hint="eastAsia" w:ascii="仿宋" w:hAnsi="仿宋" w:eastAsia="仿宋" w:cs="Times New Roman"/>
          <w:color w:val="auto"/>
          <w:sz w:val="24"/>
          <w:highlight w:val="none"/>
          <w:lang w:val="en-US" w:eastAsia="zh-CN"/>
        </w:rPr>
        <w:t>98%（按全年365天计算），如达不到此标准，需按1:3（停机一天延长三天）天数延长，延长期中出现停机按同样比例要求延长质保期；</w:t>
      </w:r>
    </w:p>
    <w:p w14:paraId="49BEF4F3">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3.8单个合同总价值在2万元以上的（含2万元）仪器设备，质保期结束前2个月至结束前1个月，中标方联合厂家需对所供应设备进行一次全面巡检保养，并提供质保期内所有巡检维护保养记录和《山东大学齐鲁医院（青岛）仪器设备质保期到期验收单》；</w:t>
      </w:r>
    </w:p>
    <w:p w14:paraId="7D2CFA83">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3.9定期维护：确保设备的正常运转、功能正常，厂家工程师每季度对设备进行维护和保养，并提供详细维保报告。</w:t>
      </w:r>
    </w:p>
    <w:p w14:paraId="4ACF05C2">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3.10质保期后维修时，如更换配件，只收取配件费，不得收取上门服务费及差旅费，维修费用后付款方式，即先维修后付款。维修完成后6个月内，对仪器设备再次发生同样的故障并且需要更换同样零配件时，中标方承诺免费维修及更换零配件。</w:t>
      </w:r>
    </w:p>
    <w:p w14:paraId="0504F4C8">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3.11所投产品若有易损配件及常用耗材的，报出优惠后报价，并注明耗材是否为专机专用耗材，若为专机专用耗材，后续耗材升级费用不得高于升级前产品在院价格；</w:t>
      </w:r>
    </w:p>
    <w:p w14:paraId="5EA9FF2F">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3.12若所投产品包含工作站系统，安装时需做好系统备份，提供系统崩溃或工作站软件不能正常工作时的恢复步骤；</w:t>
      </w:r>
    </w:p>
    <w:p w14:paraId="71F69E3E">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3.13按需配置足够功率的UPS不间断电源，市电中断后，UPS不间断电源可继续维持设备工作≥10分钟；</w:t>
      </w:r>
    </w:p>
    <w:p w14:paraId="4E7A62D7">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3.14如果需要与医院信息系统联网，以太网口（非以太网口接口需提供转网口的转接盒）免费开放并且免费提供通讯协议，中标方承担与医院其它信息系统联网接口费用（投标方自行调研和评估接口费用），不得再次收取任何费用，必须满足医院需求；</w:t>
      </w:r>
    </w:p>
    <w:p w14:paraId="359974B6">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3.15按需配置工作站：要求：屏幕尺寸：≥24英寸(笔记本屏幕尺寸≥14英寸）；（2）硬盘容量：≥512G SSD硬盘或≥1T机械硬盘；（3）内存：≥16G ；（4）中央处理器：优于酷睿i5；（5）市场主流品牌非组装机（6）打印配置要求：满足临床正常工作需求，提供市场主流品牌打印机，打印机若有专属耗材，报出专属耗材价格。</w:t>
      </w:r>
    </w:p>
    <w:p w14:paraId="215DA78A">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3.16按需配置台车或固定架；</w:t>
      </w:r>
    </w:p>
    <w:p w14:paraId="2B36F246">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3.17报出产品及配件的清洁消毒方式，若需转运至供应室消毒，免费提供供应室消毒人员培训，并且配备相应的转运包装或容器。</w:t>
      </w:r>
    </w:p>
    <w:p w14:paraId="57C44B35">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3.18提供的设备为全新设备，近一年之内生产的设备，产品使用期限</w:t>
      </w:r>
      <w:r>
        <w:rPr>
          <w:rFonts w:hint="eastAsia" w:ascii="仿宋" w:hAnsi="仿宋" w:eastAsia="仿宋" w:cs="Times New Roman"/>
          <w:color w:val="auto"/>
          <w:sz w:val="24"/>
          <w:highlight w:val="none"/>
          <w:lang w:eastAsia="zh-CN"/>
        </w:rPr>
        <w:t>≥</w:t>
      </w:r>
      <w:r>
        <w:rPr>
          <w:rFonts w:hint="eastAsia" w:ascii="仿宋" w:hAnsi="仿宋" w:eastAsia="仿宋" w:cs="Times New Roman"/>
          <w:color w:val="auto"/>
          <w:sz w:val="24"/>
          <w:highlight w:val="none"/>
          <w:lang w:val="en-US" w:eastAsia="zh-CN"/>
        </w:rPr>
        <w:t>5年。</w:t>
      </w:r>
    </w:p>
    <w:p w14:paraId="6184D716">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3.19联网功能：根据功能需要，支持有线或无线接入。无线需支持5G模组，5G物联网卡医院提供，供应商应估算设备 5G 流量，实现数据的传输。</w:t>
      </w:r>
    </w:p>
    <w:p w14:paraId="728DC1DB">
      <w:pPr>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3.20支付方式：合同签订满足供货条件后预付合同总金额的30%;货物验收合格后，甲方自收到全额发票之日起5个工作日内，支付合同总金额70%。甲方付款前，乙方需提供合同总额10%的履约保函，具体形式以甲乙双方协商为准，质保期满后无质量问题退回乙方。如有货物质量瑕疵或质保义务履行不当，存在对乙方的扣罚情况，则按照质保规定进行结算。具体形式以甲乙双方协商为准。</w:t>
      </w:r>
    </w:p>
    <w:p w14:paraId="01056295">
      <w:pPr>
        <w:spacing w:line="360" w:lineRule="auto"/>
        <w:ind w:firstLine="0" w:firstLineChars="0"/>
        <w:rPr>
          <w:rFonts w:hint="eastAsia" w:ascii="仿宋" w:hAnsi="仿宋" w:eastAsia="仿宋"/>
          <w:color w:val="auto"/>
          <w:sz w:val="24"/>
          <w:highlight w:val="none"/>
        </w:rPr>
      </w:pPr>
      <w:r>
        <w:rPr>
          <w:rFonts w:hint="eastAsia" w:ascii="仿宋" w:hAnsi="仿宋" w:eastAsia="仿宋"/>
          <w:color w:val="auto"/>
          <w:sz w:val="24"/>
          <w:highlight w:val="none"/>
        </w:rPr>
        <w:t>注：上述要求以及标注中：</w:t>
      </w:r>
    </w:p>
    <w:p w14:paraId="68ACEEFE">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带“★”条款为实质性条款，投标人必须按照招标文件的要求做出实质性响应。</w:t>
      </w:r>
    </w:p>
    <w:p w14:paraId="0FD149A1">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带“▲”标注的产品为政府强制采购节能产品。</w:t>
      </w:r>
    </w:p>
    <w:p w14:paraId="3A89B54A">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带“●”标注的产品为核心产品，系指在非单一产品采购项目中，采购人根据采购项目技术构成、产品价格比重等合理确定的产品。</w:t>
      </w:r>
    </w:p>
    <w:p w14:paraId="33A8BC58">
      <w:pPr>
        <w:spacing w:line="360" w:lineRule="auto"/>
        <w:ind w:firstLine="480" w:firstLineChars="200"/>
        <w:rPr>
          <w:rFonts w:hint="default" w:ascii="仿宋" w:hAnsi="仿宋" w:eastAsia="仿宋"/>
          <w:color w:val="auto"/>
          <w:sz w:val="24"/>
          <w:highlight w:val="none"/>
          <w:lang w:val="en-US" w:eastAsia="zh-CN"/>
        </w:rPr>
      </w:pPr>
      <w:r>
        <w:rPr>
          <w:rFonts w:hint="eastAsia" w:ascii="仿宋" w:hAnsi="仿宋" w:eastAsia="仿宋" w:cs="Times New Roman"/>
          <w:color w:val="auto"/>
          <w:sz w:val="24"/>
          <w:highlight w:val="none"/>
          <w:lang w:val="en-US" w:eastAsia="zh-CN"/>
        </w:rPr>
        <w:t>带</w:t>
      </w:r>
      <w:r>
        <w:rPr>
          <w:rFonts w:hint="eastAsia" w:ascii="仿宋" w:hAnsi="仿宋" w:eastAsia="仿宋" w:cs="Times New Roman"/>
          <w:color w:val="auto"/>
          <w:sz w:val="24"/>
          <w:highlight w:val="none"/>
          <w:lang w:eastAsia="zh-CN"/>
        </w:rPr>
        <w:t>“</w:t>
      </w:r>
      <w:r>
        <w:rPr>
          <w:rFonts w:hint="eastAsia" w:ascii="仿宋" w:hAnsi="仿宋" w:eastAsia="仿宋" w:cs="Times New Roman"/>
          <w:color w:val="auto"/>
          <w:sz w:val="24"/>
          <w:highlight w:val="none"/>
        </w:rPr>
        <w:t>＃</w:t>
      </w:r>
      <w:r>
        <w:rPr>
          <w:rFonts w:hint="eastAsia" w:ascii="仿宋" w:hAnsi="仿宋" w:eastAsia="仿宋" w:cs="Times New Roman"/>
          <w:color w:val="auto"/>
          <w:sz w:val="24"/>
          <w:highlight w:val="none"/>
          <w:lang w:eastAsia="zh-CN"/>
        </w:rPr>
        <w:t>”</w:t>
      </w:r>
      <w:r>
        <w:rPr>
          <w:rFonts w:hint="eastAsia" w:ascii="仿宋" w:hAnsi="仿宋" w:eastAsia="仿宋" w:cs="Times New Roman"/>
          <w:color w:val="auto"/>
          <w:sz w:val="24"/>
          <w:highlight w:val="none"/>
          <w:lang w:val="en-US" w:eastAsia="zh-CN"/>
        </w:rPr>
        <w:t>为</w:t>
      </w:r>
      <w:r>
        <w:rPr>
          <w:rFonts w:hint="eastAsia" w:ascii="仿宋" w:hAnsi="仿宋" w:eastAsia="仿宋"/>
          <w:color w:val="auto"/>
          <w:sz w:val="24"/>
          <w:highlight w:val="none"/>
          <w:lang w:val="en-US" w:eastAsia="zh-CN"/>
        </w:rPr>
        <w:t>重要参数。</w:t>
      </w:r>
    </w:p>
    <w:p w14:paraId="60A7039A">
      <w:pPr>
        <w:spacing w:after="156" w:afterLines="50"/>
        <w:jc w:val="center"/>
        <w:outlineLvl w:val="1"/>
        <w:rPr>
          <w:rFonts w:hint="eastAsia" w:ascii="黑体" w:hAnsi="黑体" w:eastAsia="黑体"/>
          <w:color w:val="auto"/>
          <w:sz w:val="28"/>
          <w:szCs w:val="28"/>
          <w:highlight w:val="none"/>
        </w:rPr>
      </w:pPr>
      <w:r>
        <w:rPr>
          <w:rFonts w:hint="eastAsia" w:ascii="仿宋" w:hAnsi="仿宋" w:eastAsia="仿宋"/>
          <w:color w:val="auto"/>
          <w:sz w:val="24"/>
          <w:highlight w:val="none"/>
        </w:rPr>
        <w:br w:type="page"/>
      </w:r>
      <w:bookmarkStart w:id="12" w:name="_Toc11261"/>
      <w:r>
        <w:rPr>
          <w:rFonts w:ascii="黑体" w:hAnsi="黑体" w:eastAsia="黑体"/>
          <w:color w:val="auto"/>
          <w:sz w:val="28"/>
          <w:szCs w:val="28"/>
          <w:highlight w:val="none"/>
        </w:rPr>
        <w:t>第五章</w:t>
      </w:r>
      <w:r>
        <w:rPr>
          <w:rFonts w:hint="eastAsia" w:ascii="黑体" w:hAnsi="黑体" w:eastAsia="黑体"/>
          <w:color w:val="auto"/>
          <w:sz w:val="28"/>
          <w:szCs w:val="28"/>
          <w:highlight w:val="none"/>
        </w:rPr>
        <w:t xml:space="preserve">  评标办法</w:t>
      </w:r>
      <w:bookmarkEnd w:id="12"/>
    </w:p>
    <w:p w14:paraId="7F77A55E">
      <w:pPr>
        <w:spacing w:after="156" w:afterLines="50" w:line="360" w:lineRule="auto"/>
        <w:ind w:firstLine="560" w:firstLineChars="200"/>
        <w:outlineLvl w:val="2"/>
        <w:rPr>
          <w:rFonts w:ascii="楷体" w:hAnsi="楷体" w:eastAsia="楷体"/>
          <w:color w:val="auto"/>
          <w:sz w:val="28"/>
          <w:szCs w:val="28"/>
          <w:highlight w:val="none"/>
        </w:rPr>
      </w:pPr>
      <w:bookmarkStart w:id="13" w:name="_Toc7139"/>
      <w:r>
        <w:rPr>
          <w:rFonts w:hint="eastAsia" w:ascii="楷体" w:hAnsi="楷体" w:eastAsia="楷体"/>
          <w:color w:val="auto"/>
          <w:sz w:val="28"/>
          <w:szCs w:val="28"/>
          <w:highlight w:val="none"/>
        </w:rPr>
        <w:t>1.相关要求</w:t>
      </w:r>
      <w:bookmarkEnd w:id="13"/>
    </w:p>
    <w:p w14:paraId="6B6F605F">
      <w:pPr>
        <w:spacing w:line="400" w:lineRule="exact"/>
        <w:ind w:firstLine="480" w:firstLineChars="200"/>
        <w:rPr>
          <w:rFonts w:ascii="仿宋" w:hAnsi="仿宋" w:eastAsia="仿宋"/>
          <w:color w:val="auto"/>
          <w:sz w:val="24"/>
          <w:highlight w:val="none"/>
        </w:rPr>
      </w:pPr>
      <w:bookmarkStart w:id="14" w:name="_Toc494455918"/>
      <w:r>
        <w:rPr>
          <w:rFonts w:hint="eastAsia" w:ascii="仿宋" w:hAnsi="仿宋" w:eastAsia="仿宋"/>
          <w:color w:val="auto"/>
          <w:sz w:val="24"/>
          <w:highlight w:val="none"/>
        </w:rPr>
        <w:t>1.1技术汇总得分的计算方法：评标委员会成员技术评分的算术平均值。</w:t>
      </w:r>
    </w:p>
    <w:p w14:paraId="13193DF4">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1.2“同类业绩”是指</w:t>
      </w:r>
      <w:r>
        <w:rPr>
          <w:rFonts w:hint="eastAsia" w:ascii="仿宋" w:hAnsi="仿宋" w:eastAsia="仿宋" w:cs="仿宋"/>
          <w:color w:val="auto"/>
          <w:kern w:val="0"/>
          <w:sz w:val="24"/>
          <w:szCs w:val="24"/>
          <w:highlight w:val="none"/>
        </w:rPr>
        <w:t>自202</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年1月1日至投标文件递交截止时间，投标人所投产品在中国境内已完成的同类业绩</w:t>
      </w:r>
      <w:r>
        <w:rPr>
          <w:rFonts w:hint="eastAsia" w:ascii="仿宋" w:hAnsi="仿宋" w:eastAsia="仿宋"/>
          <w:color w:val="auto"/>
          <w:sz w:val="24"/>
          <w:highlight w:val="none"/>
        </w:rPr>
        <w:t>。</w:t>
      </w:r>
    </w:p>
    <w:p w14:paraId="6888448A">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1.3执行国家统一定价标准和采用固定价格采购的项目，其价格不列为评审因素。</w:t>
      </w:r>
    </w:p>
    <w:p w14:paraId="59ED7A96">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依据《关于促进残疾人就业政府采购政策的通知》（财库〔2017〕141号）文件规定，残疾人福利性单位投标的须提供本单位的服务及《残疾人福利性单位声明函》并对声明函的真实性负责；残疾人福利性单位投标的视同小型、微型企业，按照本招标文件小型、微型企业的相关价格扣除标准执行。残疾人福利性单位属于小型、微型企业的，不重复享受政策。</w:t>
      </w:r>
    </w:p>
    <w:p w14:paraId="6DC02F47">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1.4.1享受政府采购支持政策的残疾人福利性单位应当同时满足以下条件：</w:t>
      </w:r>
    </w:p>
    <w:p w14:paraId="2FB34F17">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（1）安置的残疾人占本单位在职职工人数的比例不低于25%（含25%），并且安置的残疾人人数不少于10人（含10人）；</w:t>
      </w:r>
    </w:p>
    <w:p w14:paraId="022D52B7">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（2）依法与安置的每位残疾人签订了一年以上（含一年）的劳动合同或服务协议；</w:t>
      </w:r>
    </w:p>
    <w:p w14:paraId="71D523EF">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（3）为安置的每位残疾人按月足额缴纳了基本养老保险、基本医疗保险、失业保险、工伤保险和生育保险等社会保险费；</w:t>
      </w:r>
    </w:p>
    <w:p w14:paraId="2557FC97">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（4）通过银行等金融机构向安置的每位残疾人，按月支付了不低于单位所在区县适用的经省级人民政府批准的月最低工资标准的工资；</w:t>
      </w:r>
    </w:p>
    <w:p w14:paraId="0CD9BDF9">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（5）提供本单位制造的货物、承担的工程或者服务（以下简称产品），或者提供其他残疾人福利性单位制造的货物（不包括使用非残疾人福利性单位注册商标的货物）。</w:t>
      </w:r>
    </w:p>
    <w:p w14:paraId="6A242905">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1.4.2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80A0CE9">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1.4.3符合条件的残疾人福利性单位在参加政府采购活动时，应当提供《残疾人福利性单位声明函》（见附件），并对声明的真实性负责。</w:t>
      </w:r>
    </w:p>
    <w:p w14:paraId="0152C145">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1.4.4中标、成交供应商为残疾人福利性单位的，采购代理机构应当随中标、成交结果同时公告其《残疾人福利性单位声明函》，接受社会监督。</w:t>
      </w:r>
    </w:p>
    <w:p w14:paraId="0C20F270">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1.4.5投标人提供的《残疾人福利性单位声明函》与事实不符的，依照《中华人民共和国政府采购法》第七十七条第一款的规定追究法律责任。</w:t>
      </w:r>
    </w:p>
    <w:p w14:paraId="665CCE35">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1.5面向中小企业预留情况详见投标人须知前附表。</w:t>
      </w:r>
    </w:p>
    <w:p w14:paraId="5B63CC28">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1.5.1依据财政部、工业和信息化部《政府采购促进中小企业发展管理办法》（财库〔2020〕46号）规定，中型、小型和微型企业参加政府采购活动的须提供《中小企业声明函》（格式见附件），否则不得享受相关中小企业扶持政策。</w:t>
      </w:r>
    </w:p>
    <w:p w14:paraId="602033AF">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1.5.2企业划型标准按照《关于印发中小企业划型标准规定的通知》（工信部联企业〔2011〕300号）规定执行。</w:t>
      </w:r>
    </w:p>
    <w:p w14:paraId="0B5409EE">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1.5.3供应商提供的货物、工程或者服务符合下列情形的，享受《政府采购促进中小企业发展管理办法》（财库〔2020〕46号）规定的中小企业扶持政策：</w:t>
      </w:r>
    </w:p>
    <w:p w14:paraId="2C2F8378">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（一）在货物采购项目中，货物由中小企业制造，即货物由中小企业生产且使用该中小企业商号或者注册商标；</w:t>
      </w:r>
    </w:p>
    <w:p w14:paraId="5B461F15">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（二）在工程采购项目中，工程由中小企业承建，即工程施工单位为中小企业；</w:t>
      </w:r>
    </w:p>
    <w:p w14:paraId="740484BF">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（三）在服务采购项目中，服务由中小企业承接，即提供服务的人员为中小企业依照《中华人民共和国劳动合同法》订立劳动合同的从业人员。</w:t>
      </w:r>
    </w:p>
    <w:p w14:paraId="4F0ECCA0">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在货物采购项目中，供应商提供的货物既有中小企业制造货物，也有大型企业制造货物的，不享受本办法规定的中小企业扶持政策。</w:t>
      </w:r>
    </w:p>
    <w:p w14:paraId="13C56872">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以联合体形式参加政府采购活动，联合体各方均为中小企业的，联合体视同中小企业。其中，联合体各方均为小微企业的，联合体视同小微企业。</w:t>
      </w:r>
    </w:p>
    <w:p w14:paraId="653D025E">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1.6评分得分非整数的保留小数点后两位（小数点后第三位数四舍五入）。</w:t>
      </w:r>
    </w:p>
    <w:p w14:paraId="6F4E3FC3">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1.7监狱企业参与政府采购活动，均视同小型、微型企业，享受国家优惠政策，应当提供由省级以上监狱管理局、戒毒管理局或新疆生产建设兵团出具的属于监狱企业的证明原件</w:t>
      </w:r>
      <w:r>
        <w:rPr>
          <w:rFonts w:hint="eastAsia" w:ascii="仿宋" w:hAnsi="仿宋" w:eastAsia="仿宋"/>
          <w:color w:val="auto"/>
          <w:sz w:val="24"/>
          <w:highlight w:val="none"/>
          <w:lang w:val="en-US" w:eastAsia="zh-CN"/>
        </w:rPr>
        <w:t>或复印件</w:t>
      </w:r>
      <w:r>
        <w:rPr>
          <w:rFonts w:hint="eastAsia" w:ascii="仿宋" w:hAnsi="仿宋" w:eastAsia="仿宋"/>
          <w:color w:val="auto"/>
          <w:sz w:val="24"/>
          <w:highlight w:val="none"/>
        </w:rPr>
        <w:t>，且对上述材料的真实性负责，否则不给予价格扣除。</w:t>
      </w:r>
    </w:p>
    <w:p w14:paraId="7AF5EF83">
      <w:pPr>
        <w:spacing w:after="156" w:afterLines="50" w:line="360" w:lineRule="auto"/>
        <w:ind w:firstLine="560" w:firstLineChars="200"/>
        <w:outlineLvl w:val="2"/>
        <w:rPr>
          <w:rFonts w:hint="eastAsia" w:ascii="楷体" w:hAnsi="楷体" w:eastAsia="楷体" w:cs="Times New Roman"/>
          <w:color w:val="auto"/>
          <w:sz w:val="28"/>
          <w:szCs w:val="28"/>
          <w:highlight w:val="none"/>
        </w:rPr>
      </w:pPr>
      <w:bookmarkStart w:id="15" w:name="_Toc8655"/>
      <w:bookmarkStart w:id="16" w:name="_Toc256000012"/>
      <w:r>
        <w:rPr>
          <w:rFonts w:hint="eastAsia" w:ascii="楷体" w:hAnsi="楷体" w:eastAsia="楷体" w:cs="Times New Roman"/>
          <w:color w:val="auto"/>
          <w:sz w:val="28"/>
          <w:szCs w:val="28"/>
          <w:highlight w:val="none"/>
        </w:rPr>
        <w:t>2.评分标准</w:t>
      </w:r>
      <w:bookmarkEnd w:id="14"/>
      <w:bookmarkEnd w:id="15"/>
      <w:bookmarkEnd w:id="16"/>
    </w:p>
    <w:tbl>
      <w:tblPr>
        <w:tblStyle w:val="23"/>
        <w:tblW w:w="52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7" w:type="dxa"/>
          <w:left w:w="107" w:type="dxa"/>
          <w:bottom w:w="107" w:type="dxa"/>
          <w:right w:w="107" w:type="dxa"/>
        </w:tblCellMar>
      </w:tblPr>
      <w:tblGrid>
        <w:gridCol w:w="1334"/>
        <w:gridCol w:w="1032"/>
        <w:gridCol w:w="1431"/>
        <w:gridCol w:w="847"/>
        <w:gridCol w:w="5177"/>
      </w:tblGrid>
      <w:tr w14:paraId="5191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2366" w:type="dxa"/>
            <w:gridSpan w:val="2"/>
            <w:vAlign w:val="center"/>
          </w:tcPr>
          <w:p w14:paraId="60B7B8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仿宋" w:hAnsi="仿宋" w:eastAsia="仿宋" w:cs="仿宋"/>
                <w:color w:val="auto"/>
                <w:kern w:val="0"/>
                <w:sz w:val="24"/>
                <w:szCs w:val="24"/>
                <w:highlight w:val="none"/>
              </w:rPr>
            </w:pPr>
            <w:bookmarkStart w:id="17" w:name="_Toc256000014"/>
            <w:bookmarkStart w:id="18" w:name="_Toc8544"/>
            <w:r>
              <w:rPr>
                <w:rFonts w:hint="eastAsia" w:ascii="仿宋" w:hAnsi="仿宋" w:eastAsia="仿宋" w:cs="仿宋"/>
                <w:b/>
                <w:color w:val="auto"/>
                <w:sz w:val="24"/>
                <w:szCs w:val="24"/>
                <w:highlight w:val="none"/>
                <w:u w:color="auto"/>
              </w:rPr>
              <w:t>评审因素</w:t>
            </w:r>
          </w:p>
        </w:tc>
        <w:tc>
          <w:tcPr>
            <w:tcW w:w="2278" w:type="dxa"/>
            <w:gridSpan w:val="2"/>
            <w:vAlign w:val="center"/>
          </w:tcPr>
          <w:p w14:paraId="01DCFD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b/>
                <w:color w:val="auto"/>
                <w:sz w:val="24"/>
                <w:szCs w:val="24"/>
                <w:highlight w:val="none"/>
                <w:u w:color="auto"/>
              </w:rPr>
              <w:t>分值</w:t>
            </w:r>
          </w:p>
        </w:tc>
        <w:tc>
          <w:tcPr>
            <w:tcW w:w="5177" w:type="dxa"/>
            <w:vAlign w:val="center"/>
          </w:tcPr>
          <w:p w14:paraId="424FEE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b/>
                <w:color w:val="auto"/>
                <w:sz w:val="24"/>
                <w:szCs w:val="24"/>
                <w:highlight w:val="none"/>
                <w:u w:color="auto"/>
              </w:rPr>
              <w:t>评审标准</w:t>
            </w:r>
          </w:p>
        </w:tc>
      </w:tr>
      <w:tr w14:paraId="5493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restart"/>
            <w:vAlign w:val="center"/>
          </w:tcPr>
          <w:p w14:paraId="23F3E9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b w:val="0"/>
                <w:color w:val="auto"/>
                <w:sz w:val="24"/>
                <w:szCs w:val="24"/>
                <w:highlight w:val="none"/>
                <w:u w:color="auto"/>
              </w:rPr>
              <w:t>商务部分</w:t>
            </w:r>
          </w:p>
        </w:tc>
        <w:tc>
          <w:tcPr>
            <w:tcW w:w="525" w:type="pct"/>
            <w:vAlign w:val="center"/>
          </w:tcPr>
          <w:p w14:paraId="59C24ED3">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投标报价</w:t>
            </w:r>
          </w:p>
        </w:tc>
        <w:tc>
          <w:tcPr>
            <w:tcW w:w="1159" w:type="pct"/>
            <w:gridSpan w:val="2"/>
            <w:vAlign w:val="center"/>
          </w:tcPr>
          <w:p w14:paraId="40E22781">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30</w:t>
            </w:r>
          </w:p>
        </w:tc>
        <w:tc>
          <w:tcPr>
            <w:tcW w:w="2635" w:type="pct"/>
            <w:vAlign w:val="center"/>
          </w:tcPr>
          <w:p w14:paraId="0BC34D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评标基准价C=所有有效标书投标报价(或最终价格)中的最低投标报价。 </w:t>
            </w:r>
          </w:p>
          <w:p w14:paraId="12B85D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 xml:space="preserve">报价得分 = 评标基准价÷（投标报价或者最终价格）× 满分 </w:t>
            </w:r>
          </w:p>
        </w:tc>
      </w:tr>
      <w:tr w14:paraId="611A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vAlign w:val="center"/>
          </w:tcPr>
          <w:p w14:paraId="5EB408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b w:val="0"/>
                <w:color w:val="auto"/>
                <w:sz w:val="24"/>
                <w:szCs w:val="24"/>
                <w:highlight w:val="none"/>
                <w:u w:color="auto"/>
              </w:rPr>
              <w:t>商务部分</w:t>
            </w:r>
          </w:p>
        </w:tc>
        <w:tc>
          <w:tcPr>
            <w:tcW w:w="525" w:type="pct"/>
            <w:vAlign w:val="center"/>
          </w:tcPr>
          <w:p w14:paraId="7BDF1651">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rPr>
            </w:pPr>
            <w:r>
              <w:rPr>
                <w:rFonts w:hint="eastAsia" w:ascii="仿宋" w:hAnsi="仿宋" w:eastAsia="仿宋" w:cs="仿宋"/>
                <w:color w:val="auto"/>
                <w:kern w:val="0"/>
                <w:sz w:val="24"/>
                <w:szCs w:val="24"/>
                <w:highlight w:val="none"/>
                <w:lang w:val="en-US" w:eastAsia="zh-CN"/>
              </w:rPr>
              <w:t>所投产品</w:t>
            </w:r>
            <w:r>
              <w:rPr>
                <w:rFonts w:hint="eastAsia" w:ascii="仿宋" w:hAnsi="仿宋" w:eastAsia="仿宋" w:cs="仿宋"/>
                <w:color w:val="auto"/>
                <w:kern w:val="0"/>
                <w:sz w:val="24"/>
                <w:szCs w:val="24"/>
                <w:highlight w:val="none"/>
              </w:rPr>
              <w:t>业绩</w:t>
            </w:r>
          </w:p>
        </w:tc>
        <w:tc>
          <w:tcPr>
            <w:tcW w:w="1159" w:type="pct"/>
            <w:gridSpan w:val="2"/>
            <w:vAlign w:val="center"/>
          </w:tcPr>
          <w:p w14:paraId="6E9E10FC">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5</w:t>
            </w:r>
          </w:p>
        </w:tc>
        <w:tc>
          <w:tcPr>
            <w:tcW w:w="2635" w:type="pct"/>
            <w:shd w:val="clear" w:color="auto" w:fill="auto"/>
            <w:vAlign w:val="center"/>
          </w:tcPr>
          <w:p w14:paraId="6BCDF1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自202</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年1月1日至投标文件递交截止时间，投标人所投产品在中国境内已完成的同类业绩，每份得1分；满分5分。投标人须同时提供同一项目的中标通知书、合同和验收报告原件</w:t>
            </w:r>
            <w:r>
              <w:rPr>
                <w:rFonts w:hint="eastAsia" w:ascii="仿宋" w:hAnsi="仿宋" w:eastAsia="仿宋" w:cs="仿宋"/>
                <w:color w:val="auto"/>
                <w:kern w:val="0"/>
                <w:sz w:val="24"/>
                <w:szCs w:val="24"/>
                <w:highlight w:val="none"/>
                <w:lang w:val="en-US" w:eastAsia="zh-CN"/>
              </w:rPr>
              <w:t>或复印件加盖公章</w:t>
            </w:r>
            <w:r>
              <w:rPr>
                <w:rFonts w:hint="eastAsia" w:ascii="仿宋" w:hAnsi="仿宋" w:eastAsia="仿宋" w:cs="仿宋"/>
                <w:color w:val="auto"/>
                <w:kern w:val="0"/>
                <w:sz w:val="24"/>
                <w:szCs w:val="24"/>
                <w:highlight w:val="none"/>
              </w:rPr>
              <w:t>，三项缺一项不得分。项目完成时间以验收报告签署时间为准。</w:t>
            </w:r>
          </w:p>
        </w:tc>
      </w:tr>
      <w:tr w14:paraId="1A5D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vAlign w:val="center"/>
          </w:tcPr>
          <w:p w14:paraId="3A59BA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b w:val="0"/>
                <w:color w:val="auto"/>
                <w:sz w:val="24"/>
                <w:szCs w:val="24"/>
                <w:highlight w:val="none"/>
                <w:u w:color="auto"/>
              </w:rPr>
            </w:pPr>
          </w:p>
        </w:tc>
        <w:tc>
          <w:tcPr>
            <w:tcW w:w="525" w:type="pct"/>
            <w:shd w:val="clear" w:color="auto" w:fill="auto"/>
            <w:vAlign w:val="center"/>
          </w:tcPr>
          <w:p w14:paraId="14BE4896">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质保期</w:t>
            </w:r>
          </w:p>
        </w:tc>
        <w:tc>
          <w:tcPr>
            <w:tcW w:w="1159" w:type="pct"/>
            <w:gridSpan w:val="2"/>
            <w:shd w:val="clear" w:color="auto" w:fill="auto"/>
            <w:vAlign w:val="center"/>
          </w:tcPr>
          <w:p w14:paraId="2B715578">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rPr>
              <w:t>4</w:t>
            </w:r>
          </w:p>
        </w:tc>
        <w:tc>
          <w:tcPr>
            <w:tcW w:w="2635" w:type="pct"/>
            <w:shd w:val="clear" w:color="auto" w:fill="auto"/>
            <w:vAlign w:val="center"/>
          </w:tcPr>
          <w:p w14:paraId="4319B8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kern w:val="2"/>
                <w:sz w:val="24"/>
                <w:szCs w:val="24"/>
                <w:highlight w:val="none"/>
                <w:u w:color="auto"/>
                <w:lang w:val="en-US" w:eastAsia="zh-CN" w:bidi="ar-SA"/>
              </w:rPr>
            </w:pPr>
            <w:r>
              <w:rPr>
                <w:rFonts w:hint="eastAsia" w:ascii="仿宋" w:hAnsi="仿宋" w:eastAsia="仿宋" w:cs="仿宋"/>
                <w:color w:val="auto"/>
                <w:kern w:val="0"/>
                <w:sz w:val="24"/>
                <w:szCs w:val="24"/>
                <w:highlight w:val="none"/>
              </w:rPr>
              <w:t>在满足招标文件要求的基础上，所投产品质保期增加一年得2分，增加二年及以上的得4分。投标人须提供货物制造商或制造商在中国出资组建的法人机构或全国总代理商出具的质保期承诺书原件</w:t>
            </w:r>
            <w:r>
              <w:rPr>
                <w:rFonts w:hint="eastAsia" w:ascii="仿宋" w:hAnsi="仿宋" w:eastAsia="仿宋" w:cs="仿宋"/>
                <w:color w:val="auto"/>
                <w:kern w:val="0"/>
                <w:sz w:val="24"/>
                <w:szCs w:val="24"/>
                <w:highlight w:val="none"/>
                <w:lang w:val="en-US" w:eastAsia="zh-CN"/>
              </w:rPr>
              <w:t>或复印件加盖公章</w:t>
            </w:r>
            <w:r>
              <w:rPr>
                <w:rFonts w:hint="eastAsia" w:ascii="仿宋" w:hAnsi="仿宋" w:eastAsia="仿宋" w:cs="仿宋"/>
                <w:color w:val="auto"/>
                <w:kern w:val="0"/>
                <w:sz w:val="24"/>
                <w:szCs w:val="24"/>
                <w:highlight w:val="none"/>
              </w:rPr>
              <w:t>，未提供的不得分。</w:t>
            </w:r>
          </w:p>
        </w:tc>
      </w:tr>
      <w:tr w14:paraId="7E7B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vAlign w:val="center"/>
          </w:tcPr>
          <w:p w14:paraId="2F0D89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b w:val="0"/>
                <w:color w:val="auto"/>
                <w:sz w:val="24"/>
                <w:szCs w:val="24"/>
                <w:highlight w:val="none"/>
                <w:u w:color="auto"/>
              </w:rPr>
              <w:t>商务部分</w:t>
            </w:r>
          </w:p>
        </w:tc>
        <w:tc>
          <w:tcPr>
            <w:tcW w:w="525" w:type="pct"/>
            <w:vAlign w:val="center"/>
          </w:tcPr>
          <w:p w14:paraId="28A5DFDC">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节能、环保产品加分</w:t>
            </w:r>
          </w:p>
        </w:tc>
        <w:tc>
          <w:tcPr>
            <w:tcW w:w="1159" w:type="pct"/>
            <w:gridSpan w:val="2"/>
            <w:vAlign w:val="center"/>
          </w:tcPr>
          <w:p w14:paraId="6F3DB861">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5</w:t>
            </w:r>
          </w:p>
        </w:tc>
        <w:tc>
          <w:tcPr>
            <w:tcW w:w="2635" w:type="pct"/>
            <w:shd w:val="clear" w:color="auto" w:fill="auto"/>
            <w:vAlign w:val="center"/>
          </w:tcPr>
          <w:p w14:paraId="2906A3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产品具有市场监管总局确定的认证机构出具的、处于有效期之内的节能产品或环境标志产品认证证书。加分计算方法是: 1、在价格评审项中，对节能、环保产品分别给予价格评审总分值5%的加分，加分公式如下: 加分=价格评审总分值*5%*节能、环保产品(政府强制采购节能产品除外)价格在投标报价中所占比例； 2、在技术评审项中，对节能、环保产品分别给予技术评审总分值5%的加分，加分公式如下: 加分=技术评审总分值*5%*节能、环保产品(政府强制采购节能产品除外)价格在投标报价中所占比例。 开标时，须提供市场监管总局确定的节能产品、环境标志产品认证机构出具的处于有效期之内的节能产品或环境标志产品认证证书原件</w:t>
            </w:r>
            <w:r>
              <w:rPr>
                <w:rFonts w:hint="eastAsia" w:ascii="仿宋" w:hAnsi="仿宋" w:eastAsia="仿宋" w:cs="仿宋"/>
                <w:color w:val="auto"/>
                <w:kern w:val="0"/>
                <w:sz w:val="24"/>
                <w:szCs w:val="24"/>
                <w:highlight w:val="none"/>
                <w:lang w:val="en-US" w:eastAsia="zh-CN"/>
              </w:rPr>
              <w:t>或复印件加盖公章</w:t>
            </w:r>
            <w:r>
              <w:rPr>
                <w:rFonts w:hint="eastAsia" w:ascii="仿宋" w:hAnsi="仿宋" w:eastAsia="仿宋" w:cs="仿宋"/>
                <w:color w:val="auto"/>
                <w:kern w:val="0"/>
                <w:sz w:val="24"/>
                <w:szCs w:val="24"/>
                <w:highlight w:val="none"/>
              </w:rPr>
              <w:t>，否则不得分。</w:t>
            </w:r>
          </w:p>
        </w:tc>
      </w:tr>
      <w:tr w14:paraId="395A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restart"/>
            <w:vAlign w:val="center"/>
          </w:tcPr>
          <w:p w14:paraId="6C6278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b w:val="0"/>
                <w:color w:val="auto"/>
                <w:sz w:val="24"/>
                <w:szCs w:val="24"/>
                <w:highlight w:val="none"/>
                <w:u w:color="auto"/>
              </w:rPr>
              <w:t>技术部分</w:t>
            </w:r>
          </w:p>
        </w:tc>
        <w:tc>
          <w:tcPr>
            <w:tcW w:w="525" w:type="pct"/>
            <w:vMerge w:val="restart"/>
            <w:vAlign w:val="center"/>
          </w:tcPr>
          <w:p w14:paraId="4541C3BD">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响应情况</w:t>
            </w:r>
          </w:p>
        </w:tc>
        <w:tc>
          <w:tcPr>
            <w:tcW w:w="728" w:type="pct"/>
            <w:vAlign w:val="center"/>
          </w:tcPr>
          <w:p w14:paraId="143AF4EA">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基本分</w:t>
            </w:r>
          </w:p>
        </w:tc>
        <w:tc>
          <w:tcPr>
            <w:tcW w:w="431" w:type="pct"/>
            <w:vAlign w:val="center"/>
          </w:tcPr>
          <w:p w14:paraId="744349DE">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18</w:t>
            </w:r>
          </w:p>
        </w:tc>
        <w:tc>
          <w:tcPr>
            <w:tcW w:w="2635" w:type="pct"/>
            <w:shd w:val="clear" w:color="auto" w:fill="auto"/>
            <w:vAlign w:val="center"/>
          </w:tcPr>
          <w:p w14:paraId="7B6FDF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技术指标全部满足招标文件要求的得18分；不能满足招标文件中"★"技术要求的，投标无效；</w:t>
            </w:r>
          </w:p>
        </w:tc>
      </w:tr>
      <w:tr w14:paraId="64A4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vAlign w:val="center"/>
          </w:tcPr>
          <w:p w14:paraId="4B6BAA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p>
        </w:tc>
        <w:tc>
          <w:tcPr>
            <w:tcW w:w="525" w:type="pct"/>
            <w:vMerge w:val="continue"/>
            <w:vAlign w:val="center"/>
          </w:tcPr>
          <w:p w14:paraId="5A0003DD">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color w:val="auto"/>
                <w:sz w:val="24"/>
                <w:szCs w:val="24"/>
                <w:highlight w:val="none"/>
              </w:rPr>
            </w:pPr>
          </w:p>
        </w:tc>
        <w:tc>
          <w:tcPr>
            <w:tcW w:w="728" w:type="pct"/>
            <w:vAlign w:val="center"/>
          </w:tcPr>
          <w:p w14:paraId="300963E9">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负偏离</w:t>
            </w:r>
          </w:p>
        </w:tc>
        <w:tc>
          <w:tcPr>
            <w:tcW w:w="431" w:type="pct"/>
            <w:vAlign w:val="center"/>
          </w:tcPr>
          <w:p w14:paraId="3FA1A3D8">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0</w:t>
            </w:r>
          </w:p>
        </w:tc>
        <w:tc>
          <w:tcPr>
            <w:tcW w:w="2635" w:type="pct"/>
            <w:shd w:val="clear" w:color="auto" w:fill="auto"/>
            <w:vAlign w:val="center"/>
          </w:tcPr>
          <w:p w14:paraId="1A805F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"#"号技术要求每有1条不符合招标文件要求或未做应答的扣4分，非"#"技术要求每有1条不符合招标文件要求或未做应答的扣2分，扣到0分为止。 注： （1）投标人须对招标文件"采购明细详细内容附件"中技术参数内容逐条答复、说明和解释并填写技术响应表。 （2）对技术要求的响应，有检测报告的，以检测报告载明的数据作为评审依据，无检测数据的，以技术白皮书、说明书（彩页）、技术响应表为评审依据（如存在两项及以上技术支持材料表述不一致，按检测报告、技术白皮书、说明书（彩页）、技术响应表的顺序进行认定）。</w:t>
            </w:r>
          </w:p>
        </w:tc>
      </w:tr>
      <w:tr w14:paraId="27DD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vAlign w:val="center"/>
          </w:tcPr>
          <w:p w14:paraId="293B71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p>
        </w:tc>
        <w:tc>
          <w:tcPr>
            <w:tcW w:w="1253" w:type="pct"/>
            <w:gridSpan w:val="2"/>
            <w:shd w:val="clear" w:color="auto" w:fill="auto"/>
            <w:vAlign w:val="center"/>
          </w:tcPr>
          <w:p w14:paraId="04CC116F">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质量性能</w:t>
            </w:r>
          </w:p>
        </w:tc>
        <w:tc>
          <w:tcPr>
            <w:tcW w:w="431" w:type="pct"/>
            <w:shd w:val="clear" w:color="auto" w:fill="auto"/>
            <w:vAlign w:val="center"/>
          </w:tcPr>
          <w:p w14:paraId="3FBD04E1">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11</w:t>
            </w:r>
          </w:p>
        </w:tc>
        <w:tc>
          <w:tcPr>
            <w:tcW w:w="2635" w:type="pct"/>
            <w:shd w:val="clear" w:color="auto" w:fill="auto"/>
            <w:vAlign w:val="center"/>
          </w:tcPr>
          <w:p w14:paraId="1DBBB6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 xml:space="preserve">根据所投产品的各项性能，产品的安全性、适用性、可靠性进行评价： （1）所投产品整体性能高、性能可靠，安全耐用，整体优于采购需求的，得11分； （2）所投产品的整体性能完备、安全，具有可靠性，完全满足招标文件要求的，得7分； （3）所投产品部分性能指标安全可靠，部分参数满足招标文件要求的，得4分； （4）所投产品无法满足招标文件要求的不得分。 </w:t>
            </w:r>
          </w:p>
        </w:tc>
      </w:tr>
      <w:tr w14:paraId="7630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vAlign w:val="center"/>
          </w:tcPr>
          <w:p w14:paraId="5A727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p>
        </w:tc>
        <w:tc>
          <w:tcPr>
            <w:tcW w:w="1253" w:type="pct"/>
            <w:gridSpan w:val="2"/>
            <w:shd w:val="clear" w:color="auto" w:fill="auto"/>
            <w:vAlign w:val="center"/>
          </w:tcPr>
          <w:p w14:paraId="5F34CBC9">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产品选型、运行使用效果</w:t>
            </w:r>
          </w:p>
        </w:tc>
        <w:tc>
          <w:tcPr>
            <w:tcW w:w="431" w:type="pct"/>
            <w:shd w:val="clear" w:color="auto" w:fill="auto"/>
            <w:vAlign w:val="center"/>
          </w:tcPr>
          <w:p w14:paraId="1614AF38">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6</w:t>
            </w:r>
          </w:p>
        </w:tc>
        <w:tc>
          <w:tcPr>
            <w:tcW w:w="2635" w:type="pct"/>
            <w:shd w:val="clear" w:color="auto" w:fill="auto"/>
            <w:vAlign w:val="center"/>
          </w:tcPr>
          <w:p w14:paraId="3A772B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（1）投标人所投产品选型配置合适，产品功能齐全且优于采购需求的,运行使用效果平稳，得6分； （2）所投产品选型配置普通，产品功能满足采购需求，运行使用效果平稳，得3分； （3）所投产品选型配置低（存在不利于本项目使用需要或不利于应用场景或不利于实际应用需求等情形），产品功能部分满足采购需求，运行使用平稳，得1分； （4）所投产品选型错误（非适配本项目使用需要或应用场景或设备及主要配件已停产）、运行使用效果有漏洞，无法满足采购人要求，得0分。</w:t>
            </w:r>
          </w:p>
        </w:tc>
      </w:tr>
      <w:tr w14:paraId="1950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vAlign w:val="center"/>
          </w:tcPr>
          <w:p w14:paraId="58182E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p>
        </w:tc>
        <w:tc>
          <w:tcPr>
            <w:tcW w:w="1253" w:type="pct"/>
            <w:gridSpan w:val="2"/>
            <w:shd w:val="clear" w:color="auto" w:fill="auto"/>
            <w:vAlign w:val="center"/>
          </w:tcPr>
          <w:p w14:paraId="60BCA64B">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产品成熟性、便捷性</w:t>
            </w:r>
          </w:p>
        </w:tc>
        <w:tc>
          <w:tcPr>
            <w:tcW w:w="431" w:type="pct"/>
            <w:shd w:val="clear" w:color="auto" w:fill="auto"/>
            <w:vAlign w:val="center"/>
          </w:tcPr>
          <w:p w14:paraId="009254A2">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6</w:t>
            </w:r>
          </w:p>
        </w:tc>
        <w:tc>
          <w:tcPr>
            <w:tcW w:w="2635" w:type="pct"/>
            <w:shd w:val="clear" w:color="auto" w:fill="auto"/>
            <w:vAlign w:val="center"/>
          </w:tcPr>
          <w:p w14:paraId="502F66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根据投标人提供的产品成熟性、便捷性等性能进行评价： （1）投标人提供的产品效能明显优于采购需求且具有实际应用价值，质量可靠、操作便捷、有利于设备实际操作、各项产品质量保证方案和措施均严密有效的，得6分； （2）投标人提供的产品多数效能与采购需求一致，且产品操作便捷程度更高，有质量控制和检测方案、措施，得3分； （3）产品存在短期升级淘汰、更新替代风险的；或者有关方案措施不严密、有缺项或不足（提供的方案措施不完整或缺少关键点、非专门针对本项目或不适用本项目特性、对同一内容前后表述矛盾或存在逻辑漏洞、科学原理或常识错误等任意一种情形）， 得1分。（4）无法满足日常工作要求的，得0分。</w:t>
            </w:r>
          </w:p>
        </w:tc>
      </w:tr>
      <w:tr w14:paraId="0390A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vAlign w:val="center"/>
          </w:tcPr>
          <w:p w14:paraId="16FBE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p>
        </w:tc>
        <w:tc>
          <w:tcPr>
            <w:tcW w:w="1253" w:type="pct"/>
            <w:gridSpan w:val="2"/>
            <w:shd w:val="clear" w:color="auto" w:fill="auto"/>
            <w:vAlign w:val="center"/>
          </w:tcPr>
          <w:p w14:paraId="5CAB5C34">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实用性</w:t>
            </w:r>
          </w:p>
        </w:tc>
        <w:tc>
          <w:tcPr>
            <w:tcW w:w="431" w:type="pct"/>
            <w:shd w:val="clear" w:color="auto" w:fill="auto"/>
            <w:vAlign w:val="center"/>
          </w:tcPr>
          <w:p w14:paraId="5E60EE91">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1</w:t>
            </w:r>
          </w:p>
        </w:tc>
        <w:tc>
          <w:tcPr>
            <w:tcW w:w="2635" w:type="pct"/>
            <w:shd w:val="clear" w:color="auto" w:fill="auto"/>
            <w:vAlign w:val="center"/>
          </w:tcPr>
          <w:p w14:paraId="40065D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对临床使用具有实际意义的独有和特色技术分别描述，每认可一项得0.5分，最多得1分。以投标人提供的所投产品公开发布彩页、技术支持资料为准,否则不认可。</w:t>
            </w:r>
          </w:p>
        </w:tc>
      </w:tr>
      <w:tr w14:paraId="6F46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vAlign w:val="center"/>
          </w:tcPr>
          <w:p w14:paraId="4CC6E4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p>
        </w:tc>
        <w:tc>
          <w:tcPr>
            <w:tcW w:w="1253" w:type="pct"/>
            <w:gridSpan w:val="2"/>
            <w:shd w:val="clear" w:color="auto" w:fill="auto"/>
            <w:vAlign w:val="center"/>
          </w:tcPr>
          <w:p w14:paraId="67B164D5">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紧急故障处理预案</w:t>
            </w:r>
          </w:p>
        </w:tc>
        <w:tc>
          <w:tcPr>
            <w:tcW w:w="431" w:type="pct"/>
            <w:shd w:val="clear" w:color="auto" w:fill="auto"/>
            <w:vAlign w:val="center"/>
          </w:tcPr>
          <w:p w14:paraId="449BCE5B">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3</w:t>
            </w:r>
          </w:p>
        </w:tc>
        <w:tc>
          <w:tcPr>
            <w:tcW w:w="2635" w:type="pct"/>
            <w:shd w:val="clear" w:color="auto" w:fill="auto"/>
            <w:vAlign w:val="center"/>
          </w:tcPr>
          <w:p w14:paraId="7E7340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（1）针对各种故障情况提出解决方案，内容完整全面、紧急故障处理措施健全、有针对性的，得3分； （2）针对各种故障情况提出解决方案，内容简单、紧急故障处理措施针对性不高的，得2分； （3）针对各种故障情况提出解决方案，内容简略、紧急故障处理措施表述模糊的，得1分； （4）未提供相应方案的，得0分。</w:t>
            </w:r>
          </w:p>
        </w:tc>
      </w:tr>
      <w:tr w14:paraId="634E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tcPr>
          <w:p w14:paraId="1F4554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p>
        </w:tc>
        <w:tc>
          <w:tcPr>
            <w:tcW w:w="1253" w:type="pct"/>
            <w:gridSpan w:val="2"/>
            <w:shd w:val="clear" w:color="auto" w:fill="auto"/>
            <w:vAlign w:val="center"/>
          </w:tcPr>
          <w:p w14:paraId="6AB08CEA">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供货组织方案、技术保证措施</w:t>
            </w:r>
          </w:p>
        </w:tc>
        <w:tc>
          <w:tcPr>
            <w:tcW w:w="431" w:type="pct"/>
            <w:shd w:val="clear" w:color="auto" w:fill="auto"/>
            <w:vAlign w:val="center"/>
          </w:tcPr>
          <w:p w14:paraId="7312DCBC">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3</w:t>
            </w:r>
          </w:p>
        </w:tc>
        <w:tc>
          <w:tcPr>
            <w:tcW w:w="2635" w:type="pct"/>
            <w:shd w:val="clear" w:color="auto" w:fill="auto"/>
            <w:vAlign w:val="center"/>
          </w:tcPr>
          <w:p w14:paraId="15D214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（1）投标人提供的供货组织方案详细明确、产品安装和调试的主要技术保证措施表述完整，切合实际，满足日常工作要求，得3分； （2）供货组织方案简略、产品安装和调试的主要技术保证措施表述完整，满足日常工作要求，但可行性不高的，得2分； （3）供货组织方案简略、产品安装和调试的主要技术保证措施表述模糊的，得1分； （4）未提供相应方案或方案无可操作性，无法满足日常工作要求的，得0分。</w:t>
            </w:r>
          </w:p>
        </w:tc>
      </w:tr>
      <w:tr w14:paraId="6427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tcPr>
          <w:p w14:paraId="06C07C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p>
        </w:tc>
        <w:tc>
          <w:tcPr>
            <w:tcW w:w="1253" w:type="pct"/>
            <w:gridSpan w:val="2"/>
            <w:shd w:val="clear" w:color="auto" w:fill="auto"/>
            <w:vAlign w:val="center"/>
          </w:tcPr>
          <w:p w14:paraId="661B5F7B">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培训计划和应用技术支持</w:t>
            </w:r>
          </w:p>
        </w:tc>
        <w:tc>
          <w:tcPr>
            <w:tcW w:w="431" w:type="pct"/>
            <w:shd w:val="clear" w:color="auto" w:fill="auto"/>
            <w:vAlign w:val="center"/>
          </w:tcPr>
          <w:p w14:paraId="75996BE2">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3</w:t>
            </w:r>
          </w:p>
        </w:tc>
        <w:tc>
          <w:tcPr>
            <w:tcW w:w="2635" w:type="pct"/>
            <w:shd w:val="clear" w:color="auto" w:fill="auto"/>
            <w:vAlign w:val="center"/>
          </w:tcPr>
          <w:p w14:paraId="0B2DCF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（1）投标人提供的培训计划和应用技术支持详细科学，培训方案严谨，得3分； （2）投标人提供的培训计划和应用技术支持满足要求的，得2分； （3）投标人提供的培训方案简略，培训计划和应用技术支持可行性不高的，得1分； （4）未进行培训计划和应用技术支持描述的，得0分。</w:t>
            </w:r>
          </w:p>
        </w:tc>
      </w:tr>
      <w:tr w14:paraId="6267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7" w:type="dxa"/>
            <w:left w:w="107" w:type="dxa"/>
            <w:bottom w:w="107" w:type="dxa"/>
            <w:right w:w="107" w:type="dxa"/>
          </w:tblCellMar>
        </w:tblPrEx>
        <w:trPr>
          <w:jc w:val="center"/>
        </w:trPr>
        <w:tc>
          <w:tcPr>
            <w:tcW w:w="679" w:type="pct"/>
            <w:vMerge w:val="continue"/>
          </w:tcPr>
          <w:p w14:paraId="02456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p>
        </w:tc>
        <w:tc>
          <w:tcPr>
            <w:tcW w:w="1253" w:type="pct"/>
            <w:gridSpan w:val="2"/>
            <w:shd w:val="clear" w:color="auto" w:fill="auto"/>
            <w:vAlign w:val="center"/>
          </w:tcPr>
          <w:p w14:paraId="11B97CB6">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售后服务能力的评价</w:t>
            </w:r>
          </w:p>
        </w:tc>
        <w:tc>
          <w:tcPr>
            <w:tcW w:w="431" w:type="pct"/>
            <w:shd w:val="clear" w:color="auto" w:fill="auto"/>
            <w:vAlign w:val="center"/>
          </w:tcPr>
          <w:p w14:paraId="6E80C4F9">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5</w:t>
            </w:r>
          </w:p>
        </w:tc>
        <w:tc>
          <w:tcPr>
            <w:tcW w:w="2635" w:type="pct"/>
            <w:shd w:val="clear" w:color="auto" w:fill="auto"/>
            <w:vAlign w:val="center"/>
          </w:tcPr>
          <w:p w14:paraId="5DC963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color w:val="auto"/>
                <w:sz w:val="24"/>
                <w:szCs w:val="24"/>
                <w:highlight w:val="none"/>
                <w:u w:color="auto"/>
                <w:lang w:val="en-US" w:eastAsia="zh-CN"/>
              </w:rPr>
            </w:pPr>
            <w:r>
              <w:rPr>
                <w:rFonts w:hint="eastAsia" w:ascii="仿宋" w:hAnsi="仿宋" w:eastAsia="仿宋" w:cs="仿宋"/>
                <w:color w:val="auto"/>
                <w:kern w:val="0"/>
                <w:sz w:val="24"/>
                <w:szCs w:val="24"/>
                <w:highlight w:val="none"/>
              </w:rPr>
              <w:t>根据投标人提供的售后服务机构、售后服务安排、维修的反应速度及售后服务措施等售后服务方案进行打分： （1）售后服务描述全面、安排合理、维修反应速度快、备品备件充足、售后服务措施得当得5分； （2）售后服务方案简略、维修反应满足要求、备品备件充足、售后服务措施得当的，得3分； （3）售后服务安排不合理、维修反应速度慢、备品备件不充足、售后服务措施不得当得1分； （4）未提供售后服务方案的，得 0分。</w:t>
            </w:r>
          </w:p>
        </w:tc>
      </w:tr>
    </w:tbl>
    <w:p w14:paraId="211F27A4">
      <w:pPr>
        <w:spacing w:after="156" w:afterLines="50" w:line="360" w:lineRule="auto"/>
        <w:ind w:firstLine="560" w:firstLineChars="200"/>
        <w:outlineLvl w:val="2"/>
        <w:rPr>
          <w:rFonts w:ascii="楷体" w:hAnsi="楷体" w:eastAsia="楷体"/>
          <w:color w:val="auto"/>
          <w:sz w:val="28"/>
          <w:szCs w:val="28"/>
          <w:highlight w:val="none"/>
        </w:rPr>
      </w:pPr>
      <w:r>
        <w:rPr>
          <w:rFonts w:hint="eastAsia" w:ascii="楷体" w:hAnsi="楷体" w:eastAsia="楷体"/>
          <w:color w:val="auto"/>
          <w:sz w:val="28"/>
          <w:szCs w:val="28"/>
          <w:highlight w:val="none"/>
        </w:rPr>
        <w:t>3.政策加分以及计算方法</w:t>
      </w:r>
      <w:bookmarkEnd w:id="17"/>
      <w:bookmarkEnd w:id="18"/>
    </w:p>
    <w:p w14:paraId="12DF83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hAnsi="仿宋" w:eastAsia="仿宋"/>
          <w:color w:val="auto"/>
          <w:sz w:val="24"/>
          <w:highlight w:val="none"/>
        </w:rPr>
      </w:pPr>
      <w:r>
        <w:rPr>
          <w:rFonts w:hint="eastAsia" w:ascii="仿宋" w:hAnsi="仿宋" w:eastAsia="仿宋"/>
          <w:color w:val="auto"/>
          <w:sz w:val="24"/>
          <w:highlight w:val="none"/>
        </w:rPr>
        <w:t>3.1说明：</w:t>
      </w:r>
    </w:p>
    <w:p w14:paraId="66429F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olor w:val="auto"/>
          <w:sz w:val="24"/>
          <w:highlight w:val="none"/>
        </w:rPr>
      </w:pPr>
      <w:r>
        <w:rPr>
          <w:rFonts w:hint="eastAsia" w:ascii="仿宋" w:hAnsi="仿宋" w:eastAsia="仿宋"/>
          <w:color w:val="auto"/>
          <w:sz w:val="24"/>
          <w:highlight w:val="none"/>
        </w:rPr>
        <w:t>3.1.1投标人所提供的材料或者填写的内容必须真实、可靠，如有虚假或隐瞒，一经查实将导致投标被拒绝，并按照《中华人民共和国政府采购法》第七十七条第一款“提供虚假材料谋取中标、成交的”进行处罚，给采购人造成损失的应承担赔偿责任。</w:t>
      </w:r>
    </w:p>
    <w:p w14:paraId="2EC4C1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olor w:val="auto"/>
          <w:sz w:val="24"/>
          <w:highlight w:val="none"/>
        </w:rPr>
      </w:pPr>
      <w:r>
        <w:rPr>
          <w:rFonts w:hint="eastAsia" w:ascii="仿宋" w:hAnsi="仿宋" w:eastAsia="仿宋"/>
          <w:color w:val="auto"/>
          <w:sz w:val="24"/>
          <w:highlight w:val="none"/>
        </w:rPr>
        <w:t>3.2小微企业价格扣除优惠标准详见投标人须知前附表。</w:t>
      </w:r>
    </w:p>
    <w:p w14:paraId="33348C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olor w:val="auto"/>
          <w:sz w:val="24"/>
          <w:highlight w:val="none"/>
        </w:rPr>
      </w:pPr>
      <w:r>
        <w:rPr>
          <w:rFonts w:hint="eastAsia" w:ascii="仿宋" w:hAnsi="仿宋" w:eastAsia="仿宋"/>
          <w:color w:val="auto"/>
          <w:sz w:val="24"/>
          <w:highlight w:val="none"/>
        </w:rPr>
        <w:t>3.3按照财政部等四部委联合印发《关于调整优化节能产品、环境标志产品政府采购执行机制的通知》〔2019〕9号、财政部发展改革委《关于印发节能产品政府采购品目清单的通知》财库〔2019〕19号、财政部生态环境部《关于印发环境标志产品政府采购品目清单的通知》财库〔2019〕18号的规定，属于节能、环境标志产品的，享受政府采购优先政策：</w:t>
      </w:r>
    </w:p>
    <w:p w14:paraId="1426AD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olor w:val="auto"/>
          <w:sz w:val="24"/>
          <w:highlight w:val="none"/>
        </w:rPr>
      </w:pPr>
      <w:r>
        <w:rPr>
          <w:rFonts w:hint="eastAsia" w:ascii="仿宋" w:hAnsi="仿宋" w:eastAsia="仿宋"/>
          <w:color w:val="auto"/>
          <w:sz w:val="24"/>
          <w:highlight w:val="none"/>
        </w:rPr>
        <w:t>3.3.1采用最低评标价法评标的项目，在评审时对节能、环境标志产品分别给予一定幅度的价格扣除，用扣除后的价格参与评审（详见投标人须知前附表）。</w:t>
      </w:r>
    </w:p>
    <w:p w14:paraId="567394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olor w:val="auto"/>
          <w:sz w:val="24"/>
          <w:highlight w:val="none"/>
        </w:rPr>
      </w:pPr>
      <w:r>
        <w:rPr>
          <w:rFonts w:hint="eastAsia" w:ascii="仿宋" w:hAnsi="仿宋" w:eastAsia="仿宋"/>
          <w:color w:val="auto"/>
          <w:sz w:val="24"/>
          <w:highlight w:val="none"/>
        </w:rPr>
        <w:t>3.3.2采用综合评分法评标的项目，对节能、环境标志产品分别给予一定幅度的加分或价格折扣（详见评分标准）。</w:t>
      </w:r>
    </w:p>
    <w:p w14:paraId="761FBD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olor w:val="auto"/>
          <w:sz w:val="24"/>
          <w:szCs w:val="24"/>
          <w:highlight w:val="none"/>
        </w:rPr>
      </w:pPr>
      <w:r>
        <w:rPr>
          <w:rFonts w:hint="eastAsia" w:ascii="仿宋" w:hAnsi="仿宋" w:eastAsia="仿宋"/>
          <w:color w:val="auto"/>
          <w:sz w:val="24"/>
          <w:highlight w:val="none"/>
        </w:rPr>
        <w:t>3.3.3投标人必须提供经市场监管总局公布的认证机构出具的有效期内的节能产品、环境标志产品认证证书原件</w:t>
      </w:r>
      <w:r>
        <w:rPr>
          <w:rFonts w:hint="eastAsia" w:ascii="仿宋" w:hAnsi="仿宋" w:eastAsia="仿宋"/>
          <w:color w:val="auto"/>
          <w:sz w:val="24"/>
          <w:highlight w:val="none"/>
          <w:lang w:val="en-US" w:eastAsia="zh-CN"/>
        </w:rPr>
        <w:t>或复印件</w:t>
      </w:r>
      <w:r>
        <w:rPr>
          <w:rFonts w:hint="eastAsia" w:ascii="仿宋" w:hAnsi="仿宋" w:eastAsia="仿宋"/>
          <w:color w:val="auto"/>
          <w:sz w:val="24"/>
          <w:szCs w:val="24"/>
          <w:highlight w:val="none"/>
        </w:rPr>
        <w:t>。</w:t>
      </w:r>
    </w:p>
    <w:p w14:paraId="2819FE26">
      <w:pPr>
        <w:pStyle w:val="5"/>
        <w:rPr>
          <w:rFonts w:ascii="黑体" w:hAnsi="黑体"/>
          <w:color w:val="auto"/>
          <w:sz w:val="28"/>
          <w:szCs w:val="28"/>
          <w:highlight w:val="none"/>
        </w:rPr>
      </w:pPr>
      <w:r>
        <w:rPr>
          <w:rFonts w:hint="eastAsia" w:ascii="仿宋" w:hAnsi="仿宋" w:eastAsia="仿宋"/>
          <w:color w:val="auto"/>
          <w:sz w:val="24"/>
          <w:szCs w:val="24"/>
          <w:highlight w:val="none"/>
        </w:rPr>
        <w:br w:type="page"/>
      </w:r>
      <w:bookmarkStart w:id="19" w:name="_Toc432789498"/>
      <w:bookmarkStart w:id="20" w:name="_Toc30755"/>
      <w:r>
        <w:rPr>
          <w:rFonts w:ascii="黑体" w:hAnsi="黑体"/>
          <w:b w:val="0"/>
          <w:bCs w:val="0"/>
          <w:color w:val="auto"/>
          <w:sz w:val="28"/>
          <w:szCs w:val="28"/>
          <w:highlight w:val="none"/>
        </w:rPr>
        <w:t>第六章</w:t>
      </w:r>
      <w:r>
        <w:rPr>
          <w:rFonts w:hint="eastAsia" w:ascii="黑体" w:hAnsi="黑体"/>
          <w:b w:val="0"/>
          <w:bCs w:val="0"/>
          <w:color w:val="auto"/>
          <w:sz w:val="28"/>
          <w:szCs w:val="28"/>
          <w:highlight w:val="none"/>
        </w:rPr>
        <w:t xml:space="preserve">  投标人须知</w:t>
      </w:r>
      <w:bookmarkEnd w:id="19"/>
      <w:bookmarkEnd w:id="20"/>
    </w:p>
    <w:p w14:paraId="1005FEA4">
      <w:pPr>
        <w:spacing w:line="360" w:lineRule="auto"/>
        <w:ind w:firstLine="560" w:firstLineChars="200"/>
        <w:outlineLvl w:val="2"/>
        <w:rPr>
          <w:rFonts w:ascii="楷体" w:hAnsi="楷体" w:eastAsia="楷体"/>
          <w:color w:val="auto"/>
          <w:sz w:val="28"/>
          <w:szCs w:val="28"/>
          <w:highlight w:val="none"/>
        </w:rPr>
      </w:pPr>
      <w:bookmarkStart w:id="21" w:name="_Toc5930"/>
      <w:bookmarkStart w:id="22" w:name="_Toc432789499"/>
      <w:r>
        <w:rPr>
          <w:rFonts w:ascii="楷体" w:hAnsi="楷体" w:eastAsia="楷体"/>
          <w:color w:val="auto"/>
          <w:sz w:val="28"/>
          <w:szCs w:val="28"/>
          <w:highlight w:val="none"/>
        </w:rPr>
        <w:t>1</w:t>
      </w:r>
      <w:r>
        <w:rPr>
          <w:rFonts w:hint="eastAsia" w:ascii="楷体" w:hAnsi="楷体" w:eastAsia="楷体"/>
          <w:color w:val="auto"/>
          <w:sz w:val="28"/>
          <w:szCs w:val="28"/>
          <w:highlight w:val="none"/>
        </w:rPr>
        <w:t>.招标依据以及原则</w:t>
      </w:r>
      <w:bookmarkEnd w:id="21"/>
      <w:bookmarkEnd w:id="22"/>
    </w:p>
    <w:p w14:paraId="2009CE89">
      <w:pPr>
        <w:spacing w:line="440" w:lineRule="exact"/>
        <w:ind w:firstLine="480" w:firstLineChars="200"/>
        <w:rPr>
          <w:rFonts w:ascii="仿宋" w:hAnsi="仿宋" w:eastAsia="仿宋"/>
          <w:color w:val="auto"/>
          <w:sz w:val="24"/>
          <w:highlight w:val="none"/>
        </w:rPr>
      </w:pPr>
      <w:r>
        <w:rPr>
          <w:rFonts w:ascii="仿宋" w:hAnsi="仿宋" w:eastAsia="仿宋"/>
          <w:color w:val="auto"/>
          <w:sz w:val="24"/>
          <w:highlight w:val="none"/>
        </w:rPr>
        <w:t>1.1</w:t>
      </w:r>
      <w:r>
        <w:rPr>
          <w:rFonts w:hint="eastAsia" w:ascii="仿宋" w:hAnsi="仿宋" w:eastAsia="仿宋"/>
          <w:color w:val="auto"/>
          <w:sz w:val="24"/>
          <w:highlight w:val="none"/>
        </w:rPr>
        <w:t>《中华人民共和国政府采购法》；</w:t>
      </w:r>
    </w:p>
    <w:p w14:paraId="350BEAB4">
      <w:pPr>
        <w:spacing w:line="440" w:lineRule="exact"/>
        <w:ind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.2《中华人民共和国政府采购法实施条例》；</w:t>
      </w:r>
    </w:p>
    <w:p w14:paraId="6771258A">
      <w:pPr>
        <w:spacing w:line="440" w:lineRule="exact"/>
        <w:ind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3《政府采购货物和服务招标投标管理办法》；</w:t>
      </w:r>
    </w:p>
    <w:p w14:paraId="60708408">
      <w:pPr>
        <w:spacing w:line="440" w:lineRule="exact"/>
        <w:ind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4《</w:t>
      </w:r>
      <w:r>
        <w:rPr>
          <w:rFonts w:ascii="仿宋" w:hAnsi="仿宋" w:eastAsia="仿宋"/>
          <w:color w:val="auto"/>
          <w:sz w:val="24"/>
          <w:highlight w:val="none"/>
        </w:rPr>
        <w:t>政府采购质疑和投诉办法</w:t>
      </w:r>
      <w:r>
        <w:rPr>
          <w:rFonts w:hint="eastAsia" w:ascii="仿宋" w:hAnsi="仿宋" w:eastAsia="仿宋"/>
          <w:color w:val="auto"/>
          <w:sz w:val="24"/>
          <w:highlight w:val="none"/>
        </w:rPr>
        <w:t>》；</w:t>
      </w:r>
    </w:p>
    <w:p w14:paraId="274B5D36">
      <w:pPr>
        <w:spacing w:line="440" w:lineRule="exact"/>
        <w:ind w:firstLine="480" w:firstLineChars="200"/>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5《中华人民共和国民法典》；</w:t>
      </w:r>
    </w:p>
    <w:p w14:paraId="6319727C">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6其他有关法律、行政法规以及省市规范性文件规定。</w:t>
      </w:r>
    </w:p>
    <w:p w14:paraId="44C04644">
      <w:pPr>
        <w:spacing w:line="360" w:lineRule="auto"/>
        <w:ind w:firstLine="560" w:firstLineChars="200"/>
        <w:outlineLvl w:val="2"/>
        <w:rPr>
          <w:rFonts w:ascii="楷体" w:hAnsi="楷体" w:eastAsia="楷体"/>
          <w:color w:val="auto"/>
          <w:sz w:val="28"/>
          <w:szCs w:val="28"/>
          <w:highlight w:val="none"/>
        </w:rPr>
      </w:pPr>
      <w:bookmarkStart w:id="23" w:name="_Toc9492"/>
      <w:bookmarkStart w:id="24" w:name="_Toc432789500"/>
      <w:r>
        <w:rPr>
          <w:rFonts w:ascii="楷体" w:hAnsi="楷体" w:eastAsia="楷体"/>
          <w:color w:val="auto"/>
          <w:sz w:val="28"/>
          <w:szCs w:val="28"/>
          <w:highlight w:val="none"/>
        </w:rPr>
        <w:t>2</w:t>
      </w:r>
      <w:r>
        <w:rPr>
          <w:rFonts w:hint="eastAsia" w:ascii="楷体" w:hAnsi="楷体" w:eastAsia="楷体"/>
          <w:color w:val="auto"/>
          <w:sz w:val="28"/>
          <w:szCs w:val="28"/>
          <w:highlight w:val="none"/>
        </w:rPr>
        <w:t>.合格的投标人</w:t>
      </w:r>
      <w:bookmarkEnd w:id="23"/>
      <w:bookmarkEnd w:id="24"/>
    </w:p>
    <w:p w14:paraId="747DFD9E">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.1符合本招标文件规定的资格要求，且按照要求提供相关证明材料；</w:t>
      </w:r>
    </w:p>
    <w:p w14:paraId="3C933D0A">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.2单位负责人为同一个人的两个以及两个以上法人，母公司、全资子公司以及其控股公司或者存在管理关系的不同单位，都不得在同一包或者未划分包的同一招标项目同时投标；</w:t>
      </w:r>
    </w:p>
    <w:p w14:paraId="01E18175">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3为本项目提供整体设计、规范编制或者项目管理、监理、检测等服务的投标人，不得再参加本项目的招标活动。</w:t>
      </w:r>
    </w:p>
    <w:p w14:paraId="643C3E32">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4投标人提供的证明材料内容必须真实可靠。</w:t>
      </w:r>
    </w:p>
    <w:p w14:paraId="27CF24DB">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符合上述条件的投标人即为合格投标人，具有参与公开招标的资格。</w:t>
      </w:r>
    </w:p>
    <w:p w14:paraId="77153E53">
      <w:pPr>
        <w:spacing w:line="360" w:lineRule="auto"/>
        <w:ind w:firstLine="560" w:firstLineChars="200"/>
        <w:outlineLvl w:val="2"/>
        <w:rPr>
          <w:rFonts w:ascii="楷体" w:hAnsi="楷体" w:eastAsia="楷体"/>
          <w:color w:val="auto"/>
          <w:sz w:val="28"/>
          <w:szCs w:val="28"/>
          <w:highlight w:val="none"/>
        </w:rPr>
      </w:pPr>
      <w:bookmarkStart w:id="25" w:name="_Toc31625"/>
      <w:bookmarkStart w:id="26" w:name="_Toc432789501"/>
      <w:r>
        <w:rPr>
          <w:rFonts w:ascii="楷体" w:hAnsi="楷体" w:eastAsia="楷体"/>
          <w:color w:val="auto"/>
          <w:sz w:val="28"/>
          <w:szCs w:val="28"/>
          <w:highlight w:val="none"/>
        </w:rPr>
        <w:t>3</w:t>
      </w:r>
      <w:r>
        <w:rPr>
          <w:rFonts w:hint="eastAsia" w:ascii="楷体" w:hAnsi="楷体" w:eastAsia="楷体"/>
          <w:color w:val="auto"/>
          <w:sz w:val="28"/>
          <w:szCs w:val="28"/>
          <w:highlight w:val="none"/>
        </w:rPr>
        <w:t>.保密</w:t>
      </w:r>
      <w:bookmarkEnd w:id="25"/>
      <w:bookmarkEnd w:id="26"/>
    </w:p>
    <w:p w14:paraId="4F1433CC">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参与招标投标活动的当事人应对招标文件和投标文件中的商业和技术等秘密保密，违者应对由此造成的后果承担法律责任。</w:t>
      </w:r>
    </w:p>
    <w:p w14:paraId="72F85D6D">
      <w:pPr>
        <w:spacing w:line="360" w:lineRule="auto"/>
        <w:ind w:firstLine="560" w:firstLineChars="200"/>
        <w:outlineLvl w:val="2"/>
        <w:rPr>
          <w:rFonts w:ascii="楷体" w:hAnsi="楷体" w:eastAsia="楷体"/>
          <w:color w:val="auto"/>
          <w:sz w:val="28"/>
          <w:szCs w:val="28"/>
          <w:highlight w:val="none"/>
        </w:rPr>
      </w:pPr>
      <w:bookmarkStart w:id="27" w:name="_Toc432789502"/>
      <w:bookmarkStart w:id="28" w:name="_Toc29693"/>
      <w:r>
        <w:rPr>
          <w:rFonts w:ascii="楷体" w:hAnsi="楷体" w:eastAsia="楷体"/>
          <w:color w:val="auto"/>
          <w:sz w:val="28"/>
          <w:szCs w:val="28"/>
          <w:highlight w:val="none"/>
        </w:rPr>
        <w:t>4.</w:t>
      </w:r>
      <w:r>
        <w:rPr>
          <w:rFonts w:hint="eastAsia" w:ascii="楷体" w:hAnsi="楷体" w:eastAsia="楷体"/>
          <w:color w:val="auto"/>
          <w:sz w:val="28"/>
          <w:szCs w:val="28"/>
          <w:highlight w:val="none"/>
        </w:rPr>
        <w:t>语言文字、计量单位、时间单位、投标有效期以及投标费用</w:t>
      </w:r>
      <w:bookmarkEnd w:id="27"/>
      <w:bookmarkEnd w:id="28"/>
    </w:p>
    <w:p w14:paraId="6EE3165F">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w:t>
      </w:r>
      <w:r>
        <w:rPr>
          <w:rFonts w:hint="eastAsia" w:ascii="仿宋" w:hAnsi="仿宋" w:eastAsia="仿宋"/>
          <w:color w:val="auto"/>
          <w:sz w:val="24"/>
          <w:szCs w:val="24"/>
          <w:highlight w:val="none"/>
        </w:rPr>
        <w:t>.</w:t>
      </w:r>
      <w:r>
        <w:rPr>
          <w:rFonts w:ascii="仿宋" w:hAnsi="仿宋" w:eastAsia="仿宋"/>
          <w:color w:val="auto"/>
          <w:sz w:val="24"/>
          <w:szCs w:val="24"/>
          <w:highlight w:val="none"/>
        </w:rPr>
        <w:t>1语言文字</w:t>
      </w:r>
    </w:p>
    <w:p w14:paraId="23E5FF4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除专用术语外，与招标投标活动有关的语言均使用简体中文。必要时专用术语应附有中文注释。如投标人提交的支持文件和印刷的文献使用另一种语言，应附有相应内容的中文翻译本，在解释投标文件时以中文翻译本为准。</w:t>
      </w:r>
    </w:p>
    <w:p w14:paraId="361A71E0">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4.2</w:t>
      </w:r>
      <w:r>
        <w:rPr>
          <w:rFonts w:hint="eastAsia" w:ascii="仿宋" w:hAnsi="仿宋" w:eastAsia="仿宋"/>
          <w:color w:val="auto"/>
          <w:sz w:val="24"/>
          <w:szCs w:val="24"/>
          <w:highlight w:val="none"/>
        </w:rPr>
        <w:t>计量单位</w:t>
      </w:r>
    </w:p>
    <w:p w14:paraId="635C2EBD">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除招标文件另有规定外，计量均应采用中华人民共和国法定计量单位；所有报价一律使用人民币，货币单位为“元”。</w:t>
      </w:r>
    </w:p>
    <w:p w14:paraId="2EDD47ED">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4.3</w:t>
      </w:r>
      <w:r>
        <w:rPr>
          <w:rFonts w:hint="eastAsia" w:ascii="仿宋" w:hAnsi="仿宋" w:eastAsia="仿宋"/>
          <w:color w:val="auto"/>
          <w:sz w:val="24"/>
          <w:szCs w:val="24"/>
          <w:highlight w:val="none"/>
        </w:rPr>
        <w:t>时间单位</w:t>
      </w:r>
    </w:p>
    <w:p w14:paraId="5E2E45C5">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除招标文件中另有规定外，招标文件所使用的时间单位“天”、“日”均指日历天，时、分均为北京时间。</w:t>
      </w:r>
    </w:p>
    <w:p w14:paraId="1726F5F0">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4</w:t>
      </w:r>
      <w:r>
        <w:rPr>
          <w:rFonts w:hint="eastAsia" w:ascii="仿宋" w:hAnsi="仿宋" w:eastAsia="仿宋"/>
          <w:color w:val="auto"/>
          <w:sz w:val="24"/>
          <w:szCs w:val="24"/>
          <w:highlight w:val="none"/>
        </w:rPr>
        <w:t>.</w:t>
      </w:r>
      <w:r>
        <w:rPr>
          <w:rFonts w:ascii="仿宋" w:hAnsi="仿宋" w:eastAsia="仿宋"/>
          <w:color w:val="auto"/>
          <w:sz w:val="24"/>
          <w:szCs w:val="24"/>
          <w:highlight w:val="none"/>
        </w:rPr>
        <w:t>4投标有效期</w:t>
      </w:r>
    </w:p>
    <w:p w14:paraId="03437B56">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4.4.1</w:t>
      </w:r>
      <w:r>
        <w:rPr>
          <w:rFonts w:hint="eastAsia" w:ascii="仿宋" w:hAnsi="仿宋" w:eastAsia="仿宋"/>
          <w:color w:val="auto"/>
          <w:sz w:val="24"/>
          <w:szCs w:val="24"/>
          <w:highlight w:val="none"/>
        </w:rPr>
        <w:t>在投标人须知前附表规定的投标有效期内，投标文件以及其补充、承诺等部分均保持有效。</w:t>
      </w:r>
    </w:p>
    <w:p w14:paraId="1B19218E">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4.4.2</w:t>
      </w:r>
      <w:r>
        <w:rPr>
          <w:rFonts w:hint="eastAsia" w:ascii="仿宋" w:hAnsi="仿宋" w:eastAsia="仿宋"/>
          <w:color w:val="auto"/>
          <w:sz w:val="24"/>
          <w:szCs w:val="24"/>
          <w:highlight w:val="none"/>
        </w:rPr>
        <w:t>在招标文件规定的投标文件有效期满之前，如果出现特殊情况，</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代理机构可在投标有效期内要求投标人延长有效期，要求与答复均以书面通知为准并作为招标文件和投标文件的组成部分；投标人可以拒绝上述要求而其投标保证金不被没收，拒绝延长投标文件有效期的，其投标失效；同意上述要求的，既不能要求也不允许其修改投标文件，有关退还和没收投标保证金的规定在投标有效期的延长期内继续有效。</w:t>
      </w:r>
    </w:p>
    <w:p w14:paraId="336AFC96">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4.5投标费用</w:t>
      </w:r>
    </w:p>
    <w:p w14:paraId="4C16429B">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投标人应自行承担其准备和参加投标活动发生的所有费用。</w:t>
      </w:r>
    </w:p>
    <w:p w14:paraId="0EEEFE4F">
      <w:pPr>
        <w:spacing w:line="360" w:lineRule="auto"/>
        <w:ind w:firstLine="560" w:firstLineChars="200"/>
        <w:outlineLvl w:val="2"/>
        <w:rPr>
          <w:rFonts w:ascii="楷体" w:hAnsi="楷体" w:eastAsia="楷体"/>
          <w:color w:val="auto"/>
          <w:sz w:val="28"/>
          <w:szCs w:val="28"/>
          <w:highlight w:val="none"/>
        </w:rPr>
      </w:pPr>
      <w:bookmarkStart w:id="29" w:name="_Toc432789503"/>
      <w:bookmarkStart w:id="30" w:name="_Toc25049"/>
      <w:r>
        <w:rPr>
          <w:rFonts w:ascii="楷体" w:hAnsi="楷体" w:eastAsia="楷体"/>
          <w:color w:val="auto"/>
          <w:sz w:val="28"/>
          <w:szCs w:val="28"/>
          <w:highlight w:val="none"/>
        </w:rPr>
        <w:t>5.</w:t>
      </w:r>
      <w:r>
        <w:rPr>
          <w:rFonts w:hint="eastAsia" w:ascii="楷体" w:hAnsi="楷体" w:eastAsia="楷体"/>
          <w:color w:val="auto"/>
          <w:sz w:val="28"/>
          <w:szCs w:val="28"/>
          <w:highlight w:val="none"/>
        </w:rPr>
        <w:t>踏勘现场</w:t>
      </w:r>
      <w:bookmarkEnd w:id="29"/>
      <w:bookmarkEnd w:id="30"/>
    </w:p>
    <w:p w14:paraId="1BD10ED3">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5.1</w:t>
      </w:r>
      <w:r>
        <w:rPr>
          <w:rFonts w:hint="eastAsia" w:ascii="仿宋" w:hAnsi="仿宋" w:eastAsia="仿宋"/>
          <w:color w:val="auto"/>
          <w:sz w:val="24"/>
          <w:szCs w:val="24"/>
          <w:highlight w:val="none"/>
        </w:rPr>
        <w:t>投标人须知前附表规定组织踏勘现场的，</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必须按照规定时间、地点组织投标人踏勘项目现场，以便投标人获取有关编制投标文件和签署合同所涉及现场的资料。投标人承担踏勘现场所发生的自身费用。</w:t>
      </w:r>
    </w:p>
    <w:p w14:paraId="7BF9510E">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5.2</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向投标人提供的有关现场的资料和数据，是</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现有的能使投标人利用的资料，</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对投标人由此而做出的推论、理解和结论不负责任。</w:t>
      </w:r>
    </w:p>
    <w:p w14:paraId="5904F942">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5.3</w:t>
      </w:r>
      <w:r>
        <w:rPr>
          <w:rFonts w:hint="eastAsia" w:ascii="仿宋" w:hAnsi="仿宋" w:eastAsia="仿宋"/>
          <w:color w:val="auto"/>
          <w:sz w:val="24"/>
          <w:szCs w:val="24"/>
          <w:highlight w:val="none"/>
        </w:rPr>
        <w:t>投标人经过</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允许，可以进入项目现场踏勘，但不得因此使</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承担有关责任和蒙受损失。除</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原因外，投标人应对踏勘现场而造成的死亡、人身伤害、财产损失、损害以及其它任何损失、损害和引起的费用和开支承担责任。</w:t>
      </w:r>
    </w:p>
    <w:p w14:paraId="41A5CB45">
      <w:pPr>
        <w:spacing w:line="360" w:lineRule="auto"/>
        <w:ind w:firstLine="560" w:firstLineChars="200"/>
        <w:outlineLvl w:val="2"/>
        <w:rPr>
          <w:rFonts w:ascii="楷体" w:hAnsi="楷体" w:eastAsia="楷体"/>
          <w:color w:val="auto"/>
          <w:sz w:val="28"/>
          <w:szCs w:val="28"/>
          <w:highlight w:val="none"/>
        </w:rPr>
      </w:pPr>
      <w:bookmarkStart w:id="31" w:name="_Toc29326"/>
      <w:bookmarkStart w:id="32" w:name="_Toc432789504"/>
      <w:r>
        <w:rPr>
          <w:rFonts w:ascii="楷体" w:hAnsi="楷体" w:eastAsia="楷体"/>
          <w:color w:val="auto"/>
          <w:sz w:val="28"/>
          <w:szCs w:val="28"/>
          <w:highlight w:val="none"/>
        </w:rPr>
        <w:t>6</w:t>
      </w:r>
      <w:r>
        <w:rPr>
          <w:rFonts w:hint="eastAsia" w:ascii="楷体" w:hAnsi="楷体" w:eastAsia="楷体"/>
          <w:color w:val="auto"/>
          <w:sz w:val="28"/>
          <w:szCs w:val="28"/>
          <w:highlight w:val="none"/>
        </w:rPr>
        <w:t>.询问</w:t>
      </w:r>
      <w:bookmarkEnd w:id="31"/>
      <w:bookmarkEnd w:id="32"/>
    </w:p>
    <w:p w14:paraId="105CD200">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6.1</w:t>
      </w:r>
      <w:r>
        <w:rPr>
          <w:rFonts w:hint="eastAsia" w:ascii="仿宋" w:hAnsi="仿宋" w:eastAsia="仿宋"/>
          <w:color w:val="auto"/>
          <w:sz w:val="24"/>
          <w:szCs w:val="24"/>
          <w:highlight w:val="none"/>
        </w:rPr>
        <w:t>投标人对招标投标活动事项有疑问的，可以向代理机构提出询问；代理机构应当及时作出答复，但答复的内容不得涉及商业秘密。</w:t>
      </w:r>
    </w:p>
    <w:p w14:paraId="23AA518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6.</w:t>
      </w:r>
      <w:r>
        <w:rPr>
          <w:rFonts w:ascii="仿宋" w:hAnsi="仿宋" w:eastAsia="仿宋"/>
          <w:color w:val="auto"/>
          <w:sz w:val="24"/>
          <w:szCs w:val="24"/>
          <w:highlight w:val="none"/>
        </w:rPr>
        <w:t>2询问及答复既可以采取书面形式，也可以采取电话、面谈等口头方式。</w:t>
      </w:r>
    </w:p>
    <w:p w14:paraId="5D4E22CE">
      <w:pPr>
        <w:spacing w:line="360" w:lineRule="auto"/>
        <w:ind w:firstLine="560" w:firstLineChars="200"/>
        <w:outlineLvl w:val="2"/>
        <w:rPr>
          <w:rFonts w:ascii="楷体" w:hAnsi="楷体" w:eastAsia="楷体"/>
          <w:color w:val="auto"/>
          <w:sz w:val="28"/>
          <w:szCs w:val="28"/>
          <w:highlight w:val="none"/>
        </w:rPr>
      </w:pPr>
      <w:bookmarkStart w:id="33" w:name="_Toc20929"/>
      <w:bookmarkStart w:id="34" w:name="_Toc432789505"/>
      <w:r>
        <w:rPr>
          <w:rFonts w:ascii="楷体" w:hAnsi="楷体" w:eastAsia="楷体"/>
          <w:color w:val="auto"/>
          <w:sz w:val="28"/>
          <w:szCs w:val="28"/>
          <w:highlight w:val="none"/>
        </w:rPr>
        <w:t>7.</w:t>
      </w:r>
      <w:r>
        <w:rPr>
          <w:rFonts w:hint="eastAsia" w:ascii="楷体" w:hAnsi="楷体" w:eastAsia="楷体"/>
          <w:color w:val="auto"/>
          <w:sz w:val="28"/>
          <w:szCs w:val="28"/>
          <w:highlight w:val="none"/>
        </w:rPr>
        <w:t>偏离</w:t>
      </w:r>
      <w:bookmarkEnd w:id="33"/>
      <w:bookmarkEnd w:id="34"/>
    </w:p>
    <w:p w14:paraId="2EF5B65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允许投标文件偏离招标文件某些非实质性要求的，偏离应当符合招标文件规定的偏离范围和幅度。</w:t>
      </w:r>
    </w:p>
    <w:p w14:paraId="6D98F91F">
      <w:pPr>
        <w:spacing w:line="360" w:lineRule="auto"/>
        <w:ind w:firstLine="560" w:firstLineChars="200"/>
        <w:outlineLvl w:val="2"/>
        <w:rPr>
          <w:rFonts w:ascii="楷体" w:hAnsi="楷体" w:eastAsia="楷体"/>
          <w:color w:val="auto"/>
          <w:sz w:val="28"/>
          <w:szCs w:val="28"/>
          <w:highlight w:val="none"/>
        </w:rPr>
      </w:pPr>
      <w:bookmarkStart w:id="35" w:name="_Toc432789506"/>
      <w:bookmarkStart w:id="36" w:name="_Toc24483"/>
      <w:r>
        <w:rPr>
          <w:rFonts w:ascii="楷体" w:hAnsi="楷体" w:eastAsia="楷体"/>
          <w:color w:val="auto"/>
          <w:sz w:val="28"/>
          <w:szCs w:val="28"/>
          <w:highlight w:val="none"/>
        </w:rPr>
        <w:t>8</w:t>
      </w:r>
      <w:r>
        <w:rPr>
          <w:rFonts w:hint="eastAsia" w:ascii="楷体" w:hAnsi="楷体" w:eastAsia="楷体"/>
          <w:color w:val="auto"/>
          <w:sz w:val="28"/>
          <w:szCs w:val="28"/>
          <w:highlight w:val="none"/>
        </w:rPr>
        <w:t>.履约担保</w:t>
      </w:r>
      <w:bookmarkEnd w:id="35"/>
      <w:bookmarkEnd w:id="36"/>
    </w:p>
    <w:p w14:paraId="7F38A557">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详见投标人须知前附表。</w:t>
      </w:r>
    </w:p>
    <w:p w14:paraId="7292BEDD">
      <w:pPr>
        <w:spacing w:line="360" w:lineRule="auto"/>
        <w:ind w:firstLine="560" w:firstLineChars="200"/>
        <w:outlineLvl w:val="2"/>
        <w:rPr>
          <w:rFonts w:hint="eastAsia" w:ascii="楷体" w:hAnsi="楷体" w:eastAsia="楷体"/>
          <w:color w:val="auto"/>
          <w:sz w:val="28"/>
          <w:szCs w:val="28"/>
          <w:highlight w:val="none"/>
        </w:rPr>
      </w:pPr>
      <w:bookmarkStart w:id="37" w:name="_Toc432789507"/>
      <w:bookmarkStart w:id="38" w:name="_Toc21815"/>
      <w:r>
        <w:rPr>
          <w:rFonts w:ascii="楷体" w:hAnsi="楷体" w:eastAsia="楷体"/>
          <w:color w:val="auto"/>
          <w:sz w:val="28"/>
          <w:szCs w:val="28"/>
          <w:highlight w:val="none"/>
        </w:rPr>
        <w:t>9</w:t>
      </w:r>
      <w:r>
        <w:rPr>
          <w:rFonts w:hint="eastAsia" w:ascii="楷体" w:hAnsi="楷体" w:eastAsia="楷体"/>
          <w:color w:val="auto"/>
          <w:sz w:val="28"/>
          <w:szCs w:val="28"/>
          <w:highlight w:val="none"/>
        </w:rPr>
        <w:t>.</w:t>
      </w:r>
      <w:bookmarkEnd w:id="37"/>
      <w:r>
        <w:rPr>
          <w:rFonts w:hint="eastAsia" w:ascii="楷体" w:hAnsi="楷体" w:eastAsia="楷体"/>
          <w:color w:val="auto"/>
          <w:sz w:val="28"/>
          <w:szCs w:val="28"/>
          <w:highlight w:val="none"/>
        </w:rPr>
        <w:t>招标代理服务费</w:t>
      </w:r>
      <w:bookmarkEnd w:id="38"/>
    </w:p>
    <w:p w14:paraId="20A2444A">
      <w:pPr>
        <w:spacing w:line="360" w:lineRule="auto"/>
        <w:ind w:firstLine="480" w:firstLineChars="200"/>
        <w:outlineLvl w:val="9"/>
        <w:rPr>
          <w:rFonts w:hint="eastAsia" w:ascii="仿宋" w:hAnsi="仿宋" w:eastAsia="仿宋"/>
          <w:color w:val="auto"/>
          <w:sz w:val="24"/>
          <w:szCs w:val="24"/>
          <w:highlight w:val="none"/>
        </w:rPr>
      </w:pPr>
      <w:bookmarkStart w:id="39" w:name="_Toc15701"/>
      <w:bookmarkStart w:id="40" w:name="_Toc12936"/>
      <w:bookmarkStart w:id="41" w:name="_Toc28508"/>
      <w:bookmarkStart w:id="42" w:name="_Toc24511"/>
      <w:bookmarkStart w:id="43" w:name="_Toc432789508"/>
      <w:r>
        <w:rPr>
          <w:rFonts w:hint="eastAsia" w:ascii="仿宋" w:hAnsi="仿宋" w:eastAsia="仿宋"/>
          <w:color w:val="auto"/>
          <w:sz w:val="24"/>
          <w:szCs w:val="24"/>
          <w:highlight w:val="none"/>
        </w:rPr>
        <w:t>详见投标人须知前附表。</w:t>
      </w:r>
      <w:bookmarkEnd w:id="39"/>
      <w:bookmarkEnd w:id="40"/>
      <w:bookmarkEnd w:id="41"/>
      <w:bookmarkEnd w:id="42"/>
    </w:p>
    <w:p w14:paraId="3261D82C">
      <w:pPr>
        <w:spacing w:line="360" w:lineRule="auto"/>
        <w:ind w:firstLine="560" w:firstLineChars="200"/>
        <w:outlineLvl w:val="2"/>
        <w:rPr>
          <w:rFonts w:hint="eastAsia" w:ascii="楷体" w:hAnsi="楷体" w:eastAsia="楷体"/>
          <w:color w:val="auto"/>
          <w:sz w:val="28"/>
          <w:szCs w:val="28"/>
          <w:highlight w:val="none"/>
        </w:rPr>
      </w:pPr>
      <w:bookmarkStart w:id="44" w:name="_Toc29119"/>
      <w:r>
        <w:rPr>
          <w:rFonts w:hint="eastAsia" w:ascii="楷体" w:hAnsi="楷体" w:eastAsia="楷体"/>
          <w:color w:val="auto"/>
          <w:sz w:val="28"/>
          <w:szCs w:val="28"/>
          <w:highlight w:val="none"/>
        </w:rPr>
        <w:t>1</w:t>
      </w:r>
      <w:r>
        <w:rPr>
          <w:rFonts w:ascii="楷体" w:hAnsi="楷体" w:eastAsia="楷体"/>
          <w:color w:val="auto"/>
          <w:sz w:val="28"/>
          <w:szCs w:val="28"/>
          <w:highlight w:val="none"/>
        </w:rPr>
        <w:t>0.</w:t>
      </w:r>
      <w:r>
        <w:rPr>
          <w:rFonts w:hint="eastAsia" w:ascii="楷体" w:hAnsi="楷体" w:eastAsia="楷体"/>
          <w:color w:val="auto"/>
          <w:sz w:val="28"/>
          <w:szCs w:val="28"/>
          <w:highlight w:val="none"/>
        </w:rPr>
        <w:t>招标文件</w:t>
      </w:r>
      <w:bookmarkEnd w:id="43"/>
      <w:bookmarkEnd w:id="44"/>
    </w:p>
    <w:p w14:paraId="24D3561B">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0</w:t>
      </w:r>
      <w:r>
        <w:rPr>
          <w:rFonts w:hint="eastAsia" w:ascii="仿宋" w:hAnsi="仿宋" w:eastAsia="仿宋"/>
          <w:color w:val="auto"/>
          <w:sz w:val="24"/>
          <w:szCs w:val="24"/>
          <w:highlight w:val="none"/>
        </w:rPr>
        <w:t>.1</w:t>
      </w:r>
      <w:r>
        <w:rPr>
          <w:rFonts w:ascii="仿宋" w:hAnsi="仿宋" w:eastAsia="仿宋"/>
          <w:color w:val="auto"/>
          <w:sz w:val="24"/>
          <w:szCs w:val="24"/>
          <w:highlight w:val="none"/>
        </w:rPr>
        <w:t>招标文件的组成</w:t>
      </w:r>
    </w:p>
    <w:p w14:paraId="1427FBE7">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0</w:t>
      </w:r>
      <w:r>
        <w:rPr>
          <w:rFonts w:hint="eastAsia" w:ascii="仿宋" w:hAnsi="仿宋" w:eastAsia="仿宋"/>
          <w:color w:val="auto"/>
          <w:sz w:val="24"/>
          <w:szCs w:val="24"/>
          <w:highlight w:val="none"/>
        </w:rPr>
        <w:t>.</w:t>
      </w:r>
      <w:r>
        <w:rPr>
          <w:rFonts w:ascii="仿宋" w:hAnsi="仿宋" w:eastAsia="仿宋"/>
          <w:color w:val="auto"/>
          <w:sz w:val="24"/>
          <w:szCs w:val="24"/>
          <w:highlight w:val="none"/>
        </w:rPr>
        <w:t>1.1</w:t>
      </w:r>
      <w:r>
        <w:rPr>
          <w:rFonts w:hint="eastAsia" w:ascii="仿宋" w:hAnsi="仿宋" w:eastAsia="仿宋"/>
          <w:color w:val="auto"/>
          <w:sz w:val="24"/>
          <w:szCs w:val="24"/>
          <w:highlight w:val="none"/>
        </w:rPr>
        <w:t>招标文件是用以阐明所需货物以及服务、招标程序和合同格式的规范性文件。招标文件主要由以下部分组成：</w:t>
      </w:r>
    </w:p>
    <w:p w14:paraId="65ED20C3">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1）招标公告；</w:t>
      </w:r>
    </w:p>
    <w:p w14:paraId="5437C81D">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2）投标人须知前附表；</w:t>
      </w:r>
    </w:p>
    <w:p w14:paraId="3566D2E4">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3）投标人应当提交的资格资信等证明文件；</w:t>
      </w:r>
    </w:p>
    <w:p w14:paraId="1C5A2B85">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4）采购需求；</w:t>
      </w:r>
    </w:p>
    <w:p w14:paraId="532AFD43">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5）评标办法；</w:t>
      </w:r>
    </w:p>
    <w:p w14:paraId="414E13A2">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6）投标人须知；</w:t>
      </w:r>
    </w:p>
    <w:p w14:paraId="38B7F4DD">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7）开标、评标、定标；</w:t>
      </w:r>
    </w:p>
    <w:p w14:paraId="7F3170FE">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8）纪律和监督；</w:t>
      </w:r>
    </w:p>
    <w:p w14:paraId="4418E18D">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9）签订合同、合同主要条款；</w:t>
      </w:r>
    </w:p>
    <w:p w14:paraId="217910AA">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10）投标文件格式；</w:t>
      </w:r>
    </w:p>
    <w:p w14:paraId="0D7B336D">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11）投标人须知前附表规定的其他材料。</w:t>
      </w:r>
    </w:p>
    <w:p w14:paraId="7766DD3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0</w:t>
      </w:r>
      <w:r>
        <w:rPr>
          <w:rFonts w:hint="eastAsia" w:ascii="仿宋" w:hAnsi="仿宋" w:eastAsia="仿宋"/>
          <w:color w:val="auto"/>
          <w:sz w:val="24"/>
          <w:szCs w:val="24"/>
          <w:highlight w:val="none"/>
        </w:rPr>
        <w:t>.</w:t>
      </w:r>
      <w:r>
        <w:rPr>
          <w:rFonts w:ascii="仿宋" w:hAnsi="仿宋" w:eastAsia="仿宋"/>
          <w:color w:val="auto"/>
          <w:sz w:val="24"/>
          <w:szCs w:val="24"/>
          <w:highlight w:val="none"/>
        </w:rPr>
        <w:t>1.2</w:t>
      </w:r>
      <w:r>
        <w:rPr>
          <w:rFonts w:hint="eastAsia" w:ascii="仿宋" w:hAnsi="仿宋" w:eastAsia="仿宋"/>
          <w:color w:val="auto"/>
          <w:sz w:val="24"/>
          <w:szCs w:val="24"/>
          <w:highlight w:val="none"/>
        </w:rPr>
        <w:t>根据本章第1</w:t>
      </w:r>
      <w:r>
        <w:rPr>
          <w:rFonts w:ascii="仿宋" w:hAnsi="仿宋" w:eastAsia="仿宋"/>
          <w:color w:val="auto"/>
          <w:sz w:val="24"/>
          <w:szCs w:val="24"/>
          <w:highlight w:val="none"/>
        </w:rPr>
        <w:t>0</w:t>
      </w:r>
      <w:r>
        <w:rPr>
          <w:rFonts w:hint="eastAsia" w:ascii="仿宋" w:hAnsi="仿宋" w:eastAsia="仿宋"/>
          <w:color w:val="auto"/>
          <w:sz w:val="24"/>
          <w:szCs w:val="24"/>
          <w:highlight w:val="none"/>
        </w:rPr>
        <w:t>.2款对采购文件所作的澄清和修改，构成采购文件的组成部分。</w:t>
      </w:r>
    </w:p>
    <w:p w14:paraId="6E4F9DE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0</w:t>
      </w:r>
      <w:r>
        <w:rPr>
          <w:rFonts w:hint="eastAsia" w:ascii="仿宋" w:hAnsi="仿宋" w:eastAsia="仿宋"/>
          <w:color w:val="auto"/>
          <w:sz w:val="24"/>
          <w:szCs w:val="24"/>
          <w:highlight w:val="none"/>
        </w:rPr>
        <w:t>.</w:t>
      </w:r>
      <w:r>
        <w:rPr>
          <w:rFonts w:ascii="仿宋" w:hAnsi="仿宋" w:eastAsia="仿宋"/>
          <w:color w:val="auto"/>
          <w:sz w:val="24"/>
          <w:szCs w:val="24"/>
          <w:highlight w:val="none"/>
        </w:rPr>
        <w:t>1.3</w:t>
      </w:r>
      <w:r>
        <w:rPr>
          <w:rFonts w:hint="eastAsia" w:ascii="仿宋" w:hAnsi="仿宋" w:eastAsia="仿宋"/>
          <w:color w:val="auto"/>
          <w:sz w:val="24"/>
          <w:szCs w:val="24"/>
          <w:highlight w:val="none"/>
        </w:rPr>
        <w:t>除非有特殊要求，招标文件不单独提供项目所在地的自然环境、气候条件、公用设施等情况，投标人被视为熟悉上述与履行合同有关的一切情况。</w:t>
      </w:r>
    </w:p>
    <w:p w14:paraId="79252BCC">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0</w:t>
      </w:r>
      <w:r>
        <w:rPr>
          <w:rFonts w:hint="eastAsia" w:ascii="仿宋" w:hAnsi="仿宋" w:eastAsia="仿宋"/>
          <w:color w:val="auto"/>
          <w:sz w:val="24"/>
          <w:szCs w:val="24"/>
          <w:highlight w:val="none"/>
        </w:rPr>
        <w:t>.</w:t>
      </w:r>
      <w:r>
        <w:rPr>
          <w:rFonts w:ascii="仿宋" w:hAnsi="仿宋" w:eastAsia="仿宋"/>
          <w:color w:val="auto"/>
          <w:sz w:val="24"/>
          <w:szCs w:val="24"/>
          <w:highlight w:val="none"/>
        </w:rPr>
        <w:t>2</w:t>
      </w:r>
      <w:r>
        <w:rPr>
          <w:rFonts w:hint="eastAsia" w:ascii="仿宋" w:hAnsi="仿宋" w:eastAsia="仿宋"/>
          <w:color w:val="auto"/>
          <w:sz w:val="24"/>
          <w:szCs w:val="24"/>
          <w:highlight w:val="none"/>
        </w:rPr>
        <w:t>招标文件的澄清和修改</w:t>
      </w:r>
    </w:p>
    <w:p w14:paraId="7C5525CD">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0.2</w:t>
      </w: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对已发出的招标文件进行必要澄清或者修改的，应当在规定的投标截止时间1</w:t>
      </w:r>
      <w:r>
        <w:rPr>
          <w:rFonts w:ascii="仿宋" w:hAnsi="仿宋" w:eastAsia="仿宋"/>
          <w:color w:val="auto"/>
          <w:sz w:val="24"/>
          <w:szCs w:val="24"/>
          <w:highlight w:val="none"/>
        </w:rPr>
        <w:t>5</w:t>
      </w:r>
      <w:r>
        <w:rPr>
          <w:rFonts w:hint="eastAsia" w:ascii="仿宋" w:hAnsi="仿宋" w:eastAsia="仿宋"/>
          <w:color w:val="auto"/>
          <w:sz w:val="24"/>
          <w:szCs w:val="24"/>
          <w:highlight w:val="none"/>
        </w:rPr>
        <w:t>日前，在</w:t>
      </w:r>
      <w:r>
        <w:rPr>
          <w:rFonts w:hint="eastAsia" w:ascii="仿宋" w:hAnsi="仿宋" w:eastAsia="仿宋"/>
          <w:color w:val="auto"/>
          <w:kern w:val="1"/>
          <w:sz w:val="24"/>
          <w:szCs w:val="24"/>
          <w:highlight w:val="none"/>
          <w:lang w:eastAsia="zh-CN"/>
        </w:rPr>
        <w:t>中国招标投标公共服务平台和山东大学齐鲁医院（青岛）官网</w:t>
      </w:r>
      <w:r>
        <w:rPr>
          <w:rFonts w:hint="eastAsia" w:ascii="仿宋" w:hAnsi="仿宋" w:eastAsia="仿宋"/>
          <w:color w:val="auto"/>
          <w:sz w:val="24"/>
          <w:szCs w:val="24"/>
          <w:highlight w:val="none"/>
        </w:rPr>
        <w:t>上发布更正公告，以书面形式通知所有招标文件收受人，但不指明澄清问题的来源。如果澄清或者修改招标文件的时间距投标截止时间不足1</w:t>
      </w:r>
      <w:r>
        <w:rPr>
          <w:rFonts w:ascii="仿宋" w:hAnsi="仿宋" w:eastAsia="仿宋"/>
          <w:color w:val="auto"/>
          <w:sz w:val="24"/>
          <w:szCs w:val="24"/>
          <w:highlight w:val="none"/>
        </w:rPr>
        <w:t>5</w:t>
      </w:r>
      <w:r>
        <w:rPr>
          <w:rFonts w:hint="eastAsia" w:ascii="仿宋" w:hAnsi="仿宋" w:eastAsia="仿宋"/>
          <w:color w:val="auto"/>
          <w:sz w:val="24"/>
          <w:szCs w:val="24"/>
          <w:highlight w:val="none"/>
        </w:rPr>
        <w:t>日，</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应延长投标截止时间，具体时间将在更正公告中予以明确。</w:t>
      </w:r>
    </w:p>
    <w:p w14:paraId="5828C03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10.2.2投标人应仔细检查招标文件是否齐全。如有残缺、遗漏或者不清楚的，应在投标人须知前附表规定的时间前，以加盖投标人单位公章的书面文件提出，采用信函、传真或者直接送达的形式通知代理机构，同时将电子版文件以电子邮件的形式发送至代理机构</w:t>
      </w:r>
      <w:r>
        <w:rPr>
          <w:rFonts w:ascii="仿宋" w:hAnsi="仿宋" w:eastAsia="仿宋"/>
          <w:color w:val="auto"/>
          <w:sz w:val="24"/>
          <w:szCs w:val="24"/>
          <w:highlight w:val="none"/>
        </w:rPr>
        <w:t>的电子信箱</w:t>
      </w:r>
      <w:r>
        <w:rPr>
          <w:rFonts w:hint="eastAsia" w:ascii="仿宋" w:hAnsi="仿宋" w:eastAsia="仿宋"/>
          <w:color w:val="auto"/>
          <w:sz w:val="24"/>
          <w:szCs w:val="24"/>
          <w:highlight w:val="none"/>
        </w:rPr>
        <w:t>，否则，由此引起的损失由投标人自负。同时，投标人有义务对招标文件的准确性进行复核，如发现有任何错误（打印的错误、逻辑的错误）或者前后矛盾的，应在规定提交答疑的时间内提交给</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或代理机构，否则，投标人应无条件接受招标文件所有条款。</w:t>
      </w:r>
    </w:p>
    <w:p w14:paraId="01D0A192">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0.2</w:t>
      </w:r>
      <w:r>
        <w:rPr>
          <w:rFonts w:hint="eastAsia" w:ascii="仿宋" w:hAnsi="仿宋" w:eastAsia="仿宋"/>
          <w:color w:val="auto"/>
          <w:sz w:val="24"/>
          <w:szCs w:val="24"/>
          <w:highlight w:val="none"/>
        </w:rPr>
        <w:t>.</w:t>
      </w:r>
      <w:r>
        <w:rPr>
          <w:rFonts w:ascii="仿宋" w:hAnsi="仿宋" w:eastAsia="仿宋"/>
          <w:color w:val="auto"/>
          <w:sz w:val="24"/>
          <w:szCs w:val="24"/>
          <w:highlight w:val="none"/>
        </w:rPr>
        <w:t>3</w:t>
      </w:r>
      <w:r>
        <w:rPr>
          <w:rFonts w:hint="eastAsia" w:ascii="仿宋" w:hAnsi="仿宋" w:eastAsia="仿宋"/>
          <w:color w:val="auto"/>
          <w:sz w:val="24"/>
          <w:szCs w:val="24"/>
          <w:highlight w:val="none"/>
        </w:rPr>
        <w:t>招标文件的澄清或者修改文件在</w:t>
      </w:r>
      <w:r>
        <w:rPr>
          <w:rFonts w:hint="eastAsia" w:ascii="仿宋" w:hAnsi="仿宋" w:eastAsia="仿宋"/>
          <w:color w:val="auto"/>
          <w:kern w:val="1"/>
          <w:sz w:val="24"/>
          <w:szCs w:val="24"/>
          <w:highlight w:val="none"/>
          <w:lang w:eastAsia="zh-CN"/>
        </w:rPr>
        <w:t>中国招标投标公共服务平台和山东大学齐鲁医院（青岛）官网</w:t>
      </w:r>
      <w:r>
        <w:rPr>
          <w:rFonts w:hint="eastAsia" w:ascii="仿宋" w:hAnsi="仿宋" w:eastAsia="仿宋"/>
          <w:color w:val="auto"/>
          <w:sz w:val="24"/>
          <w:szCs w:val="24"/>
          <w:highlight w:val="none"/>
        </w:rPr>
        <w:t>上发布公告，方可作为招标文件组成部分并具有法律效力，任何口头答复、通知无效。招标文件的澄清或者修改在同一内容的表述上不一致时，以最后发出的公告为准。</w:t>
      </w:r>
    </w:p>
    <w:p w14:paraId="092B4BB8">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0</w:t>
      </w:r>
      <w:r>
        <w:rPr>
          <w:rFonts w:hint="eastAsia" w:ascii="仿宋" w:hAnsi="仿宋" w:eastAsia="仿宋"/>
          <w:color w:val="auto"/>
          <w:sz w:val="24"/>
          <w:szCs w:val="24"/>
          <w:highlight w:val="none"/>
        </w:rPr>
        <w:t>.</w:t>
      </w:r>
      <w:r>
        <w:rPr>
          <w:rFonts w:ascii="仿宋" w:hAnsi="仿宋" w:eastAsia="仿宋"/>
          <w:color w:val="auto"/>
          <w:sz w:val="24"/>
          <w:szCs w:val="24"/>
          <w:highlight w:val="none"/>
        </w:rPr>
        <w:t>2</w:t>
      </w:r>
      <w:r>
        <w:rPr>
          <w:rFonts w:hint="eastAsia" w:ascii="仿宋" w:hAnsi="仿宋" w:eastAsia="仿宋"/>
          <w:color w:val="auto"/>
          <w:sz w:val="24"/>
          <w:szCs w:val="24"/>
          <w:highlight w:val="none"/>
        </w:rPr>
        <w:t>.4投标人认为招标文件存在歧视性条款或者不合理要求等需要澄清的，应在规定时间内一次性全部提出。在规定时间未一次性提出或者对已澄清的条款再提异议者，即视为同意和接受相关条款。</w:t>
      </w:r>
    </w:p>
    <w:p w14:paraId="26C6543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0</w:t>
      </w:r>
      <w:r>
        <w:rPr>
          <w:rFonts w:hint="eastAsia" w:ascii="仿宋" w:hAnsi="仿宋" w:eastAsia="仿宋"/>
          <w:color w:val="auto"/>
          <w:sz w:val="24"/>
          <w:szCs w:val="24"/>
          <w:highlight w:val="none"/>
        </w:rPr>
        <w:t>.</w:t>
      </w:r>
      <w:r>
        <w:rPr>
          <w:rFonts w:ascii="仿宋" w:hAnsi="仿宋" w:eastAsia="仿宋"/>
          <w:color w:val="auto"/>
          <w:sz w:val="24"/>
          <w:szCs w:val="24"/>
          <w:highlight w:val="none"/>
        </w:rPr>
        <w:t>2</w:t>
      </w:r>
      <w:r>
        <w:rPr>
          <w:rFonts w:hint="eastAsia" w:ascii="仿宋" w:hAnsi="仿宋" w:eastAsia="仿宋"/>
          <w:color w:val="auto"/>
          <w:sz w:val="24"/>
          <w:szCs w:val="24"/>
          <w:highlight w:val="none"/>
        </w:rPr>
        <w:t>.5从更正公告发布时间开始，投标人应在</w:t>
      </w:r>
      <w:r>
        <w:rPr>
          <w:rFonts w:ascii="仿宋" w:hAnsi="仿宋" w:eastAsia="仿宋"/>
          <w:color w:val="auto"/>
          <w:sz w:val="24"/>
          <w:szCs w:val="24"/>
          <w:highlight w:val="none"/>
        </w:rPr>
        <w:t>投标人须知前附表规定的时间</w:t>
      </w:r>
      <w:r>
        <w:rPr>
          <w:rFonts w:hint="eastAsia" w:ascii="仿宋" w:hAnsi="仿宋" w:eastAsia="仿宋"/>
          <w:color w:val="auto"/>
          <w:sz w:val="24"/>
          <w:szCs w:val="24"/>
          <w:highlight w:val="none"/>
        </w:rPr>
        <w:t>内从</w:t>
      </w:r>
      <w:r>
        <w:rPr>
          <w:rFonts w:hint="eastAsia" w:ascii="仿宋" w:hAnsi="仿宋" w:eastAsia="仿宋"/>
          <w:color w:val="auto"/>
          <w:kern w:val="1"/>
          <w:sz w:val="24"/>
          <w:szCs w:val="24"/>
          <w:highlight w:val="none"/>
          <w:lang w:eastAsia="zh-CN"/>
        </w:rPr>
        <w:t>中国招标投标公共服务平台和山东大学齐鲁医院（青岛）官网</w:t>
      </w:r>
      <w:r>
        <w:rPr>
          <w:rFonts w:hint="eastAsia" w:ascii="仿宋" w:hAnsi="仿宋" w:eastAsia="仿宋"/>
          <w:color w:val="auto"/>
          <w:sz w:val="24"/>
          <w:szCs w:val="24"/>
          <w:highlight w:val="none"/>
        </w:rPr>
        <w:t>上下载或者从网上直接打印公告，加盖投标人单位公章以及确认日期，采用信函、传真或者直接送达的形式通知代理机构。否则，即视为同意和接受该公告内容。</w:t>
      </w:r>
    </w:p>
    <w:p w14:paraId="1653E41B">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0</w:t>
      </w:r>
      <w:r>
        <w:rPr>
          <w:rFonts w:hint="eastAsia" w:ascii="仿宋" w:hAnsi="仿宋" w:eastAsia="仿宋"/>
          <w:color w:val="auto"/>
          <w:sz w:val="24"/>
          <w:szCs w:val="24"/>
          <w:highlight w:val="none"/>
        </w:rPr>
        <w:t>.</w:t>
      </w:r>
      <w:r>
        <w:rPr>
          <w:rFonts w:ascii="仿宋" w:hAnsi="仿宋" w:eastAsia="仿宋"/>
          <w:color w:val="auto"/>
          <w:sz w:val="24"/>
          <w:szCs w:val="24"/>
          <w:highlight w:val="none"/>
        </w:rPr>
        <w:t>3</w:t>
      </w:r>
      <w:r>
        <w:rPr>
          <w:rFonts w:hint="eastAsia" w:ascii="仿宋" w:hAnsi="仿宋" w:eastAsia="仿宋"/>
          <w:color w:val="auto"/>
          <w:sz w:val="24"/>
          <w:szCs w:val="24"/>
          <w:highlight w:val="none"/>
        </w:rPr>
        <w:t>延长投标截止时间和开标时间</w:t>
      </w:r>
    </w:p>
    <w:p w14:paraId="03E2088C">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可以视采购具体情况，延长投标截止时间和开标时间，但至少应当在招标文件要求提交投标文件的截止时间3日前，在</w:t>
      </w:r>
      <w:r>
        <w:rPr>
          <w:rFonts w:hint="eastAsia" w:ascii="仿宋" w:hAnsi="仿宋" w:eastAsia="仿宋"/>
          <w:color w:val="auto"/>
          <w:kern w:val="1"/>
          <w:sz w:val="24"/>
          <w:szCs w:val="24"/>
          <w:highlight w:val="none"/>
          <w:lang w:eastAsia="zh-CN"/>
        </w:rPr>
        <w:t>中国招标投标公共服务平台和山东大学齐鲁医院（青岛）官网</w:t>
      </w:r>
      <w:r>
        <w:rPr>
          <w:rFonts w:hint="eastAsia" w:ascii="仿宋" w:hAnsi="仿宋" w:eastAsia="仿宋"/>
          <w:color w:val="auto"/>
          <w:sz w:val="24"/>
          <w:szCs w:val="24"/>
          <w:highlight w:val="none"/>
        </w:rPr>
        <w:t>上发布更正公告，以书面形式通知所有招标文件收受人。</w:t>
      </w:r>
    </w:p>
    <w:p w14:paraId="1836848E">
      <w:pPr>
        <w:spacing w:line="360" w:lineRule="auto"/>
        <w:ind w:firstLine="560" w:firstLineChars="200"/>
        <w:outlineLvl w:val="2"/>
        <w:rPr>
          <w:rFonts w:ascii="楷体" w:hAnsi="楷体" w:eastAsia="楷体"/>
          <w:color w:val="auto"/>
          <w:sz w:val="28"/>
          <w:szCs w:val="28"/>
          <w:highlight w:val="none"/>
        </w:rPr>
      </w:pPr>
      <w:bookmarkStart w:id="45" w:name="_Toc21393"/>
      <w:bookmarkStart w:id="46" w:name="_Toc432789509"/>
      <w:r>
        <w:rPr>
          <w:rFonts w:hint="eastAsia" w:ascii="楷体" w:hAnsi="楷体" w:eastAsia="楷体"/>
          <w:color w:val="auto"/>
          <w:sz w:val="28"/>
          <w:szCs w:val="28"/>
          <w:highlight w:val="none"/>
        </w:rPr>
        <w:t>1</w:t>
      </w:r>
      <w:r>
        <w:rPr>
          <w:rFonts w:ascii="楷体" w:hAnsi="楷体" w:eastAsia="楷体"/>
          <w:color w:val="auto"/>
          <w:sz w:val="28"/>
          <w:szCs w:val="28"/>
          <w:highlight w:val="none"/>
        </w:rPr>
        <w:t>1</w:t>
      </w:r>
      <w:r>
        <w:rPr>
          <w:rFonts w:hint="eastAsia" w:ascii="楷体" w:hAnsi="楷体" w:eastAsia="楷体"/>
          <w:color w:val="auto"/>
          <w:sz w:val="28"/>
          <w:szCs w:val="28"/>
          <w:highlight w:val="none"/>
        </w:rPr>
        <w:t>.投标文件的组成</w:t>
      </w:r>
      <w:bookmarkEnd w:id="45"/>
      <w:bookmarkEnd w:id="46"/>
    </w:p>
    <w:p w14:paraId="09D33328">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1</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投标人应按照招标文件的要求以及格式编制投标文件，并保证其真实性、准确性以及完整性，并按照招标文件要求提交全部资料并做出实质性响应。</w:t>
      </w:r>
    </w:p>
    <w:p w14:paraId="3CB2C9B7">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11.2</w:t>
      </w:r>
      <w:r>
        <w:rPr>
          <w:rFonts w:hint="eastAsia" w:ascii="仿宋" w:hAnsi="仿宋" w:eastAsia="仿宋"/>
          <w:color w:val="auto"/>
          <w:sz w:val="24"/>
          <w:szCs w:val="24"/>
          <w:highlight w:val="none"/>
        </w:rPr>
        <w:t>投标文件由商务文件、技术文件、资格资信等证明文件以及电子版投标文件组成：</w:t>
      </w:r>
    </w:p>
    <w:p w14:paraId="3BC91799">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11.3商务文件（商务文件包含但不限于以下内容）</w:t>
      </w:r>
    </w:p>
    <w:p w14:paraId="360ECB19">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11.3.1</w:t>
      </w:r>
      <w:r>
        <w:rPr>
          <w:rFonts w:hint="eastAsia" w:ascii="仿宋" w:hAnsi="仿宋" w:eastAsia="仿宋"/>
          <w:color w:val="auto"/>
          <w:sz w:val="24"/>
          <w:szCs w:val="24"/>
          <w:highlight w:val="none"/>
        </w:rPr>
        <w:t>投标函；</w:t>
      </w:r>
    </w:p>
    <w:p w14:paraId="72045775">
      <w:pPr>
        <w:spacing w:line="360" w:lineRule="auto"/>
        <w:ind w:firstLine="480" w:firstLineChars="200"/>
        <w:rPr>
          <w:rStyle w:val="46"/>
          <w:rFonts w:hint="eastAsia"/>
          <w:color w:val="auto"/>
          <w:sz w:val="24"/>
          <w:szCs w:val="24"/>
          <w:highlight w:val="none"/>
        </w:rPr>
      </w:pPr>
      <w:r>
        <w:rPr>
          <w:rStyle w:val="46"/>
          <w:rFonts w:hint="eastAsia"/>
          <w:color w:val="auto"/>
          <w:sz w:val="24"/>
          <w:szCs w:val="24"/>
          <w:highlight w:val="none"/>
        </w:rPr>
        <w:t>11.3.2声明函；</w:t>
      </w:r>
    </w:p>
    <w:p w14:paraId="3A9E9B2D">
      <w:pPr>
        <w:spacing w:line="360" w:lineRule="auto"/>
        <w:ind w:firstLine="480" w:firstLineChars="200"/>
        <w:rPr>
          <w:rFonts w:hint="eastAsia" w:ascii="仿宋" w:hAnsi="仿宋" w:eastAsia="仿宋"/>
          <w:color w:val="auto"/>
          <w:sz w:val="24"/>
          <w:szCs w:val="24"/>
          <w:highlight w:val="none"/>
        </w:rPr>
      </w:pPr>
      <w:r>
        <w:rPr>
          <w:rStyle w:val="46"/>
          <w:rFonts w:hint="eastAsia"/>
          <w:color w:val="auto"/>
          <w:sz w:val="24"/>
          <w:szCs w:val="24"/>
          <w:highlight w:val="none"/>
        </w:rPr>
        <w:t>11.3.3</w:t>
      </w:r>
      <w:r>
        <w:rPr>
          <w:rFonts w:ascii="仿宋" w:hAnsi="仿宋" w:eastAsia="仿宋"/>
          <w:color w:val="auto"/>
          <w:kern w:val="1"/>
          <w:sz w:val="24"/>
          <w:szCs w:val="24"/>
          <w:highlight w:val="none"/>
        </w:rPr>
        <w:t>法定代表人身份证明</w:t>
      </w:r>
      <w:r>
        <w:rPr>
          <w:rFonts w:hint="eastAsia" w:ascii="仿宋" w:hAnsi="仿宋" w:eastAsia="仿宋"/>
          <w:color w:val="auto"/>
          <w:kern w:val="1"/>
          <w:sz w:val="24"/>
          <w:szCs w:val="24"/>
          <w:highlight w:val="none"/>
        </w:rPr>
        <w:t>；</w:t>
      </w:r>
    </w:p>
    <w:p w14:paraId="7D6166D0">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11.3.</w:t>
      </w:r>
      <w:r>
        <w:rPr>
          <w:rFonts w:hint="eastAsia" w:ascii="仿宋" w:hAnsi="仿宋" w:eastAsia="仿宋"/>
          <w:color w:val="auto"/>
          <w:sz w:val="24"/>
          <w:szCs w:val="24"/>
          <w:highlight w:val="none"/>
        </w:rPr>
        <w:t>4法定代表人授权委托书；</w:t>
      </w:r>
    </w:p>
    <w:p w14:paraId="0B4BD2C9">
      <w:pPr>
        <w:spacing w:line="360" w:lineRule="auto"/>
        <w:ind w:firstLine="480" w:firstLineChars="200"/>
        <w:rPr>
          <w:rFonts w:ascii="仿宋" w:hAnsi="仿宋" w:eastAsia="仿宋"/>
          <w:color w:val="auto"/>
          <w:sz w:val="24"/>
          <w:szCs w:val="24"/>
          <w:highlight w:val="none"/>
          <w:lang w:val="zh-CN"/>
        </w:rPr>
      </w:pPr>
      <w:r>
        <w:rPr>
          <w:rFonts w:hint="eastAsia" w:ascii="仿宋" w:hAnsi="仿宋" w:eastAsia="仿宋"/>
          <w:color w:val="auto"/>
          <w:sz w:val="24"/>
          <w:szCs w:val="24"/>
          <w:highlight w:val="none"/>
        </w:rPr>
        <w:t>11.3</w:t>
      </w:r>
      <w:r>
        <w:rPr>
          <w:rFonts w:ascii="仿宋" w:hAnsi="仿宋" w:eastAsia="仿宋"/>
          <w:color w:val="auto"/>
          <w:sz w:val="24"/>
          <w:szCs w:val="24"/>
          <w:highlight w:val="none"/>
        </w:rPr>
        <w:t>.</w:t>
      </w:r>
      <w:r>
        <w:rPr>
          <w:rFonts w:hint="eastAsia" w:ascii="仿宋" w:hAnsi="仿宋" w:eastAsia="仿宋"/>
          <w:color w:val="auto"/>
          <w:sz w:val="24"/>
          <w:szCs w:val="24"/>
          <w:highlight w:val="none"/>
        </w:rPr>
        <w:t>5</w:t>
      </w:r>
      <w:r>
        <w:rPr>
          <w:rFonts w:ascii="仿宋" w:hAnsi="仿宋" w:eastAsia="仿宋"/>
          <w:color w:val="auto"/>
          <w:sz w:val="24"/>
          <w:szCs w:val="24"/>
          <w:highlight w:val="none"/>
        </w:rPr>
        <w:t>投标报价</w:t>
      </w:r>
      <w:r>
        <w:rPr>
          <w:rFonts w:hint="eastAsia" w:ascii="仿宋" w:hAnsi="仿宋" w:eastAsia="仿宋"/>
          <w:color w:val="auto"/>
          <w:sz w:val="24"/>
          <w:szCs w:val="24"/>
          <w:highlight w:val="none"/>
          <w:lang w:val="zh-CN"/>
        </w:rPr>
        <w:t>：</w:t>
      </w:r>
    </w:p>
    <w:p w14:paraId="470DE70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（1）报价一览表。是分项报价明细表的汇总表，投标报价（即投标报价总计金额）为各个分项报价金额之和。</w:t>
      </w:r>
    </w:p>
    <w:p w14:paraId="2E5A6CA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（2）分项报价明细表。各分项报价小计名称应当与《报价一览表》中费用名称、金额对应，投标人认为《分项报价明细表》有漏项的，可以增加分项报价。</w:t>
      </w:r>
    </w:p>
    <w:p w14:paraId="6B4AA3B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（3）报价需要说明的其他文件、材料。投标人认为需要对《报价一览表》、《分项报价明细表》中有关报价进一步说明或者证明其报价的文件和材料等。</w:t>
      </w:r>
    </w:p>
    <w:p w14:paraId="2DFA0B9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11.3</w:t>
      </w:r>
      <w:r>
        <w:rPr>
          <w:rFonts w:ascii="仿宋" w:hAnsi="仿宋" w:eastAsia="仿宋"/>
          <w:color w:val="auto"/>
          <w:sz w:val="24"/>
          <w:szCs w:val="24"/>
          <w:highlight w:val="none"/>
        </w:rPr>
        <w:t>.</w:t>
      </w:r>
      <w:r>
        <w:rPr>
          <w:rFonts w:hint="eastAsia" w:ascii="仿宋" w:hAnsi="仿宋" w:eastAsia="仿宋"/>
          <w:color w:val="auto"/>
          <w:sz w:val="24"/>
          <w:szCs w:val="24"/>
          <w:highlight w:val="none"/>
        </w:rPr>
        <w:t>6投标人同类项目实施情况一览表；</w:t>
      </w:r>
    </w:p>
    <w:p w14:paraId="52E6B243">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11.3</w:t>
      </w:r>
      <w:r>
        <w:rPr>
          <w:rFonts w:ascii="仿宋" w:hAnsi="仿宋" w:eastAsia="仿宋"/>
          <w:color w:val="auto"/>
          <w:sz w:val="24"/>
          <w:szCs w:val="24"/>
          <w:highlight w:val="none"/>
        </w:rPr>
        <w:t>.</w:t>
      </w:r>
      <w:r>
        <w:rPr>
          <w:rFonts w:hint="eastAsia" w:ascii="仿宋" w:hAnsi="仿宋" w:eastAsia="仿宋"/>
          <w:color w:val="auto"/>
          <w:sz w:val="24"/>
          <w:szCs w:val="24"/>
          <w:highlight w:val="none"/>
        </w:rPr>
        <w:t>7商务响应表；</w:t>
      </w:r>
    </w:p>
    <w:p w14:paraId="167CE4F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11.3</w:t>
      </w:r>
      <w:r>
        <w:rPr>
          <w:rFonts w:ascii="仿宋" w:hAnsi="仿宋" w:eastAsia="仿宋"/>
          <w:color w:val="auto"/>
          <w:sz w:val="24"/>
          <w:szCs w:val="24"/>
          <w:highlight w:val="none"/>
        </w:rPr>
        <w:t>.</w:t>
      </w:r>
      <w:r>
        <w:rPr>
          <w:rFonts w:hint="eastAsia" w:ascii="仿宋" w:hAnsi="仿宋" w:eastAsia="仿宋"/>
          <w:color w:val="auto"/>
          <w:sz w:val="24"/>
          <w:szCs w:val="24"/>
          <w:highlight w:val="none"/>
        </w:rPr>
        <w:t>8诚信承诺书；</w:t>
      </w:r>
    </w:p>
    <w:p w14:paraId="714DCE53">
      <w:pPr>
        <w:spacing w:line="360" w:lineRule="auto"/>
        <w:ind w:firstLine="480" w:firstLineChars="20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11.3</w:t>
      </w:r>
      <w:r>
        <w:rPr>
          <w:rFonts w:ascii="仿宋" w:hAnsi="仿宋" w:eastAsia="仿宋"/>
          <w:color w:val="auto"/>
          <w:sz w:val="24"/>
          <w:szCs w:val="24"/>
          <w:highlight w:val="none"/>
        </w:rPr>
        <w:t>.</w:t>
      </w:r>
      <w:r>
        <w:rPr>
          <w:rFonts w:hint="eastAsia" w:ascii="仿宋" w:hAnsi="仿宋" w:eastAsia="仿宋"/>
          <w:color w:val="auto"/>
          <w:sz w:val="24"/>
          <w:szCs w:val="24"/>
          <w:highlight w:val="none"/>
        </w:rPr>
        <w:t>9中小企业声明函</w:t>
      </w:r>
      <w:r>
        <w:rPr>
          <w:rFonts w:hint="eastAsia" w:ascii="仿宋" w:hAnsi="仿宋" w:eastAsia="仿宋"/>
          <w:color w:val="auto"/>
          <w:sz w:val="24"/>
          <w:szCs w:val="24"/>
          <w:highlight w:val="none"/>
          <w:lang w:eastAsia="zh-CN"/>
        </w:rPr>
        <w:t>；</w:t>
      </w:r>
    </w:p>
    <w:p w14:paraId="63DDC8B9">
      <w:pPr>
        <w:pStyle w:val="21"/>
        <w:rPr>
          <w:rFonts w:hint="eastAsia" w:eastAsia="仿宋"/>
          <w:color w:val="auto"/>
          <w:highlight w:val="none"/>
          <w:lang w:eastAsia="zh-CN"/>
        </w:rPr>
      </w:pPr>
      <w:r>
        <w:rPr>
          <w:rFonts w:hint="eastAsia" w:ascii="仿宋" w:hAnsi="仿宋" w:eastAsia="仿宋"/>
          <w:color w:val="auto"/>
          <w:sz w:val="24"/>
          <w:szCs w:val="24"/>
          <w:highlight w:val="none"/>
        </w:rPr>
        <w:t>11.3.10残疾人福利性单位声明</w:t>
      </w:r>
      <w:r>
        <w:rPr>
          <w:rFonts w:hint="eastAsia" w:ascii="仿宋" w:hAnsi="仿宋" w:eastAsia="仿宋"/>
          <w:color w:val="auto"/>
          <w:sz w:val="24"/>
          <w:szCs w:val="24"/>
          <w:highlight w:val="none"/>
          <w:lang w:eastAsia="zh-CN"/>
        </w:rPr>
        <w:t>；</w:t>
      </w:r>
    </w:p>
    <w:p w14:paraId="0AB7A5A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11.3.11招标文件商务评标办法中要求提交的相关证明材料复印件；</w:t>
      </w:r>
    </w:p>
    <w:p w14:paraId="716843B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11.3.12投标人认为应介绍或者提交的资料和文件。</w:t>
      </w:r>
    </w:p>
    <w:p w14:paraId="6B783023">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以上未提供参考格式的，格式自拟。</w:t>
      </w:r>
    </w:p>
    <w:p w14:paraId="37ACDF12">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11.4</w:t>
      </w:r>
      <w:r>
        <w:rPr>
          <w:rFonts w:hint="eastAsia" w:ascii="仿宋" w:hAnsi="仿宋" w:eastAsia="仿宋"/>
          <w:color w:val="auto"/>
          <w:sz w:val="24"/>
          <w:szCs w:val="24"/>
          <w:highlight w:val="none"/>
        </w:rPr>
        <w:t>技术文件（技术文件包含但不限于以下内容）</w:t>
      </w:r>
    </w:p>
    <w:p w14:paraId="4AFAD0B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技术文件包含但不限于以下内容：</w:t>
      </w:r>
    </w:p>
    <w:p w14:paraId="2E9D4EDE">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货物清单（包括产品彩页，见附件12）；</w:t>
      </w:r>
    </w:p>
    <w:p w14:paraId="788D73A8">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技术响应表（见附件13）；</w:t>
      </w:r>
    </w:p>
    <w:p w14:paraId="18190598">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选配件、专用耗材、售后服务优惠表（若有，见附件14）；</w:t>
      </w:r>
    </w:p>
    <w:p w14:paraId="3DDAB172">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项目实施人员（主要从业人员以及其技术资格）一览表（见附件15）；</w:t>
      </w:r>
    </w:p>
    <w:p w14:paraId="14C70237">
      <w:pPr>
        <w:spacing w:line="360" w:lineRule="auto"/>
        <w:ind w:firstLine="480" w:firstLineChars="200"/>
        <w:rPr>
          <w:rFonts w:hint="eastAsia" w:ascii="仿宋" w:hAnsi="仿宋" w:eastAsia="仿宋"/>
          <w:color w:val="auto"/>
          <w:sz w:val="24"/>
          <w:szCs w:val="24"/>
          <w:highlight w:val="none"/>
          <w:lang w:eastAsia="zh-CN"/>
        </w:rPr>
      </w:pPr>
      <w:r>
        <w:rPr>
          <w:rFonts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产品选型</w:t>
      </w:r>
      <w:r>
        <w:rPr>
          <w:rFonts w:hint="eastAsia" w:ascii="仿宋" w:hAnsi="仿宋" w:eastAsia="仿宋"/>
          <w:color w:val="auto"/>
          <w:sz w:val="24"/>
          <w:szCs w:val="24"/>
          <w:highlight w:val="none"/>
          <w:lang w:eastAsia="zh-CN"/>
        </w:rPr>
        <w:t>；</w:t>
      </w:r>
    </w:p>
    <w:p w14:paraId="42B3BE4B">
      <w:pPr>
        <w:spacing w:line="360" w:lineRule="auto"/>
        <w:ind w:firstLine="480" w:firstLineChars="20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11.4.6</w:t>
      </w:r>
      <w:r>
        <w:rPr>
          <w:rFonts w:hint="eastAsia" w:ascii="仿宋" w:hAnsi="仿宋" w:eastAsia="仿宋"/>
          <w:color w:val="auto"/>
          <w:sz w:val="24"/>
          <w:szCs w:val="24"/>
          <w:highlight w:val="none"/>
        </w:rPr>
        <w:t>使用安全性、便捷性及备品备件</w:t>
      </w:r>
      <w:r>
        <w:rPr>
          <w:rFonts w:hint="eastAsia" w:ascii="仿宋" w:hAnsi="仿宋" w:eastAsia="仿宋"/>
          <w:color w:val="auto"/>
          <w:sz w:val="24"/>
          <w:szCs w:val="24"/>
          <w:highlight w:val="none"/>
          <w:lang w:eastAsia="zh-CN"/>
        </w:rPr>
        <w:t>；</w:t>
      </w:r>
    </w:p>
    <w:p w14:paraId="10CAF989">
      <w:pPr>
        <w:spacing w:line="360" w:lineRule="auto"/>
        <w:ind w:firstLine="480" w:firstLineChars="20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11.4.7</w:t>
      </w:r>
      <w:r>
        <w:rPr>
          <w:rFonts w:hint="eastAsia" w:ascii="仿宋" w:hAnsi="仿宋" w:eastAsia="仿宋"/>
          <w:color w:val="auto"/>
          <w:sz w:val="24"/>
          <w:szCs w:val="24"/>
          <w:highlight w:val="none"/>
        </w:rPr>
        <w:t>所投产品完整性与兼容性</w:t>
      </w:r>
      <w:r>
        <w:rPr>
          <w:rFonts w:hint="eastAsia" w:ascii="仿宋" w:hAnsi="仿宋" w:eastAsia="仿宋"/>
          <w:color w:val="auto"/>
          <w:sz w:val="24"/>
          <w:szCs w:val="24"/>
          <w:highlight w:val="none"/>
          <w:lang w:eastAsia="zh-CN"/>
        </w:rPr>
        <w:t>；</w:t>
      </w:r>
    </w:p>
    <w:p w14:paraId="2E293493">
      <w:pPr>
        <w:spacing w:line="360" w:lineRule="auto"/>
        <w:ind w:firstLine="480" w:firstLineChars="20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11.4.8</w:t>
      </w:r>
      <w:r>
        <w:rPr>
          <w:rFonts w:hint="eastAsia" w:ascii="仿宋" w:hAnsi="仿宋" w:eastAsia="仿宋"/>
          <w:color w:val="auto"/>
          <w:sz w:val="24"/>
          <w:szCs w:val="24"/>
          <w:highlight w:val="none"/>
        </w:rPr>
        <w:t>供货组织方案及技术保证措施</w:t>
      </w:r>
      <w:r>
        <w:rPr>
          <w:rFonts w:hint="eastAsia" w:ascii="仿宋" w:hAnsi="仿宋" w:eastAsia="仿宋"/>
          <w:color w:val="auto"/>
          <w:sz w:val="24"/>
          <w:szCs w:val="24"/>
          <w:highlight w:val="none"/>
          <w:lang w:eastAsia="zh-CN"/>
        </w:rPr>
        <w:t>；</w:t>
      </w:r>
    </w:p>
    <w:p w14:paraId="72665C92">
      <w:pPr>
        <w:spacing w:line="360" w:lineRule="auto"/>
        <w:ind w:firstLine="480" w:firstLineChars="20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11.4.9</w:t>
      </w:r>
      <w:r>
        <w:rPr>
          <w:rFonts w:hint="eastAsia" w:ascii="仿宋" w:hAnsi="仿宋" w:eastAsia="仿宋"/>
          <w:color w:val="auto"/>
          <w:sz w:val="24"/>
          <w:szCs w:val="24"/>
          <w:highlight w:val="none"/>
        </w:rPr>
        <w:t>培训方案</w:t>
      </w:r>
      <w:r>
        <w:rPr>
          <w:rFonts w:hint="eastAsia" w:ascii="仿宋" w:hAnsi="仿宋" w:eastAsia="仿宋"/>
          <w:color w:val="auto"/>
          <w:sz w:val="24"/>
          <w:szCs w:val="24"/>
          <w:highlight w:val="none"/>
          <w:lang w:eastAsia="zh-CN"/>
        </w:rPr>
        <w:t>；</w:t>
      </w:r>
    </w:p>
    <w:p w14:paraId="2D83DC53">
      <w:pPr>
        <w:spacing w:line="360" w:lineRule="auto"/>
        <w:ind w:firstLine="480" w:firstLineChars="20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11.4.10</w:t>
      </w:r>
      <w:r>
        <w:rPr>
          <w:rFonts w:hint="eastAsia" w:ascii="仿宋" w:hAnsi="仿宋" w:eastAsia="仿宋"/>
          <w:color w:val="auto"/>
          <w:sz w:val="24"/>
          <w:szCs w:val="24"/>
          <w:highlight w:val="none"/>
        </w:rPr>
        <w:t>售后服务方案</w:t>
      </w:r>
      <w:r>
        <w:rPr>
          <w:rFonts w:hint="eastAsia" w:ascii="仿宋" w:hAnsi="仿宋" w:eastAsia="仿宋"/>
          <w:color w:val="auto"/>
          <w:sz w:val="24"/>
          <w:szCs w:val="24"/>
          <w:highlight w:val="none"/>
          <w:lang w:eastAsia="zh-CN"/>
        </w:rPr>
        <w:t>；</w:t>
      </w:r>
    </w:p>
    <w:p w14:paraId="4D44DB1B">
      <w:pPr>
        <w:spacing w:line="360" w:lineRule="auto"/>
        <w:ind w:firstLine="480" w:firstLineChars="20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11.4.11</w:t>
      </w:r>
      <w:r>
        <w:rPr>
          <w:rFonts w:hint="eastAsia" w:ascii="仿宋" w:hAnsi="仿宋" w:eastAsia="仿宋"/>
          <w:color w:val="auto"/>
          <w:sz w:val="24"/>
          <w:szCs w:val="24"/>
          <w:highlight w:val="none"/>
        </w:rPr>
        <w:t>耗材情况</w:t>
      </w:r>
      <w:r>
        <w:rPr>
          <w:rFonts w:hint="eastAsia" w:ascii="仿宋" w:hAnsi="仿宋" w:eastAsia="仿宋"/>
          <w:color w:val="auto"/>
          <w:sz w:val="24"/>
          <w:szCs w:val="24"/>
          <w:highlight w:val="none"/>
          <w:lang w:eastAsia="zh-CN"/>
        </w:rPr>
        <w:t>；</w:t>
      </w:r>
    </w:p>
    <w:p w14:paraId="3B2D7503">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.12</w:t>
      </w:r>
      <w:r>
        <w:rPr>
          <w:rFonts w:hint="eastAsia" w:ascii="仿宋" w:hAnsi="仿宋" w:eastAsia="仿宋"/>
          <w:color w:val="auto"/>
          <w:sz w:val="24"/>
          <w:szCs w:val="24"/>
          <w:highlight w:val="none"/>
        </w:rPr>
        <w:t>招标文件技术评标办法中要求提交的相关证明材料复印件；</w:t>
      </w:r>
    </w:p>
    <w:p w14:paraId="471A862F">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.13</w:t>
      </w:r>
      <w:r>
        <w:rPr>
          <w:rFonts w:hint="eastAsia" w:ascii="仿宋" w:hAnsi="仿宋" w:eastAsia="仿宋"/>
          <w:color w:val="auto"/>
          <w:sz w:val="24"/>
          <w:szCs w:val="24"/>
          <w:highlight w:val="none"/>
        </w:rPr>
        <w:t>投标人认为应介绍或者提交的资料和文件。</w:t>
      </w:r>
    </w:p>
    <w:p w14:paraId="38237558">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注：以上未提供格式的，格式自拟。</w:t>
      </w:r>
    </w:p>
    <w:p w14:paraId="291DA739">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11.5</w:t>
      </w:r>
      <w:r>
        <w:rPr>
          <w:rFonts w:hint="eastAsia" w:ascii="仿宋" w:hAnsi="仿宋" w:eastAsia="仿宋"/>
          <w:color w:val="auto"/>
          <w:sz w:val="24"/>
          <w:szCs w:val="24"/>
          <w:highlight w:val="none"/>
        </w:rPr>
        <w:t>资格资信等证明文件及电子版投标文件</w:t>
      </w:r>
    </w:p>
    <w:p w14:paraId="0FB3025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1.5.1</w:t>
      </w:r>
      <w:r>
        <w:rPr>
          <w:rFonts w:hint="eastAsia" w:ascii="仿宋" w:hAnsi="仿宋" w:eastAsia="仿宋"/>
          <w:color w:val="auto"/>
          <w:sz w:val="24"/>
          <w:szCs w:val="24"/>
          <w:highlight w:val="none"/>
        </w:rPr>
        <w:t>资格资信等证明文件详见招标文件第三章“投标人需提交的资格资信等证明文件”的要求。</w:t>
      </w:r>
    </w:p>
    <w:p w14:paraId="0918838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1.5.2</w:t>
      </w:r>
      <w:r>
        <w:rPr>
          <w:rFonts w:hint="eastAsia" w:ascii="仿宋" w:hAnsi="仿宋" w:eastAsia="仿宋"/>
          <w:color w:val="auto"/>
          <w:sz w:val="24"/>
          <w:szCs w:val="24"/>
          <w:highlight w:val="none"/>
        </w:rPr>
        <w:t>电子版投标文件内容为技术文件、商务文件要求的内容。</w:t>
      </w:r>
    </w:p>
    <w:p w14:paraId="5FEB7D8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1.5.3</w:t>
      </w:r>
      <w:r>
        <w:rPr>
          <w:rFonts w:hint="eastAsia" w:ascii="仿宋" w:hAnsi="仿宋" w:eastAsia="仿宋"/>
          <w:color w:val="auto"/>
          <w:sz w:val="24"/>
          <w:szCs w:val="24"/>
          <w:highlight w:val="none"/>
        </w:rPr>
        <w:t>电子版投标文件作为投标文件的一部分，均不退回。</w:t>
      </w:r>
    </w:p>
    <w:p w14:paraId="7BB8064D">
      <w:pPr>
        <w:spacing w:line="360" w:lineRule="auto"/>
        <w:ind w:firstLine="560" w:firstLineChars="200"/>
        <w:outlineLvl w:val="2"/>
        <w:rPr>
          <w:rFonts w:ascii="楷体" w:hAnsi="楷体" w:eastAsia="楷体"/>
          <w:color w:val="auto"/>
          <w:sz w:val="28"/>
          <w:szCs w:val="28"/>
          <w:highlight w:val="none"/>
        </w:rPr>
      </w:pPr>
      <w:bookmarkStart w:id="47" w:name="_Toc432789510"/>
      <w:bookmarkStart w:id="48" w:name="_Toc14924"/>
      <w:r>
        <w:rPr>
          <w:rFonts w:hint="eastAsia" w:ascii="楷体" w:hAnsi="楷体" w:eastAsia="楷体"/>
          <w:color w:val="auto"/>
          <w:sz w:val="28"/>
          <w:szCs w:val="28"/>
          <w:highlight w:val="none"/>
        </w:rPr>
        <w:t>1</w:t>
      </w:r>
      <w:r>
        <w:rPr>
          <w:rFonts w:ascii="楷体" w:hAnsi="楷体" w:eastAsia="楷体"/>
          <w:color w:val="auto"/>
          <w:sz w:val="28"/>
          <w:szCs w:val="28"/>
          <w:highlight w:val="none"/>
        </w:rPr>
        <w:t>2</w:t>
      </w:r>
      <w:r>
        <w:rPr>
          <w:rFonts w:hint="eastAsia" w:ascii="楷体" w:hAnsi="楷体" w:eastAsia="楷体"/>
          <w:color w:val="auto"/>
          <w:sz w:val="28"/>
          <w:szCs w:val="28"/>
          <w:highlight w:val="none"/>
        </w:rPr>
        <w:t>.投标报价</w:t>
      </w:r>
      <w:bookmarkEnd w:id="47"/>
      <w:bookmarkEnd w:id="48"/>
    </w:p>
    <w:p w14:paraId="47F0E6E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2.1</w:t>
      </w:r>
      <w:r>
        <w:rPr>
          <w:rFonts w:hint="eastAsia" w:ascii="仿宋" w:hAnsi="仿宋" w:eastAsia="仿宋"/>
          <w:color w:val="auto"/>
          <w:sz w:val="24"/>
          <w:szCs w:val="24"/>
          <w:highlight w:val="none"/>
        </w:rPr>
        <w:t>投标报价的范围：见投标人须知前附表。</w:t>
      </w:r>
    </w:p>
    <w:p w14:paraId="41BCD3B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2.2</w:t>
      </w:r>
      <w:r>
        <w:rPr>
          <w:rFonts w:hint="eastAsia" w:ascii="仿宋" w:hAnsi="仿宋" w:eastAsia="仿宋"/>
          <w:color w:val="auto"/>
          <w:sz w:val="24"/>
          <w:szCs w:val="24"/>
          <w:highlight w:val="none"/>
        </w:rPr>
        <w:t>投标人应对所投包中的货物进行报价，对每一包货物的报价必须全部报齐。</w:t>
      </w:r>
    </w:p>
    <w:p w14:paraId="6428F92C">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2.3投标报价的次数：见投标人须知前附表。</w:t>
      </w:r>
    </w:p>
    <w:p w14:paraId="74A83AA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2.4</w:t>
      </w:r>
      <w:r>
        <w:rPr>
          <w:rFonts w:hint="eastAsia" w:ascii="仿宋" w:hAnsi="仿宋" w:eastAsia="仿宋"/>
          <w:color w:val="auto"/>
          <w:sz w:val="24"/>
          <w:szCs w:val="24"/>
          <w:highlight w:val="none"/>
        </w:rPr>
        <w:t>投标人不得以任何方式或者方法提供投标以外的任何附赠条款。</w:t>
      </w:r>
    </w:p>
    <w:p w14:paraId="5DCB0B33">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2.5</w:t>
      </w:r>
      <w:r>
        <w:rPr>
          <w:rFonts w:hint="eastAsia" w:ascii="仿宋" w:hAnsi="仿宋" w:eastAsia="仿宋"/>
          <w:color w:val="auto"/>
          <w:sz w:val="24"/>
          <w:szCs w:val="24"/>
          <w:highlight w:val="none"/>
        </w:rPr>
        <w:t>投标人应按照招标文件中要求的内容填写报价，并由法定代表人或者被授权代表签署。</w:t>
      </w:r>
    </w:p>
    <w:p w14:paraId="32575762">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2.6</w:t>
      </w:r>
      <w:r>
        <w:rPr>
          <w:rFonts w:hint="eastAsia" w:ascii="仿宋" w:hAnsi="仿宋" w:eastAsia="仿宋"/>
          <w:color w:val="auto"/>
          <w:sz w:val="24"/>
          <w:szCs w:val="24"/>
          <w:highlight w:val="none"/>
        </w:rPr>
        <w:t>投标人须按照附件格式表中的各单项明细逐项填写，以方便评标委员会对各投标文件进行比较。</w:t>
      </w:r>
    </w:p>
    <w:p w14:paraId="5844AC0D">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2.7</w:t>
      </w:r>
      <w:r>
        <w:rPr>
          <w:rFonts w:hint="eastAsia" w:ascii="仿宋" w:hAnsi="仿宋" w:eastAsia="仿宋"/>
          <w:color w:val="auto"/>
          <w:sz w:val="24"/>
          <w:szCs w:val="24"/>
          <w:highlight w:val="none"/>
        </w:rPr>
        <w:t>开标时，投标文件中《报价一览表》内容与《分项报价明细表》内容不一致的，以《报价一览表》为准。大写金额和小写金额不一致的，以大写金额为准；总价金额与按照单价汇总金额不一致的，以单价金额计算结果为准；单价金额小数点有明显错位的，应以总价为准，并修改单价；对不同文字文本投标文件的解释发生异议的，以中文文本为准。按照以上原则对错误报价的修正，投标人应签字确认。</w:t>
      </w:r>
    </w:p>
    <w:p w14:paraId="4B4ECDC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2.8</w:t>
      </w:r>
      <w:r>
        <w:rPr>
          <w:rFonts w:hint="eastAsia" w:ascii="仿宋" w:hAnsi="仿宋" w:eastAsia="仿宋"/>
          <w:color w:val="auto"/>
          <w:sz w:val="24"/>
          <w:szCs w:val="24"/>
          <w:highlight w:val="none"/>
        </w:rPr>
        <w:t>唱标时，代理机构只对按照招标文件要求编制的投标报价进行唱标。</w:t>
      </w:r>
    </w:p>
    <w:p w14:paraId="446AEBEE">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2.9</w:t>
      </w:r>
      <w:r>
        <w:rPr>
          <w:rFonts w:hint="eastAsia" w:ascii="仿宋" w:hAnsi="仿宋" w:eastAsia="仿宋"/>
          <w:color w:val="auto"/>
          <w:sz w:val="24"/>
          <w:szCs w:val="24"/>
          <w:highlight w:val="none"/>
        </w:rPr>
        <w:t>投标人的中标价格在合同执行中是固定不变的，不得以任何理由予以变更，不得出现任何包含价格调整的要求。</w:t>
      </w:r>
    </w:p>
    <w:p w14:paraId="36890CC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2.10</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不接受未经中国海关报验放进入中国境内且产自关境外的货物报价。</w:t>
      </w:r>
    </w:p>
    <w:p w14:paraId="2F223FA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w:t>
      </w:r>
      <w:r>
        <w:rPr>
          <w:rFonts w:hint="eastAsia" w:ascii="仿宋" w:hAnsi="仿宋" w:eastAsia="仿宋"/>
          <w:color w:val="auto"/>
          <w:sz w:val="24"/>
          <w:szCs w:val="24"/>
          <w:highlight w:val="none"/>
        </w:rPr>
        <w:t>.11</w:t>
      </w:r>
      <w:r>
        <w:rPr>
          <w:rFonts w:hint="eastAsia" w:ascii="仿宋" w:hAnsi="仿宋" w:eastAsia="仿宋"/>
          <w:color w:val="auto"/>
          <w:sz w:val="24"/>
          <w:szCs w:val="24"/>
          <w:highlight w:val="none"/>
          <w:lang w:val="en-GB"/>
        </w:rPr>
        <w:t>投标人须知前附表未规定可以采购进口产品的，不允许进口产品参加投标。</w:t>
      </w:r>
    </w:p>
    <w:p w14:paraId="17428C3D">
      <w:pPr>
        <w:spacing w:line="360" w:lineRule="auto"/>
        <w:ind w:firstLine="560" w:firstLineChars="200"/>
        <w:outlineLvl w:val="2"/>
        <w:rPr>
          <w:rFonts w:ascii="楷体" w:hAnsi="楷体" w:eastAsia="楷体"/>
          <w:color w:val="auto"/>
          <w:sz w:val="28"/>
          <w:szCs w:val="28"/>
          <w:highlight w:val="none"/>
        </w:rPr>
      </w:pPr>
      <w:bookmarkStart w:id="49" w:name="_Toc2613"/>
      <w:bookmarkStart w:id="50" w:name="_Toc432789511"/>
      <w:r>
        <w:rPr>
          <w:rFonts w:hint="eastAsia" w:ascii="楷体" w:hAnsi="楷体" w:eastAsia="楷体"/>
          <w:color w:val="auto"/>
          <w:sz w:val="28"/>
          <w:szCs w:val="28"/>
          <w:highlight w:val="none"/>
        </w:rPr>
        <w:t>1</w:t>
      </w:r>
      <w:r>
        <w:rPr>
          <w:rFonts w:ascii="楷体" w:hAnsi="楷体" w:eastAsia="楷体"/>
          <w:color w:val="auto"/>
          <w:sz w:val="28"/>
          <w:szCs w:val="28"/>
          <w:highlight w:val="none"/>
        </w:rPr>
        <w:t>3.</w:t>
      </w:r>
      <w:r>
        <w:rPr>
          <w:rFonts w:hint="eastAsia" w:ascii="楷体" w:hAnsi="楷体" w:eastAsia="楷体"/>
          <w:color w:val="auto"/>
          <w:sz w:val="28"/>
          <w:szCs w:val="28"/>
          <w:highlight w:val="none"/>
        </w:rPr>
        <w:t>投标文件格式以及编制要求</w:t>
      </w:r>
      <w:bookmarkEnd w:id="49"/>
      <w:bookmarkEnd w:id="50"/>
    </w:p>
    <w:p w14:paraId="214EB619">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3</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投标文件应按所投包分别进行编制。</w:t>
      </w:r>
    </w:p>
    <w:p w14:paraId="7BDF7290">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13.2</w:t>
      </w:r>
      <w:r>
        <w:rPr>
          <w:rFonts w:hint="eastAsia" w:ascii="仿宋" w:hAnsi="仿宋" w:eastAsia="仿宋"/>
          <w:color w:val="auto"/>
          <w:sz w:val="24"/>
          <w:szCs w:val="24"/>
          <w:highlight w:val="none"/>
        </w:rPr>
        <w:t>投标文件编制装订：见投标人须知前附表。</w:t>
      </w:r>
    </w:p>
    <w:p w14:paraId="391AA3DC">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13.3投标文件签署和盖章：</w:t>
      </w:r>
      <w:r>
        <w:rPr>
          <w:rFonts w:hint="eastAsia" w:ascii="仿宋" w:hAnsi="仿宋" w:eastAsia="仿宋"/>
          <w:color w:val="auto"/>
          <w:sz w:val="24"/>
          <w:szCs w:val="24"/>
          <w:highlight w:val="none"/>
        </w:rPr>
        <w:t>见投标人须知前附表。</w:t>
      </w:r>
    </w:p>
    <w:p w14:paraId="6DCE9C74">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3.4</w:t>
      </w:r>
      <w:r>
        <w:rPr>
          <w:rFonts w:hint="eastAsia" w:ascii="仿宋" w:hAnsi="仿宋" w:eastAsia="仿宋"/>
          <w:color w:val="auto"/>
          <w:sz w:val="24"/>
          <w:szCs w:val="24"/>
          <w:highlight w:val="none"/>
        </w:rPr>
        <w:t>投标人可对供货现场以及其范围环境进行考察，以获取有关编制投标文件和签署实施合同所需的各项资料，投标人应承担现场考察的费用、责任和风险。</w:t>
      </w:r>
    </w:p>
    <w:p w14:paraId="2419959C">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13.5</w:t>
      </w:r>
      <w:r>
        <w:rPr>
          <w:rFonts w:hint="eastAsia" w:ascii="仿宋" w:hAnsi="仿宋" w:eastAsia="仿宋"/>
          <w:color w:val="auto"/>
          <w:sz w:val="24"/>
          <w:szCs w:val="24"/>
          <w:highlight w:val="none"/>
        </w:rPr>
        <w:t>投标人编制投标文件时，应当如实在技术响应表和商务响应表中填写响应情况。</w:t>
      </w:r>
    </w:p>
    <w:p w14:paraId="749C70A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3.6</w:t>
      </w:r>
      <w:r>
        <w:rPr>
          <w:rFonts w:hint="eastAsia" w:ascii="仿宋" w:hAnsi="仿宋" w:eastAsia="仿宋"/>
          <w:color w:val="auto"/>
          <w:sz w:val="24"/>
          <w:szCs w:val="24"/>
          <w:highlight w:val="none"/>
        </w:rPr>
        <w:t>投标文件份数及要求：见投标人须知前附表。</w:t>
      </w:r>
    </w:p>
    <w:p w14:paraId="5A0B2819">
      <w:pPr>
        <w:spacing w:line="360" w:lineRule="auto"/>
        <w:ind w:firstLine="560" w:firstLineChars="200"/>
        <w:outlineLvl w:val="2"/>
        <w:rPr>
          <w:rFonts w:hint="eastAsia" w:ascii="楷体" w:hAnsi="楷体" w:eastAsia="楷体"/>
          <w:color w:val="auto"/>
          <w:sz w:val="28"/>
          <w:szCs w:val="28"/>
          <w:highlight w:val="none"/>
        </w:rPr>
      </w:pPr>
      <w:bookmarkStart w:id="51" w:name="_Toc21534"/>
      <w:bookmarkStart w:id="52" w:name="_Toc432789512"/>
      <w:r>
        <w:rPr>
          <w:rFonts w:hint="eastAsia" w:ascii="楷体" w:hAnsi="楷体" w:eastAsia="楷体"/>
          <w:color w:val="auto"/>
          <w:sz w:val="28"/>
          <w:szCs w:val="28"/>
          <w:highlight w:val="none"/>
        </w:rPr>
        <w:t>1</w:t>
      </w:r>
      <w:r>
        <w:rPr>
          <w:rFonts w:ascii="楷体" w:hAnsi="楷体" w:eastAsia="楷体"/>
          <w:color w:val="auto"/>
          <w:sz w:val="28"/>
          <w:szCs w:val="28"/>
          <w:highlight w:val="none"/>
        </w:rPr>
        <w:t>4.</w:t>
      </w:r>
      <w:r>
        <w:rPr>
          <w:rFonts w:hint="eastAsia" w:ascii="楷体" w:hAnsi="楷体" w:eastAsia="楷体"/>
          <w:color w:val="auto"/>
          <w:sz w:val="28"/>
          <w:szCs w:val="28"/>
          <w:highlight w:val="none"/>
        </w:rPr>
        <w:t>投标文件的密封和标记</w:t>
      </w:r>
      <w:bookmarkEnd w:id="51"/>
      <w:bookmarkEnd w:id="52"/>
    </w:p>
    <w:p w14:paraId="32E50936">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详见投标人须知前附表。</w:t>
      </w:r>
    </w:p>
    <w:p w14:paraId="709BB0D0">
      <w:pPr>
        <w:spacing w:line="360" w:lineRule="auto"/>
        <w:ind w:firstLine="560" w:firstLineChars="200"/>
        <w:outlineLvl w:val="2"/>
        <w:rPr>
          <w:rFonts w:hint="eastAsia" w:ascii="楷体" w:hAnsi="楷体" w:eastAsia="楷体"/>
          <w:color w:val="auto"/>
          <w:sz w:val="28"/>
          <w:szCs w:val="28"/>
          <w:highlight w:val="none"/>
        </w:rPr>
      </w:pPr>
      <w:bookmarkStart w:id="53" w:name="_Toc14243"/>
      <w:bookmarkStart w:id="54" w:name="_Toc432789513"/>
      <w:r>
        <w:rPr>
          <w:rFonts w:hint="eastAsia" w:ascii="楷体" w:hAnsi="楷体" w:eastAsia="楷体"/>
          <w:color w:val="auto"/>
          <w:sz w:val="28"/>
          <w:szCs w:val="28"/>
          <w:highlight w:val="none"/>
        </w:rPr>
        <w:t>1</w:t>
      </w:r>
      <w:r>
        <w:rPr>
          <w:rFonts w:ascii="楷体" w:hAnsi="楷体" w:eastAsia="楷体"/>
          <w:color w:val="auto"/>
          <w:sz w:val="28"/>
          <w:szCs w:val="28"/>
          <w:highlight w:val="none"/>
        </w:rPr>
        <w:t>5.</w:t>
      </w:r>
      <w:r>
        <w:rPr>
          <w:rFonts w:hint="eastAsia" w:ascii="楷体" w:hAnsi="楷体" w:eastAsia="楷体"/>
          <w:color w:val="auto"/>
          <w:sz w:val="28"/>
          <w:szCs w:val="28"/>
          <w:highlight w:val="none"/>
        </w:rPr>
        <w:t>投标文件的递交</w:t>
      </w:r>
      <w:bookmarkEnd w:id="53"/>
      <w:bookmarkEnd w:id="54"/>
    </w:p>
    <w:p w14:paraId="40D4CB91">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15</w:t>
      </w:r>
      <w:r>
        <w:rPr>
          <w:rFonts w:hint="eastAsia" w:ascii="仿宋" w:hAnsi="仿宋" w:eastAsia="仿宋"/>
          <w:color w:val="auto"/>
          <w:sz w:val="24"/>
          <w:szCs w:val="24"/>
          <w:highlight w:val="none"/>
        </w:rPr>
        <w:t>.1投标人应在投标截止时间前递交投标文件。</w:t>
      </w:r>
    </w:p>
    <w:p w14:paraId="41489E29">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15.</w:t>
      </w:r>
      <w:r>
        <w:rPr>
          <w:rFonts w:hint="eastAsia" w:ascii="仿宋" w:hAnsi="仿宋" w:eastAsia="仿宋"/>
          <w:color w:val="auto"/>
          <w:sz w:val="24"/>
          <w:szCs w:val="24"/>
          <w:highlight w:val="none"/>
        </w:rPr>
        <w:t>2投标人递交投标文件的时间、地点和要求：见投标人须知前附表。</w:t>
      </w:r>
    </w:p>
    <w:p w14:paraId="62C532D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5</w:t>
      </w:r>
      <w:r>
        <w:rPr>
          <w:rFonts w:hint="eastAsia" w:ascii="仿宋" w:hAnsi="仿宋" w:eastAsia="仿宋"/>
          <w:color w:val="auto"/>
          <w:sz w:val="24"/>
          <w:szCs w:val="24"/>
          <w:highlight w:val="none"/>
        </w:rPr>
        <w:t>.</w:t>
      </w:r>
      <w:r>
        <w:rPr>
          <w:rFonts w:ascii="仿宋" w:hAnsi="仿宋" w:eastAsia="仿宋"/>
          <w:color w:val="auto"/>
          <w:sz w:val="24"/>
          <w:szCs w:val="24"/>
          <w:highlight w:val="none"/>
        </w:rPr>
        <w:t>3</w:t>
      </w:r>
      <w:r>
        <w:rPr>
          <w:rFonts w:hint="eastAsia" w:ascii="仿宋" w:hAnsi="仿宋" w:eastAsia="仿宋"/>
          <w:color w:val="auto"/>
          <w:sz w:val="24"/>
          <w:szCs w:val="24"/>
          <w:highlight w:val="none"/>
        </w:rPr>
        <w:t>投标人有下列情况之一，</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或者代理机构应当拒绝接收投标人的投标文件：</w:t>
      </w:r>
    </w:p>
    <w:p w14:paraId="21920684">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5</w:t>
      </w:r>
      <w:r>
        <w:rPr>
          <w:rFonts w:hint="eastAsia" w:ascii="仿宋" w:hAnsi="仿宋" w:eastAsia="仿宋"/>
          <w:color w:val="auto"/>
          <w:sz w:val="24"/>
          <w:szCs w:val="24"/>
          <w:highlight w:val="none"/>
        </w:rPr>
        <w:t>.</w:t>
      </w:r>
      <w:r>
        <w:rPr>
          <w:rFonts w:ascii="仿宋" w:hAnsi="仿宋" w:eastAsia="仿宋"/>
          <w:color w:val="auto"/>
          <w:sz w:val="24"/>
          <w:szCs w:val="24"/>
          <w:highlight w:val="none"/>
        </w:rPr>
        <w:t>3.1</w:t>
      </w:r>
      <w:r>
        <w:rPr>
          <w:rFonts w:hint="eastAsia" w:ascii="仿宋" w:hAnsi="仿宋" w:eastAsia="仿宋"/>
          <w:color w:val="auto"/>
          <w:sz w:val="24"/>
          <w:szCs w:val="24"/>
          <w:highlight w:val="none"/>
        </w:rPr>
        <w:t>逾期送达的或者未送达指定地点的；</w:t>
      </w:r>
    </w:p>
    <w:p w14:paraId="72C62B74">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5</w:t>
      </w:r>
      <w:r>
        <w:rPr>
          <w:rFonts w:hint="eastAsia" w:ascii="仿宋" w:hAnsi="仿宋" w:eastAsia="仿宋"/>
          <w:color w:val="auto"/>
          <w:sz w:val="24"/>
          <w:szCs w:val="24"/>
          <w:highlight w:val="none"/>
        </w:rPr>
        <w:t>.</w:t>
      </w:r>
      <w:r>
        <w:rPr>
          <w:rFonts w:ascii="仿宋" w:hAnsi="仿宋" w:eastAsia="仿宋"/>
          <w:color w:val="auto"/>
          <w:sz w:val="24"/>
          <w:szCs w:val="24"/>
          <w:highlight w:val="none"/>
        </w:rPr>
        <w:t>3.2</w:t>
      </w:r>
      <w:r>
        <w:rPr>
          <w:rFonts w:hint="eastAsia" w:ascii="仿宋" w:hAnsi="仿宋" w:eastAsia="仿宋"/>
          <w:color w:val="auto"/>
          <w:sz w:val="24"/>
          <w:szCs w:val="24"/>
          <w:highlight w:val="none"/>
        </w:rPr>
        <w:t>投标文件未按招标文件要求密封的。</w:t>
      </w:r>
    </w:p>
    <w:p w14:paraId="140B3CC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5.4</w:t>
      </w:r>
      <w:r>
        <w:rPr>
          <w:rFonts w:hint="eastAsia" w:ascii="仿宋" w:hAnsi="仿宋" w:eastAsia="仿宋"/>
          <w:color w:val="auto"/>
          <w:sz w:val="24"/>
          <w:szCs w:val="24"/>
          <w:highlight w:val="none"/>
        </w:rPr>
        <w:t>除投标人须知前附表另有规定外，不论招标过程和结果如何，投标人的投标文件均不退还。</w:t>
      </w:r>
    </w:p>
    <w:p w14:paraId="0B56DEAB">
      <w:pPr>
        <w:spacing w:line="360" w:lineRule="auto"/>
        <w:ind w:firstLine="560" w:firstLineChars="200"/>
        <w:outlineLvl w:val="2"/>
        <w:rPr>
          <w:rFonts w:ascii="楷体" w:hAnsi="楷体" w:eastAsia="楷体"/>
          <w:color w:val="auto"/>
          <w:sz w:val="28"/>
          <w:szCs w:val="28"/>
          <w:highlight w:val="none"/>
        </w:rPr>
      </w:pPr>
      <w:bookmarkStart w:id="55" w:name="_Toc432789514"/>
      <w:bookmarkStart w:id="56" w:name="_Toc16073"/>
      <w:r>
        <w:rPr>
          <w:rFonts w:hint="eastAsia" w:ascii="楷体" w:hAnsi="楷体" w:eastAsia="楷体"/>
          <w:color w:val="auto"/>
          <w:sz w:val="28"/>
          <w:szCs w:val="28"/>
          <w:highlight w:val="none"/>
        </w:rPr>
        <w:t>1</w:t>
      </w:r>
      <w:r>
        <w:rPr>
          <w:rFonts w:ascii="楷体" w:hAnsi="楷体" w:eastAsia="楷体"/>
          <w:color w:val="auto"/>
          <w:sz w:val="28"/>
          <w:szCs w:val="28"/>
          <w:highlight w:val="none"/>
        </w:rPr>
        <w:t>6</w:t>
      </w:r>
      <w:r>
        <w:rPr>
          <w:rFonts w:hint="eastAsia" w:ascii="楷体" w:hAnsi="楷体" w:eastAsia="楷体"/>
          <w:color w:val="auto"/>
          <w:sz w:val="28"/>
          <w:szCs w:val="28"/>
          <w:highlight w:val="none"/>
        </w:rPr>
        <w:t>.投标文件的修改与撤回</w:t>
      </w:r>
      <w:bookmarkEnd w:id="55"/>
      <w:bookmarkEnd w:id="56"/>
    </w:p>
    <w:p w14:paraId="2D699A7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6.1</w:t>
      </w:r>
      <w:r>
        <w:rPr>
          <w:rFonts w:hint="eastAsia" w:ascii="仿宋" w:hAnsi="仿宋" w:eastAsia="仿宋"/>
          <w:color w:val="auto"/>
          <w:sz w:val="24"/>
          <w:szCs w:val="24"/>
          <w:highlight w:val="none"/>
        </w:rPr>
        <w:t>投标人在招标文件要求提交投标文件截止时间前，可以补充、修改、替代或者撤回已提交的投标文件，并书面形式通知</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或者代理机构。补充、修改的内容为投标文件的组成部分。</w:t>
      </w:r>
    </w:p>
    <w:p w14:paraId="5D0D1139">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6</w:t>
      </w:r>
      <w:r>
        <w:rPr>
          <w:rFonts w:hint="eastAsia" w:ascii="仿宋" w:hAnsi="仿宋" w:eastAsia="仿宋"/>
          <w:color w:val="auto"/>
          <w:sz w:val="24"/>
          <w:szCs w:val="24"/>
          <w:highlight w:val="none"/>
        </w:rPr>
        <w:t>.</w:t>
      </w:r>
      <w:r>
        <w:rPr>
          <w:rFonts w:ascii="仿宋" w:hAnsi="仿宋" w:eastAsia="仿宋"/>
          <w:color w:val="auto"/>
          <w:sz w:val="24"/>
          <w:szCs w:val="24"/>
          <w:highlight w:val="none"/>
        </w:rPr>
        <w:t>2</w:t>
      </w:r>
      <w:r>
        <w:rPr>
          <w:rFonts w:hint="eastAsia" w:ascii="仿宋" w:hAnsi="仿宋" w:eastAsia="仿宋"/>
          <w:color w:val="auto"/>
          <w:sz w:val="24"/>
          <w:szCs w:val="24"/>
          <w:highlight w:val="none"/>
        </w:rPr>
        <w:t>投标人对投标文件的补充、修改，应按照本招标文件有关规定进行编制、密封、标记、盖章和递交，并在投标文件密封袋上，清楚标明“修改投标文件”或者“撤回投标”字样。</w:t>
      </w:r>
    </w:p>
    <w:p w14:paraId="6917E30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6.3</w:t>
      </w:r>
      <w:r>
        <w:rPr>
          <w:rFonts w:hint="eastAsia" w:ascii="仿宋" w:hAnsi="仿宋" w:eastAsia="仿宋"/>
          <w:color w:val="auto"/>
          <w:sz w:val="24"/>
          <w:szCs w:val="24"/>
          <w:highlight w:val="none"/>
        </w:rPr>
        <w:t>在提交投标文件截止时间后到招标文件规定的投标有效期终止之前，投标人不得补充、修改、替代或者撤回其投标文件。投标人撤回全部或者部分投标文件的，其投标保证金将被没收。</w:t>
      </w:r>
    </w:p>
    <w:p w14:paraId="19F0852E">
      <w:pPr>
        <w:spacing w:line="360" w:lineRule="auto"/>
        <w:ind w:firstLine="560" w:firstLineChars="200"/>
        <w:outlineLvl w:val="2"/>
        <w:rPr>
          <w:rFonts w:ascii="楷体" w:hAnsi="楷体" w:eastAsia="楷体"/>
          <w:color w:val="auto"/>
          <w:sz w:val="28"/>
          <w:szCs w:val="28"/>
          <w:highlight w:val="none"/>
        </w:rPr>
      </w:pPr>
      <w:bookmarkStart w:id="57" w:name="_Toc432789515"/>
      <w:bookmarkStart w:id="58" w:name="_Toc29674"/>
      <w:r>
        <w:rPr>
          <w:rFonts w:hint="eastAsia" w:ascii="楷体" w:hAnsi="楷体" w:eastAsia="楷体"/>
          <w:color w:val="auto"/>
          <w:sz w:val="28"/>
          <w:szCs w:val="28"/>
          <w:highlight w:val="none"/>
        </w:rPr>
        <w:t>1</w:t>
      </w:r>
      <w:r>
        <w:rPr>
          <w:rFonts w:ascii="楷体" w:hAnsi="楷体" w:eastAsia="楷体"/>
          <w:color w:val="auto"/>
          <w:sz w:val="28"/>
          <w:szCs w:val="28"/>
          <w:highlight w:val="none"/>
        </w:rPr>
        <w:t>7.</w:t>
      </w:r>
      <w:r>
        <w:rPr>
          <w:rFonts w:hint="eastAsia" w:ascii="楷体" w:hAnsi="楷体" w:eastAsia="楷体"/>
          <w:color w:val="auto"/>
          <w:sz w:val="28"/>
          <w:szCs w:val="28"/>
          <w:highlight w:val="none"/>
        </w:rPr>
        <w:t>投标保证金</w:t>
      </w:r>
      <w:bookmarkEnd w:id="57"/>
      <w:bookmarkEnd w:id="58"/>
    </w:p>
    <w:p w14:paraId="4CAFC5A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17.1投标保证金的交纳</w:t>
      </w:r>
    </w:p>
    <w:p w14:paraId="780162F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17.1.1投标保证金的交纳金额和形式：见投标人须知前附表。</w:t>
      </w:r>
    </w:p>
    <w:p w14:paraId="001FB9D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17.1.2投标保证金以到账时间为准。</w:t>
      </w:r>
    </w:p>
    <w:p w14:paraId="21DEFB4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17.1.3投标人为联合体的，联合体牵头人交纳的保证金对联合体各方均具有约束力。</w:t>
      </w:r>
    </w:p>
    <w:p w14:paraId="62A3E7E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17.2投标保证金的退还</w:t>
      </w:r>
    </w:p>
    <w:p w14:paraId="0D14CAF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17.2.1投标人在招标文件要求递交投标文件截止时间前书面要求撤回投标文件的，</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或者招标代理机构自收到投标人书面撤回文件之日起5日内退还已收取的投标保证金。</w:t>
      </w:r>
    </w:p>
    <w:p w14:paraId="441FF33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17.2.2招标代理机构在中标通知发出后5个工作日内退还未中标人的投标保证金，在采购合同签订后5个工作日内退还中标人的投标保证金。</w:t>
      </w:r>
    </w:p>
    <w:p w14:paraId="584416C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17.3投标保证金的不予退还</w:t>
      </w:r>
    </w:p>
    <w:p w14:paraId="1A820C3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17.3.1投标人有下列情形之一的，投标保证金将不予退还：</w:t>
      </w:r>
    </w:p>
    <w:p w14:paraId="7952146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（1）提供的有关资料不真实或者提供虚假材料的；</w:t>
      </w:r>
    </w:p>
    <w:p w14:paraId="6877D42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（2）投标截止时间后投标人撤回全部或者部分投标文件的；</w:t>
      </w:r>
    </w:p>
    <w:p w14:paraId="6EA8D30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（3）损害</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或者招标代理机构合法权益的；</w:t>
      </w:r>
    </w:p>
    <w:p w14:paraId="7BAB84D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（4）投标人向招标代理机构、</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、专家提供不正当利益的；</w:t>
      </w:r>
    </w:p>
    <w:p w14:paraId="6C7C263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（5）经评标委员会认定有故意哄抬报价、串标或者其它违法行为的；</w:t>
      </w:r>
    </w:p>
    <w:p w14:paraId="24BE974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（6）中标人未按照招标文件规定签订合同或者未按照招标文件规定提供履约保证金的；</w:t>
      </w:r>
    </w:p>
    <w:p w14:paraId="209F88D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（7）法律、行政法规以及有关规定的其它情形。</w:t>
      </w:r>
    </w:p>
    <w:p w14:paraId="12312D7B">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17.3.2不予退还的投标保证金应在规定时间内由</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按照相关规定处理。</w:t>
      </w:r>
    </w:p>
    <w:p w14:paraId="78935E13">
      <w:pPr>
        <w:spacing w:line="360" w:lineRule="auto"/>
        <w:ind w:firstLine="560" w:firstLineChars="200"/>
        <w:outlineLvl w:val="2"/>
        <w:rPr>
          <w:rFonts w:hint="eastAsia" w:ascii="楷体" w:hAnsi="楷体" w:eastAsia="楷体"/>
          <w:color w:val="auto"/>
          <w:sz w:val="28"/>
          <w:szCs w:val="28"/>
          <w:highlight w:val="none"/>
        </w:rPr>
      </w:pPr>
      <w:bookmarkStart w:id="59" w:name="_Toc432789517"/>
      <w:bookmarkStart w:id="60" w:name="_Toc5565"/>
      <w:r>
        <w:rPr>
          <w:rFonts w:hint="eastAsia" w:ascii="楷体" w:hAnsi="楷体" w:eastAsia="楷体"/>
          <w:color w:val="auto"/>
          <w:sz w:val="28"/>
          <w:szCs w:val="28"/>
          <w:highlight w:val="none"/>
        </w:rPr>
        <w:t>18</w:t>
      </w:r>
      <w:r>
        <w:rPr>
          <w:rFonts w:ascii="楷体" w:hAnsi="楷体" w:eastAsia="楷体"/>
          <w:color w:val="auto"/>
          <w:sz w:val="28"/>
          <w:szCs w:val="28"/>
          <w:highlight w:val="none"/>
        </w:rPr>
        <w:t>.</w:t>
      </w:r>
      <w:bookmarkEnd w:id="59"/>
      <w:r>
        <w:rPr>
          <w:rFonts w:hint="eastAsia" w:ascii="楷体" w:hAnsi="楷体" w:eastAsia="楷体"/>
          <w:color w:val="auto"/>
          <w:sz w:val="28"/>
          <w:szCs w:val="28"/>
          <w:highlight w:val="none"/>
        </w:rPr>
        <w:t>质疑处理</w:t>
      </w:r>
      <w:bookmarkEnd w:id="60"/>
    </w:p>
    <w:p w14:paraId="24906D39">
      <w:pPr>
        <w:spacing w:line="360" w:lineRule="auto"/>
        <w:ind w:firstLine="480" w:firstLineChars="200"/>
        <w:rPr>
          <w:rFonts w:hint="eastAsia" w:eastAsia="仿宋"/>
          <w:color w:val="auto"/>
          <w:sz w:val="24"/>
          <w:highlight w:val="none"/>
        </w:rPr>
      </w:pPr>
      <w:r>
        <w:rPr>
          <w:rFonts w:hint="eastAsia" w:eastAsia="仿宋"/>
          <w:color w:val="auto"/>
          <w:sz w:val="24"/>
          <w:highlight w:val="none"/>
        </w:rPr>
        <w:t>质疑</w:t>
      </w:r>
    </w:p>
    <w:p w14:paraId="5027851E">
      <w:pPr>
        <w:spacing w:line="360" w:lineRule="auto"/>
        <w:ind w:firstLine="480" w:firstLineChars="200"/>
        <w:rPr>
          <w:rFonts w:hint="eastAsia" w:eastAsia="仿宋"/>
          <w:color w:val="auto"/>
          <w:sz w:val="24"/>
          <w:highlight w:val="none"/>
        </w:rPr>
      </w:pPr>
      <w:r>
        <w:rPr>
          <w:rFonts w:hint="eastAsia" w:eastAsia="仿宋"/>
          <w:color w:val="auto"/>
          <w:sz w:val="24"/>
          <w:highlight w:val="none"/>
        </w:rPr>
        <w:t>17.1参加本次采购活动的投标人认为采购文件、采购过程和中标结果使自己的权益受到损害的，可以在知道或者应知道其权益受到损害之日起7个工作日内，向采购人或者采购代理机构提出质疑。</w:t>
      </w:r>
    </w:p>
    <w:p w14:paraId="7F25485C">
      <w:pPr>
        <w:spacing w:line="360" w:lineRule="auto"/>
        <w:ind w:firstLine="480" w:firstLineChars="200"/>
        <w:rPr>
          <w:rFonts w:hint="eastAsia" w:eastAsia="仿宋"/>
          <w:color w:val="auto"/>
          <w:sz w:val="24"/>
          <w:highlight w:val="none"/>
        </w:rPr>
      </w:pPr>
      <w:r>
        <w:rPr>
          <w:rFonts w:hint="eastAsia" w:eastAsia="仿宋"/>
          <w:color w:val="auto"/>
          <w:sz w:val="24"/>
          <w:highlight w:val="none"/>
        </w:rPr>
        <w:t>潜在投标人已依法获取其可质疑的采购文件的，可以依法对该文件提出质疑。</w:t>
      </w:r>
    </w:p>
    <w:p w14:paraId="6175D415">
      <w:pPr>
        <w:spacing w:line="360" w:lineRule="auto"/>
        <w:ind w:firstLine="480" w:firstLineChars="200"/>
        <w:rPr>
          <w:rFonts w:hint="eastAsia" w:eastAsia="仿宋"/>
          <w:color w:val="auto"/>
          <w:sz w:val="24"/>
          <w:highlight w:val="none"/>
        </w:rPr>
      </w:pPr>
      <w:r>
        <w:rPr>
          <w:rFonts w:hint="eastAsia" w:eastAsia="仿宋"/>
          <w:color w:val="auto"/>
          <w:sz w:val="24"/>
          <w:highlight w:val="none"/>
        </w:rPr>
        <w:t>17.2投标人应知其权益受到损害之日，是指：</w:t>
      </w:r>
    </w:p>
    <w:p w14:paraId="591896E6">
      <w:pPr>
        <w:spacing w:line="360" w:lineRule="auto"/>
        <w:ind w:firstLine="480" w:firstLineChars="200"/>
        <w:rPr>
          <w:rFonts w:hint="eastAsia" w:eastAsia="仿宋"/>
          <w:color w:val="auto"/>
          <w:sz w:val="24"/>
          <w:highlight w:val="none"/>
        </w:rPr>
      </w:pPr>
      <w:r>
        <w:rPr>
          <w:rFonts w:hint="eastAsia" w:eastAsia="仿宋"/>
          <w:color w:val="auto"/>
          <w:sz w:val="24"/>
          <w:highlight w:val="none"/>
        </w:rPr>
        <w:t>（一）对可以质疑的采购文件提出质疑的，为收到采购文件之日或者采购文件公告期限届满之日；</w:t>
      </w:r>
    </w:p>
    <w:p w14:paraId="6F935CE3">
      <w:pPr>
        <w:spacing w:line="360" w:lineRule="auto"/>
        <w:ind w:firstLine="480" w:firstLineChars="200"/>
        <w:rPr>
          <w:rFonts w:hint="eastAsia" w:eastAsia="仿宋"/>
          <w:color w:val="auto"/>
          <w:sz w:val="24"/>
          <w:highlight w:val="none"/>
        </w:rPr>
      </w:pPr>
      <w:r>
        <w:rPr>
          <w:rFonts w:hint="eastAsia" w:eastAsia="仿宋"/>
          <w:color w:val="auto"/>
          <w:sz w:val="24"/>
          <w:highlight w:val="none"/>
        </w:rPr>
        <w:t>（二）对采购过程提出质疑的，为各采购程序环节结束之日；</w:t>
      </w:r>
    </w:p>
    <w:p w14:paraId="79E62A25">
      <w:pPr>
        <w:spacing w:line="360" w:lineRule="auto"/>
        <w:ind w:firstLine="480" w:firstLineChars="200"/>
        <w:rPr>
          <w:rFonts w:hint="eastAsia" w:eastAsia="仿宋"/>
          <w:color w:val="auto"/>
          <w:sz w:val="24"/>
          <w:highlight w:val="none"/>
        </w:rPr>
      </w:pPr>
      <w:r>
        <w:rPr>
          <w:rFonts w:hint="eastAsia" w:eastAsia="仿宋"/>
          <w:color w:val="auto"/>
          <w:sz w:val="24"/>
          <w:highlight w:val="none"/>
        </w:rPr>
        <w:t>（三）对中标结果提出质疑的，为中标结果公告期限届满之日。</w:t>
      </w:r>
    </w:p>
    <w:p w14:paraId="0B3483DB">
      <w:pPr>
        <w:spacing w:line="360" w:lineRule="auto"/>
        <w:ind w:firstLine="480" w:firstLineChars="200"/>
        <w:rPr>
          <w:rFonts w:hint="eastAsia" w:eastAsia="仿宋"/>
          <w:color w:val="auto"/>
          <w:sz w:val="24"/>
          <w:highlight w:val="none"/>
        </w:rPr>
      </w:pPr>
      <w:r>
        <w:rPr>
          <w:rFonts w:hint="eastAsia" w:eastAsia="仿宋"/>
          <w:color w:val="auto"/>
          <w:sz w:val="24"/>
          <w:highlight w:val="none"/>
        </w:rPr>
        <w:t>17.3投标人应当在法定质疑期内一次性提出针对本项目同一采购程序环节的质疑。</w:t>
      </w:r>
    </w:p>
    <w:p w14:paraId="22EBE19E">
      <w:pPr>
        <w:spacing w:line="360" w:lineRule="auto"/>
        <w:ind w:firstLine="480" w:firstLineChars="200"/>
        <w:rPr>
          <w:rFonts w:hint="eastAsia" w:eastAsia="仿宋"/>
          <w:color w:val="auto"/>
          <w:sz w:val="24"/>
          <w:highlight w:val="none"/>
        </w:rPr>
      </w:pPr>
      <w:r>
        <w:rPr>
          <w:rFonts w:hint="eastAsia" w:eastAsia="仿宋"/>
          <w:color w:val="auto"/>
          <w:sz w:val="24"/>
          <w:highlight w:val="none"/>
        </w:rPr>
        <w:t>17.4质疑函内容应包括以下主要内容：</w:t>
      </w:r>
    </w:p>
    <w:p w14:paraId="5729B5C2">
      <w:pPr>
        <w:spacing w:line="360" w:lineRule="auto"/>
        <w:ind w:firstLine="480" w:firstLineChars="200"/>
        <w:rPr>
          <w:rFonts w:hint="eastAsia" w:eastAsia="仿宋"/>
          <w:color w:val="auto"/>
          <w:sz w:val="24"/>
          <w:highlight w:val="none"/>
        </w:rPr>
      </w:pPr>
      <w:r>
        <w:rPr>
          <w:rFonts w:hint="eastAsia" w:eastAsia="仿宋"/>
          <w:color w:val="auto"/>
          <w:sz w:val="24"/>
          <w:highlight w:val="none"/>
        </w:rPr>
        <w:t>（一）投标人的姓名或者名称、地址、邮编、联系人及联系电话；</w:t>
      </w:r>
    </w:p>
    <w:p w14:paraId="1D67C504">
      <w:pPr>
        <w:spacing w:line="360" w:lineRule="auto"/>
        <w:ind w:firstLine="480" w:firstLineChars="200"/>
        <w:rPr>
          <w:rFonts w:hint="eastAsia" w:eastAsia="仿宋"/>
          <w:color w:val="auto"/>
          <w:sz w:val="24"/>
          <w:highlight w:val="none"/>
        </w:rPr>
      </w:pPr>
      <w:r>
        <w:rPr>
          <w:rFonts w:hint="eastAsia" w:eastAsia="仿宋"/>
          <w:color w:val="auto"/>
          <w:sz w:val="24"/>
          <w:highlight w:val="none"/>
        </w:rPr>
        <w:t>（二）质疑项目的名称、编号；</w:t>
      </w:r>
    </w:p>
    <w:p w14:paraId="37976289">
      <w:pPr>
        <w:spacing w:line="360" w:lineRule="auto"/>
        <w:ind w:firstLine="480" w:firstLineChars="200"/>
        <w:rPr>
          <w:rFonts w:hint="eastAsia" w:eastAsia="仿宋"/>
          <w:color w:val="auto"/>
          <w:sz w:val="24"/>
          <w:highlight w:val="none"/>
        </w:rPr>
      </w:pPr>
      <w:r>
        <w:rPr>
          <w:rFonts w:hint="eastAsia" w:eastAsia="仿宋"/>
          <w:color w:val="auto"/>
          <w:sz w:val="24"/>
          <w:highlight w:val="none"/>
        </w:rPr>
        <w:t>（三）具体、明确的质疑事项和与质疑事项相关的请求；</w:t>
      </w:r>
    </w:p>
    <w:p w14:paraId="2828F730">
      <w:pPr>
        <w:spacing w:line="360" w:lineRule="auto"/>
        <w:ind w:firstLine="480" w:firstLineChars="200"/>
        <w:rPr>
          <w:rFonts w:hint="eastAsia" w:eastAsia="仿宋"/>
          <w:color w:val="auto"/>
          <w:sz w:val="24"/>
          <w:highlight w:val="none"/>
        </w:rPr>
      </w:pPr>
      <w:r>
        <w:rPr>
          <w:rFonts w:hint="eastAsia" w:eastAsia="仿宋"/>
          <w:color w:val="auto"/>
          <w:sz w:val="24"/>
          <w:highlight w:val="none"/>
        </w:rPr>
        <w:t>（四）事实依据；</w:t>
      </w:r>
    </w:p>
    <w:p w14:paraId="2CDFBBDE">
      <w:pPr>
        <w:spacing w:line="360" w:lineRule="auto"/>
        <w:ind w:firstLine="480" w:firstLineChars="200"/>
        <w:rPr>
          <w:rFonts w:hint="eastAsia" w:eastAsia="仿宋"/>
          <w:color w:val="auto"/>
          <w:sz w:val="24"/>
          <w:highlight w:val="none"/>
        </w:rPr>
      </w:pPr>
      <w:r>
        <w:rPr>
          <w:rFonts w:hint="eastAsia" w:eastAsia="仿宋"/>
          <w:color w:val="auto"/>
          <w:sz w:val="24"/>
          <w:highlight w:val="none"/>
        </w:rPr>
        <w:t>（五）必要的法律依据；</w:t>
      </w:r>
    </w:p>
    <w:p w14:paraId="5943FA91">
      <w:pPr>
        <w:spacing w:line="360" w:lineRule="auto"/>
        <w:ind w:firstLine="480" w:firstLineChars="200"/>
        <w:rPr>
          <w:rFonts w:hint="eastAsia" w:eastAsia="仿宋"/>
          <w:color w:val="auto"/>
          <w:sz w:val="24"/>
          <w:highlight w:val="none"/>
        </w:rPr>
      </w:pPr>
      <w:r>
        <w:rPr>
          <w:rFonts w:hint="eastAsia" w:eastAsia="仿宋"/>
          <w:color w:val="auto"/>
          <w:sz w:val="24"/>
          <w:highlight w:val="none"/>
        </w:rPr>
        <w:t>（六）提出质疑的日期。</w:t>
      </w:r>
    </w:p>
    <w:p w14:paraId="0EFF1919">
      <w:pPr>
        <w:spacing w:line="360" w:lineRule="auto"/>
        <w:ind w:firstLine="480" w:firstLineChars="200"/>
        <w:rPr>
          <w:rFonts w:hint="eastAsia" w:eastAsia="仿宋"/>
          <w:color w:val="auto"/>
          <w:sz w:val="24"/>
          <w:highlight w:val="none"/>
        </w:rPr>
      </w:pPr>
      <w:r>
        <w:rPr>
          <w:rFonts w:hint="eastAsia" w:eastAsia="仿宋"/>
          <w:color w:val="auto"/>
          <w:sz w:val="24"/>
          <w:highlight w:val="none"/>
        </w:rPr>
        <w:t>投标人为自然人的，应当由本人签字；投标人为法人或者其他组织的，应当由法定代表人、主要负责人，或者其授权代表签字或者盖章，并加盖公章。否则采购人或者采购代理机构不予受理。</w:t>
      </w:r>
    </w:p>
    <w:p w14:paraId="174BC31E">
      <w:pPr>
        <w:spacing w:line="360" w:lineRule="auto"/>
        <w:ind w:firstLine="480" w:firstLineChars="200"/>
        <w:rPr>
          <w:rFonts w:hint="eastAsia" w:eastAsia="仿宋"/>
          <w:color w:val="auto"/>
          <w:sz w:val="24"/>
          <w:highlight w:val="none"/>
        </w:rPr>
      </w:pPr>
      <w:r>
        <w:rPr>
          <w:rFonts w:hint="eastAsia" w:eastAsia="仿宋"/>
          <w:color w:val="auto"/>
          <w:sz w:val="24"/>
          <w:highlight w:val="none"/>
        </w:rPr>
        <w:t>17.5代理人提出质疑的，应当提交投标人签署的授权委托书。其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6EACDBA">
      <w:pPr>
        <w:spacing w:line="360" w:lineRule="auto"/>
        <w:ind w:firstLine="480" w:firstLineChars="200"/>
        <w:rPr>
          <w:rFonts w:hint="eastAsia" w:ascii="仿宋" w:hAnsi="仿宋" w:eastAsia="仿宋"/>
          <w:color w:val="auto"/>
          <w:sz w:val="24"/>
          <w:szCs w:val="24"/>
          <w:highlight w:val="none"/>
        </w:rPr>
      </w:pPr>
      <w:r>
        <w:rPr>
          <w:rFonts w:hint="eastAsia" w:eastAsia="仿宋"/>
          <w:color w:val="auto"/>
          <w:sz w:val="24"/>
          <w:highlight w:val="none"/>
        </w:rPr>
        <w:t>17.6采购人或者采购代理机构在收到质疑函后7个工作日内做出答复，并通过系统以电子文档形式通知质疑投标人和其他有关投标人，但答复不得涉及商业秘密。</w:t>
      </w:r>
    </w:p>
    <w:p w14:paraId="671388CF">
      <w:pPr>
        <w:rPr>
          <w:color w:val="auto"/>
          <w:highlight w:val="none"/>
        </w:rPr>
        <w:sectPr>
          <w:headerReference r:id="rId6" w:type="default"/>
          <w:footerReference r:id="rId7" w:type="default"/>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42FDEACE">
      <w:pPr>
        <w:spacing w:after="156" w:afterLines="50"/>
        <w:jc w:val="center"/>
        <w:outlineLvl w:val="1"/>
        <w:rPr>
          <w:rFonts w:ascii="黑体" w:hAnsi="黑体" w:eastAsia="黑体"/>
          <w:color w:val="auto"/>
          <w:sz w:val="28"/>
          <w:szCs w:val="28"/>
          <w:highlight w:val="none"/>
        </w:rPr>
      </w:pPr>
      <w:bookmarkStart w:id="61" w:name="_Toc18899"/>
      <w:bookmarkStart w:id="62" w:name="_Toc432789519"/>
      <w:r>
        <w:rPr>
          <w:rFonts w:ascii="黑体" w:hAnsi="黑体" w:eastAsia="黑体"/>
          <w:color w:val="auto"/>
          <w:sz w:val="28"/>
          <w:szCs w:val="28"/>
          <w:highlight w:val="none"/>
        </w:rPr>
        <w:t>第七章</w:t>
      </w:r>
      <w:r>
        <w:rPr>
          <w:rFonts w:hint="eastAsia" w:ascii="黑体" w:hAnsi="黑体" w:eastAsia="黑体"/>
          <w:color w:val="auto"/>
          <w:sz w:val="28"/>
          <w:szCs w:val="28"/>
          <w:highlight w:val="none"/>
        </w:rPr>
        <w:t xml:space="preserve">  开标、评标、定标</w:t>
      </w:r>
      <w:bookmarkEnd w:id="61"/>
      <w:bookmarkEnd w:id="62"/>
    </w:p>
    <w:p w14:paraId="44044042">
      <w:pPr>
        <w:spacing w:line="360" w:lineRule="auto"/>
        <w:ind w:firstLine="560" w:firstLineChars="200"/>
        <w:outlineLvl w:val="2"/>
        <w:rPr>
          <w:rFonts w:ascii="楷体" w:hAnsi="楷体" w:eastAsia="楷体"/>
          <w:color w:val="auto"/>
          <w:sz w:val="28"/>
          <w:szCs w:val="28"/>
          <w:highlight w:val="none"/>
        </w:rPr>
      </w:pPr>
      <w:bookmarkStart w:id="63" w:name="_Toc2386"/>
      <w:bookmarkStart w:id="64" w:name="_Toc432789520"/>
      <w:r>
        <w:rPr>
          <w:rFonts w:hint="eastAsia" w:ascii="楷体" w:hAnsi="楷体" w:eastAsia="楷体"/>
          <w:color w:val="auto"/>
          <w:sz w:val="28"/>
          <w:szCs w:val="28"/>
          <w:highlight w:val="none"/>
        </w:rPr>
        <w:t>1.开标程序</w:t>
      </w:r>
      <w:bookmarkEnd w:id="63"/>
      <w:bookmarkEnd w:id="64"/>
    </w:p>
    <w:p w14:paraId="5281873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.1</w:t>
      </w:r>
      <w:r>
        <w:rPr>
          <w:rFonts w:hint="eastAsia" w:ascii="仿宋" w:hAnsi="仿宋" w:eastAsia="仿宋"/>
          <w:color w:val="auto"/>
          <w:sz w:val="24"/>
          <w:szCs w:val="24"/>
          <w:highlight w:val="none"/>
        </w:rPr>
        <w:t>宣布开标纪律；</w:t>
      </w:r>
    </w:p>
    <w:p w14:paraId="3D54190E">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w:t>
      </w:r>
      <w:r>
        <w:rPr>
          <w:rFonts w:hint="eastAsia" w:ascii="仿宋" w:hAnsi="仿宋" w:eastAsia="仿宋"/>
          <w:color w:val="auto"/>
          <w:sz w:val="24"/>
          <w:szCs w:val="24"/>
          <w:highlight w:val="none"/>
        </w:rPr>
        <w:t>宣布主持人、唱标人、记录人等有关人员姓名；</w:t>
      </w:r>
    </w:p>
    <w:p w14:paraId="06364BDC">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.3</w:t>
      </w:r>
      <w:r>
        <w:rPr>
          <w:rFonts w:hint="eastAsia" w:ascii="仿宋" w:hAnsi="仿宋" w:eastAsia="仿宋"/>
          <w:color w:val="auto"/>
          <w:sz w:val="24"/>
          <w:szCs w:val="24"/>
          <w:highlight w:val="none"/>
        </w:rPr>
        <w:t>公布在投标截止时间前递交投标文件的投标人名称及签到顺序；</w:t>
      </w:r>
    </w:p>
    <w:p w14:paraId="57BFB75B">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.4</w:t>
      </w:r>
      <w:r>
        <w:rPr>
          <w:rFonts w:hint="eastAsia" w:ascii="仿宋" w:hAnsi="仿宋" w:eastAsia="仿宋"/>
          <w:color w:val="auto"/>
          <w:sz w:val="24"/>
          <w:szCs w:val="24"/>
          <w:highlight w:val="none"/>
        </w:rPr>
        <w:t>投标人相互检查投标文件密封情况，并签字确认；</w:t>
      </w:r>
    </w:p>
    <w:p w14:paraId="76B8E579">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.5</w:t>
      </w:r>
      <w:r>
        <w:rPr>
          <w:rFonts w:hint="eastAsia" w:ascii="仿宋" w:hAnsi="仿宋" w:eastAsia="仿宋"/>
          <w:color w:val="auto"/>
          <w:sz w:val="24"/>
          <w:szCs w:val="24"/>
          <w:highlight w:val="none"/>
        </w:rPr>
        <w:t>开启投标文件，按照签到顺序公布投标人名称、投标报价等内容，并记录在案；</w:t>
      </w:r>
    </w:p>
    <w:p w14:paraId="465398CE">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.6</w:t>
      </w:r>
      <w:r>
        <w:rPr>
          <w:rFonts w:hint="eastAsia" w:ascii="仿宋" w:hAnsi="仿宋" w:eastAsia="仿宋"/>
          <w:color w:val="auto"/>
          <w:sz w:val="24"/>
          <w:szCs w:val="24"/>
          <w:highlight w:val="none"/>
        </w:rPr>
        <w:t>投标人法定代表人（或者被授权代表）、</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代表、记录人等有关人员在开标记录上签字确认；</w:t>
      </w:r>
    </w:p>
    <w:p w14:paraId="3B0712D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.7</w:t>
      </w:r>
      <w:r>
        <w:rPr>
          <w:rFonts w:hint="eastAsia" w:ascii="仿宋" w:hAnsi="仿宋" w:eastAsia="仿宋"/>
          <w:color w:val="auto"/>
          <w:sz w:val="24"/>
          <w:szCs w:val="24"/>
          <w:highlight w:val="none"/>
        </w:rPr>
        <w:t>开标结束。</w:t>
      </w:r>
    </w:p>
    <w:p w14:paraId="2F832FE6">
      <w:pPr>
        <w:spacing w:line="360" w:lineRule="auto"/>
        <w:ind w:firstLine="560" w:firstLineChars="200"/>
        <w:outlineLvl w:val="2"/>
        <w:rPr>
          <w:rFonts w:ascii="楷体" w:hAnsi="楷体" w:eastAsia="楷体"/>
          <w:color w:val="auto"/>
          <w:sz w:val="28"/>
          <w:szCs w:val="28"/>
          <w:highlight w:val="none"/>
        </w:rPr>
      </w:pPr>
      <w:bookmarkStart w:id="65" w:name="_Toc432789521"/>
      <w:bookmarkStart w:id="66" w:name="_Toc32319"/>
      <w:r>
        <w:rPr>
          <w:rFonts w:hint="eastAsia" w:ascii="楷体" w:hAnsi="楷体" w:eastAsia="楷体"/>
          <w:color w:val="auto"/>
          <w:sz w:val="28"/>
          <w:szCs w:val="28"/>
          <w:highlight w:val="none"/>
        </w:rPr>
        <w:t>2.开标</w:t>
      </w:r>
      <w:bookmarkEnd w:id="65"/>
      <w:bookmarkEnd w:id="66"/>
    </w:p>
    <w:p w14:paraId="07DF775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.1</w:t>
      </w:r>
      <w:r>
        <w:rPr>
          <w:rFonts w:hint="eastAsia" w:ascii="仿宋" w:hAnsi="仿宋" w:eastAsia="仿宋"/>
          <w:color w:val="auto"/>
          <w:sz w:val="24"/>
          <w:szCs w:val="24"/>
          <w:highlight w:val="none"/>
        </w:rPr>
        <w:t>开标应当在招标文件确定的提交投标文件截止时间的同一时间公开进行；代理机构按照本招标文件规定的时间和地点组织召开开标会议。届时请投标人法定代表人或者被授权代表参加，参加开标会议的代表应签名报到。</w:t>
      </w:r>
    </w:p>
    <w:p w14:paraId="5723B413">
      <w:pPr>
        <w:wordWrap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zh-CN"/>
        </w:rPr>
        <w:t>法定代表人参加</w:t>
      </w:r>
      <w:r>
        <w:rPr>
          <w:rFonts w:hint="eastAsia" w:ascii="仿宋" w:hAnsi="仿宋" w:eastAsia="仿宋" w:cs="仿宋"/>
          <w:b/>
          <w:color w:val="auto"/>
          <w:sz w:val="24"/>
          <w:highlight w:val="none"/>
        </w:rPr>
        <w:t>投标</w:t>
      </w:r>
      <w:r>
        <w:rPr>
          <w:rFonts w:hint="eastAsia" w:ascii="仿宋" w:hAnsi="仿宋" w:eastAsia="仿宋" w:cs="仿宋"/>
          <w:b/>
          <w:color w:val="auto"/>
          <w:sz w:val="24"/>
          <w:highlight w:val="none"/>
          <w:lang w:val="zh-CN"/>
        </w:rPr>
        <w:t>的，应出示法定代表人身份证明原件（须按照</w:t>
      </w:r>
      <w:r>
        <w:rPr>
          <w:rFonts w:hint="eastAsia" w:ascii="仿宋" w:hAnsi="仿宋" w:eastAsia="仿宋" w:cs="仿宋"/>
          <w:b/>
          <w:color w:val="auto"/>
          <w:sz w:val="24"/>
          <w:highlight w:val="none"/>
        </w:rPr>
        <w:t>招标</w:t>
      </w:r>
      <w:r>
        <w:rPr>
          <w:rFonts w:hint="eastAsia" w:ascii="仿宋" w:hAnsi="仿宋" w:eastAsia="仿宋" w:cs="仿宋"/>
          <w:b/>
          <w:color w:val="auto"/>
          <w:sz w:val="24"/>
          <w:highlight w:val="none"/>
          <w:lang w:val="zh-CN"/>
        </w:rPr>
        <w:t>文件附件格式提供）和本人身份证原件；被授权代表参加</w:t>
      </w:r>
      <w:r>
        <w:rPr>
          <w:rFonts w:hint="eastAsia" w:ascii="仿宋" w:hAnsi="仿宋" w:eastAsia="仿宋" w:cs="仿宋"/>
          <w:b/>
          <w:color w:val="auto"/>
          <w:sz w:val="24"/>
          <w:highlight w:val="none"/>
        </w:rPr>
        <w:t>投标</w:t>
      </w:r>
      <w:r>
        <w:rPr>
          <w:rFonts w:hint="eastAsia" w:ascii="仿宋" w:hAnsi="仿宋" w:eastAsia="仿宋" w:cs="仿宋"/>
          <w:b/>
          <w:color w:val="auto"/>
          <w:sz w:val="24"/>
          <w:highlight w:val="none"/>
          <w:lang w:val="zh-CN"/>
        </w:rPr>
        <w:t>的，应出示法定代表人授权委托书原件（须按照</w:t>
      </w:r>
      <w:r>
        <w:rPr>
          <w:rFonts w:hint="eastAsia" w:ascii="仿宋" w:hAnsi="仿宋" w:eastAsia="仿宋" w:cs="仿宋"/>
          <w:b/>
          <w:color w:val="auto"/>
          <w:sz w:val="24"/>
          <w:highlight w:val="none"/>
        </w:rPr>
        <w:t>招标</w:t>
      </w:r>
      <w:r>
        <w:rPr>
          <w:rFonts w:hint="eastAsia" w:ascii="仿宋" w:hAnsi="仿宋" w:eastAsia="仿宋" w:cs="仿宋"/>
          <w:b/>
          <w:color w:val="auto"/>
          <w:sz w:val="24"/>
          <w:highlight w:val="none"/>
          <w:lang w:val="zh-CN"/>
        </w:rPr>
        <w:t>文件附件格式提供）和本人身份证原件。</w:t>
      </w:r>
      <w:r>
        <w:rPr>
          <w:rFonts w:hint="eastAsia" w:ascii="仿宋" w:hAnsi="仿宋" w:eastAsia="仿宋" w:cs="仿宋"/>
          <w:b/>
          <w:color w:val="auto"/>
          <w:sz w:val="24"/>
          <w:highlight w:val="none"/>
        </w:rPr>
        <w:t>否则，代理机构对提交的投标文件不予接收。</w:t>
      </w:r>
    </w:p>
    <w:p w14:paraId="734A42D2">
      <w:pPr>
        <w:wordWrap w:val="0"/>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或者代理机构收到投标文件后，应当如实记载投标文件的送达时间和密封情况，签收保存，并向投标人出具签收回执。逾期送达或者未按照招标文件要求密封的投标文件，</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、代理机构应当拒收。</w:t>
      </w:r>
    </w:p>
    <w:p w14:paraId="1723DA84">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.2</w:t>
      </w:r>
      <w:r>
        <w:rPr>
          <w:rFonts w:hint="eastAsia" w:ascii="仿宋" w:hAnsi="仿宋" w:eastAsia="仿宋"/>
          <w:color w:val="auto"/>
          <w:sz w:val="24"/>
          <w:szCs w:val="24"/>
          <w:highlight w:val="none"/>
        </w:rPr>
        <w:t>检查投标文件密封情况，由投标人法定代表人或者被授权代表互相检查各投标人投标文件的密封情况，也可以由</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代理机构委托的公证机构检查并公证，并请各投标人法定代表人或者被授权代表签字确认。投标人法定代表人或者被授权代表认为某个或者某些投标人的投标文件密封不符合规定的，应当面提出，代理机构现场记录，相关各方投标人法定代表人或者被授权代表签字确认无异议后，由代理机构工作人员当众拆封，开启符合密封规定的投标文件。</w:t>
      </w:r>
    </w:p>
    <w:p w14:paraId="2FCC7634">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若相关各方投标人法定代表人或者被授权代表签字确认有异议的，报现场标委员会处理，在处理决定未作出之前有异议各方的投标文件均不得开启；处理决定认为投标文件符合或者不符合规定的，各方均应签字确认，拒绝签字的不影响处理决定的执行；处理决定认为投标文件不符合规定的，按照投标无效处理。处理决定公布后，由代理机构工作人员当众拆封，开启符合密封规定的投标文件。</w:t>
      </w:r>
    </w:p>
    <w:p w14:paraId="5A26342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按照上述规定开启投标文件后，投标人再对投标文件的密封情况提出异议的，</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或者代理机构不予受理。</w:t>
      </w:r>
    </w:p>
    <w:p w14:paraId="51617CD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.3</w:t>
      </w:r>
      <w:r>
        <w:rPr>
          <w:rFonts w:hint="eastAsia" w:ascii="仿宋" w:hAnsi="仿宋" w:eastAsia="仿宋"/>
          <w:color w:val="auto"/>
          <w:sz w:val="24"/>
          <w:szCs w:val="24"/>
          <w:highlight w:val="none"/>
        </w:rPr>
        <w:t>由代理机构工作人员唱标。</w:t>
      </w:r>
    </w:p>
    <w:p w14:paraId="4BDB5C6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唱标人当众宣读投标人名称、投标报价、招标文件允许提供的备选投标方案和投标文件的其他主要内容，并不得拒绝任何符合要求的投标报价。投标人若有报价和优惠未被唱出，应在开标时及时声明或者提出，否则代理机构对此不承担任何责任。</w:t>
      </w:r>
    </w:p>
    <w:p w14:paraId="534F5363">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.4</w:t>
      </w:r>
      <w:r>
        <w:rPr>
          <w:rFonts w:hint="eastAsia" w:ascii="仿宋" w:hAnsi="仿宋" w:eastAsia="仿宋"/>
          <w:color w:val="auto"/>
          <w:sz w:val="24"/>
          <w:szCs w:val="24"/>
          <w:highlight w:val="none"/>
        </w:rPr>
        <w:t>开标和唱标由代理机构指定专人负责，开标记录由投标人法定代表人或者被授权代表、</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代表、记录人等有关人员签字确认，代理机构负责存档备查。</w:t>
      </w:r>
    </w:p>
    <w:p w14:paraId="39DDC8B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.5</w:t>
      </w:r>
      <w:r>
        <w:rPr>
          <w:rFonts w:hint="eastAsia" w:ascii="仿宋" w:hAnsi="仿宋" w:eastAsia="仿宋"/>
          <w:color w:val="auto"/>
          <w:sz w:val="24"/>
          <w:szCs w:val="24"/>
          <w:highlight w:val="none"/>
        </w:rPr>
        <w:t>投标人对开标有异议的，应当在开标现场以书面形式提出，</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或者代理机构应当场给予答复，并制作记录，投标人法定代表人或者被授权代表、</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代表、代理机构（包括公证机构人员）签字确认。</w:t>
      </w:r>
    </w:p>
    <w:p w14:paraId="053A069A">
      <w:pPr>
        <w:spacing w:line="360" w:lineRule="auto"/>
        <w:ind w:firstLine="560" w:firstLineChars="200"/>
        <w:outlineLvl w:val="2"/>
        <w:rPr>
          <w:rFonts w:ascii="楷体" w:hAnsi="楷体" w:eastAsia="楷体"/>
          <w:color w:val="auto"/>
          <w:sz w:val="28"/>
          <w:szCs w:val="28"/>
          <w:highlight w:val="none"/>
        </w:rPr>
      </w:pPr>
      <w:bookmarkStart w:id="67" w:name="_Toc432789522"/>
      <w:bookmarkStart w:id="68" w:name="_Toc28969"/>
      <w:r>
        <w:rPr>
          <w:rFonts w:hint="eastAsia" w:ascii="楷体" w:hAnsi="楷体" w:eastAsia="楷体"/>
          <w:color w:val="auto"/>
          <w:sz w:val="28"/>
          <w:szCs w:val="28"/>
          <w:highlight w:val="none"/>
        </w:rPr>
        <w:t>3.评标委员会</w:t>
      </w:r>
      <w:bookmarkEnd w:id="67"/>
      <w:bookmarkEnd w:id="68"/>
    </w:p>
    <w:p w14:paraId="63550F3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.1</w:t>
      </w:r>
      <w:r>
        <w:rPr>
          <w:rFonts w:hint="eastAsia" w:ascii="仿宋" w:hAnsi="仿宋" w:eastAsia="仿宋"/>
          <w:color w:val="auto"/>
          <w:sz w:val="24"/>
          <w:szCs w:val="24"/>
          <w:highlight w:val="none"/>
        </w:rPr>
        <w:t>评标委员会的组成</w:t>
      </w:r>
    </w:p>
    <w:p w14:paraId="64E59048">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按照有关规定组建评标委员会。评标由依法组建的评标委员会负责。评标委员会由评标专家组成，成员人数为五人以及以上单数。</w:t>
      </w:r>
    </w:p>
    <w:p w14:paraId="28CFE8F9">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.2</w:t>
      </w:r>
      <w:r>
        <w:rPr>
          <w:rFonts w:hint="eastAsia" w:ascii="仿宋" w:hAnsi="仿宋" w:eastAsia="仿宋"/>
          <w:color w:val="auto"/>
          <w:sz w:val="24"/>
          <w:szCs w:val="24"/>
          <w:highlight w:val="none"/>
        </w:rPr>
        <w:t>评审专家的抽取</w:t>
      </w:r>
    </w:p>
    <w:p w14:paraId="3795AE7E">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.2.1</w:t>
      </w:r>
      <w:r>
        <w:rPr>
          <w:rFonts w:hint="eastAsia" w:ascii="仿宋" w:hAnsi="仿宋" w:eastAsia="仿宋"/>
          <w:color w:val="auto"/>
          <w:sz w:val="24"/>
          <w:szCs w:val="24"/>
          <w:highlight w:val="none"/>
        </w:rPr>
        <w:t>采用随机抽取方式抽取评审专家。任何单位和个人都不得指定评审专家或干预评审专家的抽取工作。</w:t>
      </w:r>
    </w:p>
    <w:p w14:paraId="718112D8">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.2.2</w:t>
      </w:r>
      <w:r>
        <w:rPr>
          <w:rFonts w:hint="eastAsia" w:ascii="仿宋" w:hAnsi="仿宋" w:eastAsia="仿宋"/>
          <w:color w:val="auto"/>
          <w:sz w:val="24"/>
          <w:szCs w:val="24"/>
          <w:highlight w:val="none"/>
        </w:rPr>
        <w:t>参加评审专家抽取的有关人员对被抽取的专家的姓名、单位和联系方式等内容负有保密的义务。评标委员会成员的名单在中标结果确定前必须严格保密。</w:t>
      </w:r>
    </w:p>
    <w:p w14:paraId="58C0F531">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.3</w:t>
      </w:r>
      <w:r>
        <w:rPr>
          <w:rFonts w:hint="eastAsia" w:ascii="仿宋" w:hAnsi="仿宋" w:eastAsia="仿宋"/>
          <w:color w:val="auto"/>
          <w:sz w:val="24"/>
          <w:szCs w:val="24"/>
          <w:highlight w:val="none"/>
        </w:rPr>
        <w:t>评标委员会成员不得参加与自己有利害关系的评审活动，与自己有利害关系的应当回避，已经进入的必须更换。</w:t>
      </w:r>
    </w:p>
    <w:p w14:paraId="72F9301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.4</w:t>
      </w:r>
      <w:r>
        <w:rPr>
          <w:rFonts w:hint="eastAsia" w:ascii="仿宋" w:hAnsi="仿宋" w:eastAsia="仿宋"/>
          <w:color w:val="auto"/>
          <w:sz w:val="24"/>
          <w:szCs w:val="24"/>
          <w:highlight w:val="none"/>
        </w:rPr>
        <w:t>评标委员会负责对各投标文件进行评审、比较、评定，并按本招标文件的规定确定中标人或者推荐中标候选人。</w:t>
      </w:r>
    </w:p>
    <w:p w14:paraId="4DEEB893">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.5</w:t>
      </w:r>
      <w:r>
        <w:rPr>
          <w:rFonts w:hint="eastAsia" w:ascii="仿宋" w:hAnsi="仿宋" w:eastAsia="仿宋"/>
          <w:color w:val="auto"/>
          <w:sz w:val="24"/>
          <w:szCs w:val="24"/>
          <w:highlight w:val="none"/>
        </w:rPr>
        <w:t>评标委员会具有依据招标文件进行独立评标的权力，且不受外界任何因素的干扰。评标委员会成员必须独立、负责地提出评审意见，并对自己的评审意见承担责任。对评标结果有不同意见的评标委员会成员应当以书面形式说明其不同意见和理由，评标报告应当注明不同意见。评审委员会成员拒绝评审或者拒绝在评标报告上签字并且又不书面说明其不同意见和理由的，视为同意评标结果。</w:t>
      </w:r>
    </w:p>
    <w:p w14:paraId="2E9F9EFD">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.6</w:t>
      </w:r>
      <w:r>
        <w:rPr>
          <w:rFonts w:hint="eastAsia" w:ascii="仿宋" w:hAnsi="仿宋" w:eastAsia="仿宋"/>
          <w:color w:val="auto"/>
          <w:sz w:val="24"/>
          <w:szCs w:val="24"/>
          <w:highlight w:val="none"/>
        </w:rPr>
        <w:t>评标委员会的职责：</w:t>
      </w:r>
    </w:p>
    <w:p w14:paraId="0E6FA48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.6.1</w:t>
      </w:r>
      <w:r>
        <w:rPr>
          <w:rFonts w:hint="eastAsia" w:ascii="仿宋" w:hAnsi="仿宋" w:eastAsia="仿宋"/>
          <w:color w:val="auto"/>
          <w:sz w:val="24"/>
          <w:szCs w:val="24"/>
          <w:highlight w:val="none"/>
        </w:rPr>
        <w:t>审查投标文件是否符合招标文件要求，进行资格性审查和符合性审查，并做出评价；</w:t>
      </w:r>
    </w:p>
    <w:p w14:paraId="11471611">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.6.2</w:t>
      </w:r>
      <w:r>
        <w:rPr>
          <w:rFonts w:hint="eastAsia" w:ascii="仿宋" w:hAnsi="仿宋" w:eastAsia="仿宋"/>
          <w:color w:val="auto"/>
          <w:sz w:val="24"/>
          <w:szCs w:val="24"/>
          <w:highlight w:val="none"/>
        </w:rPr>
        <w:t>要求投标人对投标文件有关事项做出解释或者澄清；</w:t>
      </w:r>
    </w:p>
    <w:p w14:paraId="62F61DB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.6.3</w:t>
      </w:r>
      <w:r>
        <w:rPr>
          <w:rFonts w:hint="eastAsia" w:ascii="仿宋" w:hAnsi="仿宋" w:eastAsia="仿宋"/>
          <w:color w:val="auto"/>
          <w:sz w:val="24"/>
          <w:szCs w:val="24"/>
          <w:highlight w:val="none"/>
        </w:rPr>
        <w:t>推荐中标候选人名单，或者受</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委托按照事先确定的办法直接确定中标人；</w:t>
      </w:r>
    </w:p>
    <w:p w14:paraId="56BBC38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.6.4</w:t>
      </w:r>
      <w:r>
        <w:rPr>
          <w:rFonts w:hint="eastAsia" w:ascii="仿宋" w:hAnsi="仿宋" w:eastAsia="仿宋"/>
          <w:color w:val="auto"/>
          <w:sz w:val="24"/>
          <w:szCs w:val="24"/>
          <w:highlight w:val="none"/>
        </w:rPr>
        <w:t>向</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、代理机构或者有关部门报告非法干预评标工作的行为。</w:t>
      </w:r>
    </w:p>
    <w:p w14:paraId="10D57592">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3.6.5对围、串标等违法违规行为作出认定。</w:t>
      </w:r>
    </w:p>
    <w:p w14:paraId="04BE7C0E">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.7</w:t>
      </w:r>
      <w:r>
        <w:rPr>
          <w:rFonts w:hint="eastAsia" w:ascii="仿宋" w:hAnsi="仿宋" w:eastAsia="仿宋"/>
          <w:color w:val="auto"/>
          <w:sz w:val="24"/>
          <w:szCs w:val="24"/>
          <w:highlight w:val="none"/>
        </w:rPr>
        <w:t>评标委员会的义务：</w:t>
      </w:r>
    </w:p>
    <w:p w14:paraId="3A3BED0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.7.1</w:t>
      </w:r>
      <w:r>
        <w:rPr>
          <w:rFonts w:hint="eastAsia" w:ascii="仿宋" w:hAnsi="仿宋" w:eastAsia="仿宋"/>
          <w:color w:val="auto"/>
          <w:sz w:val="24"/>
          <w:szCs w:val="24"/>
          <w:highlight w:val="none"/>
        </w:rPr>
        <w:t>遵纪守法，客观、公正、廉洁地履行职责；</w:t>
      </w:r>
    </w:p>
    <w:p w14:paraId="0865C28A">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.7.2</w:t>
      </w:r>
      <w:r>
        <w:rPr>
          <w:rFonts w:hint="eastAsia" w:ascii="仿宋" w:hAnsi="仿宋" w:eastAsia="仿宋"/>
          <w:color w:val="auto"/>
          <w:sz w:val="24"/>
          <w:szCs w:val="24"/>
          <w:highlight w:val="none"/>
        </w:rPr>
        <w:t>提出真实、可靠的评审意见；</w:t>
      </w:r>
    </w:p>
    <w:p w14:paraId="6B29AB53">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.7.3</w:t>
      </w:r>
      <w:r>
        <w:rPr>
          <w:rFonts w:hint="eastAsia" w:ascii="仿宋" w:hAnsi="仿宋" w:eastAsia="仿宋"/>
          <w:color w:val="auto"/>
          <w:sz w:val="24"/>
          <w:szCs w:val="24"/>
          <w:highlight w:val="none"/>
        </w:rPr>
        <w:t>严格遵守评标纪律，不得向外界泄露评标情况；</w:t>
      </w:r>
    </w:p>
    <w:p w14:paraId="2C648E22">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.7.4</w:t>
      </w:r>
      <w:r>
        <w:rPr>
          <w:rFonts w:hint="eastAsia" w:ascii="仿宋" w:hAnsi="仿宋" w:eastAsia="仿宋"/>
          <w:color w:val="auto"/>
          <w:sz w:val="24"/>
          <w:szCs w:val="24"/>
          <w:highlight w:val="none"/>
        </w:rPr>
        <w:t>发现投标人在招投标活动中有不正当竞争或者恶意串通等违规行为，应及时制止；</w:t>
      </w:r>
    </w:p>
    <w:p w14:paraId="04F089AD">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.7.5</w:t>
      </w:r>
      <w:r>
        <w:rPr>
          <w:rFonts w:hint="eastAsia" w:ascii="仿宋" w:hAnsi="仿宋" w:eastAsia="仿宋"/>
          <w:color w:val="auto"/>
          <w:sz w:val="24"/>
          <w:szCs w:val="24"/>
          <w:highlight w:val="none"/>
        </w:rPr>
        <w:t>按照招标文件规定的评标方法和评标标准进行评标，对评标意见承担个人责任；</w:t>
      </w:r>
    </w:p>
    <w:p w14:paraId="46CD304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.7.6</w:t>
      </w:r>
      <w:r>
        <w:rPr>
          <w:rFonts w:hint="eastAsia" w:ascii="仿宋" w:hAnsi="仿宋" w:eastAsia="仿宋"/>
          <w:color w:val="auto"/>
          <w:sz w:val="24"/>
          <w:szCs w:val="24"/>
          <w:highlight w:val="none"/>
        </w:rPr>
        <w:t>编写评标报告；</w:t>
      </w:r>
    </w:p>
    <w:p w14:paraId="418145E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.7.7</w:t>
      </w:r>
      <w:r>
        <w:rPr>
          <w:rFonts w:hint="eastAsia" w:ascii="仿宋" w:hAnsi="仿宋" w:eastAsia="仿宋"/>
          <w:color w:val="auto"/>
          <w:sz w:val="24"/>
          <w:szCs w:val="24"/>
          <w:highlight w:val="none"/>
        </w:rPr>
        <w:t>配合</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或者代理机构答复投标人提出的质疑；</w:t>
      </w:r>
    </w:p>
    <w:p w14:paraId="4BC382B4">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.7.8</w:t>
      </w:r>
      <w:r>
        <w:rPr>
          <w:rFonts w:hint="eastAsia" w:ascii="仿宋" w:hAnsi="仿宋" w:eastAsia="仿宋"/>
          <w:color w:val="auto"/>
          <w:sz w:val="24"/>
          <w:szCs w:val="24"/>
          <w:highlight w:val="none"/>
        </w:rPr>
        <w:t>对评标过程和结果，以及</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、投标人的商业秘密保密；</w:t>
      </w:r>
    </w:p>
    <w:p w14:paraId="636BD35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.8</w:t>
      </w:r>
      <w:r>
        <w:rPr>
          <w:rFonts w:hint="eastAsia" w:ascii="仿宋" w:hAnsi="仿宋" w:eastAsia="仿宋"/>
          <w:color w:val="auto"/>
          <w:sz w:val="24"/>
          <w:szCs w:val="24"/>
          <w:highlight w:val="none"/>
        </w:rPr>
        <w:t>评标委员会成员有下列情形之一的，应当回避</w:t>
      </w:r>
      <w:r>
        <w:rPr>
          <w:rFonts w:ascii="仿宋" w:hAnsi="仿宋" w:eastAsia="仿宋"/>
          <w:color w:val="auto"/>
          <w:sz w:val="24"/>
          <w:szCs w:val="24"/>
          <w:highlight w:val="none"/>
        </w:rPr>
        <w:t>：</w:t>
      </w:r>
    </w:p>
    <w:p w14:paraId="1603B24C">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.8.1</w:t>
      </w:r>
      <w:r>
        <w:rPr>
          <w:rFonts w:hint="eastAsia" w:ascii="仿宋" w:hAnsi="仿宋" w:eastAsia="仿宋"/>
          <w:color w:val="auto"/>
          <w:sz w:val="24"/>
          <w:szCs w:val="24"/>
          <w:highlight w:val="none"/>
        </w:rPr>
        <w:t>投标人或者投标人主要负责人的近亲属；</w:t>
      </w:r>
    </w:p>
    <w:p w14:paraId="2058F4D9">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.8.</w:t>
      </w:r>
      <w:r>
        <w:rPr>
          <w:rFonts w:hint="eastAsia" w:ascii="仿宋" w:hAnsi="仿宋" w:eastAsia="仿宋"/>
          <w:color w:val="auto"/>
          <w:sz w:val="24"/>
          <w:szCs w:val="24"/>
          <w:highlight w:val="none"/>
        </w:rPr>
        <w:t>2与投标人有经济利益关系；</w:t>
      </w:r>
    </w:p>
    <w:p w14:paraId="23DC76B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.8.</w:t>
      </w:r>
      <w:r>
        <w:rPr>
          <w:rFonts w:hint="eastAsia" w:ascii="仿宋" w:hAnsi="仿宋" w:eastAsia="仿宋"/>
          <w:color w:val="auto"/>
          <w:sz w:val="24"/>
          <w:szCs w:val="24"/>
          <w:highlight w:val="none"/>
        </w:rPr>
        <w:t>3曾因在招标、评标以及其他与招标投标有关系活动中从事违法行为而受到行政处罚或者刑事处罚的；</w:t>
      </w:r>
    </w:p>
    <w:p w14:paraId="446A6AE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.8.</w:t>
      </w:r>
      <w:r>
        <w:rPr>
          <w:rFonts w:hint="eastAsia" w:ascii="仿宋" w:hAnsi="仿宋" w:eastAsia="仿宋"/>
          <w:color w:val="auto"/>
          <w:sz w:val="24"/>
          <w:szCs w:val="24"/>
          <w:highlight w:val="none"/>
        </w:rPr>
        <w:t>4与投标人有其他利害关系。</w:t>
      </w:r>
    </w:p>
    <w:p w14:paraId="2BD31247">
      <w:pPr>
        <w:spacing w:line="360" w:lineRule="auto"/>
        <w:ind w:firstLine="560" w:firstLineChars="200"/>
        <w:outlineLvl w:val="2"/>
        <w:rPr>
          <w:rFonts w:ascii="楷体" w:hAnsi="楷体" w:eastAsia="楷体"/>
          <w:color w:val="auto"/>
          <w:sz w:val="28"/>
          <w:szCs w:val="28"/>
          <w:highlight w:val="none"/>
        </w:rPr>
      </w:pPr>
      <w:bookmarkStart w:id="69" w:name="_Toc432789523"/>
      <w:bookmarkStart w:id="70" w:name="_Toc8072"/>
      <w:r>
        <w:rPr>
          <w:rFonts w:hint="eastAsia" w:ascii="楷体" w:hAnsi="楷体" w:eastAsia="楷体"/>
          <w:color w:val="auto"/>
          <w:sz w:val="28"/>
          <w:szCs w:val="28"/>
          <w:highlight w:val="none"/>
        </w:rPr>
        <w:t>4.评标程序</w:t>
      </w:r>
      <w:bookmarkEnd w:id="69"/>
      <w:bookmarkEnd w:id="70"/>
    </w:p>
    <w:p w14:paraId="36E6D439">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4.1</w:t>
      </w:r>
      <w:r>
        <w:rPr>
          <w:rFonts w:hint="eastAsia" w:ascii="仿宋" w:hAnsi="仿宋" w:eastAsia="仿宋"/>
          <w:color w:val="auto"/>
          <w:sz w:val="24"/>
          <w:szCs w:val="24"/>
          <w:highlight w:val="none"/>
        </w:rPr>
        <w:t>宣布评标纪律以及回避提示；</w:t>
      </w:r>
    </w:p>
    <w:p w14:paraId="2E1E6FC7">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4.2</w:t>
      </w:r>
      <w:r>
        <w:rPr>
          <w:rFonts w:hint="eastAsia" w:ascii="仿宋" w:hAnsi="仿宋" w:eastAsia="仿宋"/>
          <w:color w:val="auto"/>
          <w:sz w:val="24"/>
          <w:szCs w:val="24"/>
          <w:highlight w:val="none"/>
        </w:rPr>
        <w:t>组织推荐评标委员会组长；</w:t>
      </w:r>
    </w:p>
    <w:p w14:paraId="491F8B67">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4.3</w:t>
      </w:r>
      <w:r>
        <w:rPr>
          <w:rFonts w:hint="eastAsia" w:ascii="仿宋" w:hAnsi="仿宋" w:eastAsia="仿宋"/>
          <w:color w:val="auto"/>
          <w:sz w:val="24"/>
          <w:szCs w:val="24"/>
          <w:highlight w:val="none"/>
        </w:rPr>
        <w:t>资格性审查；</w:t>
      </w:r>
    </w:p>
    <w:p w14:paraId="20FF7096">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4.4</w:t>
      </w:r>
      <w:r>
        <w:rPr>
          <w:rFonts w:hint="eastAsia" w:ascii="仿宋" w:hAnsi="仿宋" w:eastAsia="仿宋"/>
          <w:color w:val="auto"/>
          <w:sz w:val="24"/>
          <w:szCs w:val="24"/>
          <w:highlight w:val="none"/>
        </w:rPr>
        <w:t>符合性审查；</w:t>
      </w:r>
    </w:p>
    <w:p w14:paraId="58B9D5A4">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4.5</w:t>
      </w:r>
      <w:r>
        <w:rPr>
          <w:rFonts w:hint="eastAsia" w:ascii="仿宋" w:hAnsi="仿宋" w:eastAsia="仿宋"/>
          <w:color w:val="auto"/>
          <w:sz w:val="24"/>
          <w:szCs w:val="24"/>
          <w:highlight w:val="none"/>
        </w:rPr>
        <w:t>技术和商务评审；</w:t>
      </w:r>
    </w:p>
    <w:p w14:paraId="422059CA">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4.6</w:t>
      </w:r>
      <w:r>
        <w:rPr>
          <w:rFonts w:hint="eastAsia" w:ascii="仿宋" w:hAnsi="仿宋" w:eastAsia="仿宋"/>
          <w:color w:val="auto"/>
          <w:sz w:val="24"/>
          <w:szCs w:val="24"/>
          <w:highlight w:val="none"/>
        </w:rPr>
        <w:t>澄清有关问题；</w:t>
      </w:r>
    </w:p>
    <w:p w14:paraId="0B3580C0">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4.7</w:t>
      </w:r>
      <w:r>
        <w:rPr>
          <w:rFonts w:hint="eastAsia" w:ascii="仿宋" w:hAnsi="仿宋" w:eastAsia="仿宋"/>
          <w:color w:val="auto"/>
          <w:sz w:val="24"/>
          <w:szCs w:val="24"/>
          <w:highlight w:val="none"/>
        </w:rPr>
        <w:t>比较与评价；</w:t>
      </w:r>
    </w:p>
    <w:p w14:paraId="5ED43BF1">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4.8</w:t>
      </w:r>
      <w:r>
        <w:rPr>
          <w:rFonts w:hint="eastAsia" w:ascii="仿宋" w:hAnsi="仿宋" w:eastAsia="仿宋"/>
          <w:color w:val="auto"/>
          <w:sz w:val="24"/>
          <w:szCs w:val="24"/>
          <w:highlight w:val="none"/>
        </w:rPr>
        <w:t>确定中标人或者推荐中标候选人名单；</w:t>
      </w:r>
    </w:p>
    <w:p w14:paraId="2B644231">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4.9</w:t>
      </w:r>
      <w:r>
        <w:rPr>
          <w:rFonts w:hint="eastAsia" w:ascii="仿宋" w:hAnsi="仿宋" w:eastAsia="仿宋"/>
          <w:color w:val="auto"/>
          <w:sz w:val="24"/>
          <w:szCs w:val="24"/>
          <w:highlight w:val="none"/>
        </w:rPr>
        <w:t>编写评标报告；</w:t>
      </w:r>
    </w:p>
    <w:p w14:paraId="006E1D32">
      <w:pPr>
        <w:spacing w:line="360" w:lineRule="auto"/>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4.10</w:t>
      </w:r>
      <w:r>
        <w:rPr>
          <w:rFonts w:hint="eastAsia" w:ascii="仿宋" w:hAnsi="仿宋" w:eastAsia="仿宋"/>
          <w:color w:val="auto"/>
          <w:sz w:val="24"/>
          <w:szCs w:val="24"/>
          <w:highlight w:val="none"/>
        </w:rPr>
        <w:t>宣布评标结果。</w:t>
      </w:r>
    </w:p>
    <w:p w14:paraId="381681F6">
      <w:pPr>
        <w:spacing w:line="360" w:lineRule="auto"/>
        <w:ind w:firstLine="560" w:firstLineChars="200"/>
        <w:outlineLvl w:val="2"/>
        <w:rPr>
          <w:rFonts w:ascii="楷体" w:hAnsi="楷体" w:eastAsia="楷体"/>
          <w:color w:val="auto"/>
          <w:sz w:val="28"/>
          <w:szCs w:val="28"/>
          <w:highlight w:val="none"/>
        </w:rPr>
      </w:pPr>
      <w:bookmarkStart w:id="71" w:name="_Toc19077"/>
      <w:bookmarkStart w:id="72" w:name="_Toc432789524"/>
      <w:r>
        <w:rPr>
          <w:rFonts w:hint="eastAsia" w:ascii="楷体" w:hAnsi="楷体" w:eastAsia="楷体"/>
          <w:color w:val="auto"/>
          <w:sz w:val="28"/>
          <w:szCs w:val="28"/>
          <w:highlight w:val="none"/>
        </w:rPr>
        <w:t>5.评标</w:t>
      </w:r>
      <w:bookmarkEnd w:id="71"/>
      <w:bookmarkEnd w:id="72"/>
    </w:p>
    <w:p w14:paraId="692EDF13">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.1</w:t>
      </w:r>
      <w:r>
        <w:rPr>
          <w:rFonts w:hint="eastAsia" w:ascii="仿宋" w:hAnsi="仿宋" w:eastAsia="仿宋"/>
          <w:color w:val="auto"/>
          <w:sz w:val="24"/>
          <w:szCs w:val="24"/>
          <w:highlight w:val="none"/>
        </w:rPr>
        <w:t>资格性审查</w:t>
      </w:r>
    </w:p>
    <w:p w14:paraId="1B42DF8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5.1.1</w:t>
      </w:r>
      <w:r>
        <w:rPr>
          <w:rFonts w:hint="eastAsia" w:ascii="仿宋" w:hAnsi="仿宋" w:eastAsia="仿宋"/>
          <w:color w:val="auto"/>
          <w:sz w:val="24"/>
          <w:szCs w:val="24"/>
          <w:highlight w:val="none"/>
          <w:lang w:val="en-US" w:eastAsia="zh-CN"/>
        </w:rPr>
        <w:t>采购人</w:t>
      </w:r>
      <w:r>
        <w:rPr>
          <w:rFonts w:hint="eastAsia" w:ascii="仿宋" w:hAnsi="仿宋" w:eastAsia="仿宋"/>
          <w:color w:val="auto"/>
          <w:sz w:val="24"/>
          <w:szCs w:val="24"/>
          <w:highlight w:val="none"/>
        </w:rPr>
        <w:t>依据法律法规和招标文件的规定，对投标文件中的资格证明材料、投标保证金等进行审查，以确定投标人是否具备投标资格。</w:t>
      </w:r>
    </w:p>
    <w:p w14:paraId="264FE0A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5.1.2</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招标代理机构通过“信用中国”（www.creditchina.gov.cn）、“中国政府采购网”（www.ccgp.gov.cn）、“信用山东”(http://credit.shandong.gov.cn/)及“信用青岛”（http://www.qingdao.gov.cn/credit/）网站查询投标人信用记录，查询时要将查询网页、内容进行截图或拍照，以作证据留存，截图或拍照内容要完整清晰，应包括网站网址、查询内容、电脑截屏时间。</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招标代理机构应当对投标人信用记录进行甄别，对列入失信被执行人、重大税收违法案件当事人名单、采购严重违法失信行为记录名单的投标人，应当拒绝其参加招标活动，其投标无效；两个以上的自然人、法人或者其他组织组成一个联合体，以一个投标人的身份共同参加招标活动的，应当对所有联合体成员进行信用记录查询，联合体成员存在不良信用记录的，视同联合体存在不良信用记录，其投标无效。</w:t>
      </w:r>
    </w:p>
    <w:p w14:paraId="27897893">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信用信息查询记录及相关证据应当与其他招投标文件一并保存。</w:t>
      </w:r>
    </w:p>
    <w:p w14:paraId="4C171425">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.2</w:t>
      </w:r>
      <w:r>
        <w:rPr>
          <w:rFonts w:hint="eastAsia" w:ascii="仿宋" w:hAnsi="仿宋" w:eastAsia="仿宋"/>
          <w:color w:val="auto"/>
          <w:sz w:val="24"/>
          <w:szCs w:val="24"/>
          <w:highlight w:val="none"/>
        </w:rPr>
        <w:t>符合性审查</w:t>
      </w:r>
    </w:p>
    <w:p w14:paraId="3E0C267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评标委员会依据招标文件的规定，从投标文件的有效性、完整性和对招标文件的响应程度进行审查，以确定是否对招标文件的实质性要求作出响应。</w:t>
      </w:r>
    </w:p>
    <w:p w14:paraId="33FE8B1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.3</w:t>
      </w:r>
      <w:r>
        <w:rPr>
          <w:rFonts w:hint="eastAsia" w:ascii="仿宋" w:hAnsi="仿宋" w:eastAsia="仿宋"/>
          <w:color w:val="auto"/>
          <w:sz w:val="24"/>
          <w:szCs w:val="24"/>
          <w:highlight w:val="none"/>
        </w:rPr>
        <w:t>在资格性和符合性审查同时，对属于不合格投标人或者投标无效的投标人，评标委员会必须提出不合格或者投标无效的事实依据，并出具不合格或者投标无效说明，投标人签字确认。投标人签字确认后评标委员会全体成员签字。投标人拒绝签字确认的不影响评标委员会做出的不合格或无效投标裁定。</w:t>
      </w:r>
    </w:p>
    <w:p w14:paraId="5C8FB836">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.4</w:t>
      </w:r>
      <w:r>
        <w:rPr>
          <w:rFonts w:hint="eastAsia" w:ascii="仿宋" w:hAnsi="仿宋" w:eastAsia="仿宋"/>
          <w:color w:val="auto"/>
          <w:sz w:val="24"/>
          <w:szCs w:val="24"/>
          <w:highlight w:val="none"/>
        </w:rPr>
        <w:t>技术和商务评审</w:t>
      </w:r>
    </w:p>
    <w:p w14:paraId="7B2B4FF9">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.4.1</w:t>
      </w:r>
      <w:r>
        <w:rPr>
          <w:rFonts w:hint="eastAsia" w:ascii="仿宋" w:hAnsi="仿宋" w:eastAsia="仿宋"/>
          <w:color w:val="auto"/>
          <w:sz w:val="24"/>
          <w:szCs w:val="24"/>
          <w:highlight w:val="none"/>
        </w:rPr>
        <w:t>按照招标文件要求，审查投标人所投货物和服务的规格、质量、数量以及服务等技术要求和参数，进行技术部分的评审，并记录实质性响应、技术偏离等事项。</w:t>
      </w:r>
    </w:p>
    <w:p w14:paraId="74D4FC4B">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.4.2</w:t>
      </w:r>
      <w:r>
        <w:rPr>
          <w:rFonts w:hint="eastAsia" w:ascii="仿宋" w:hAnsi="仿宋" w:eastAsia="仿宋"/>
          <w:color w:val="auto"/>
          <w:sz w:val="24"/>
          <w:szCs w:val="24"/>
          <w:highlight w:val="none"/>
        </w:rPr>
        <w:t>按照招标文件要求，审查投标人业绩、政策性加分、价格扣除等事项，进行商务部分评审，并记录相关事项。</w:t>
      </w:r>
    </w:p>
    <w:p w14:paraId="3DDDD547">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4.3采用综合评分法的，</w:t>
      </w:r>
      <w:r>
        <w:rPr>
          <w:rFonts w:hint="eastAsia" w:ascii="仿宋" w:hAnsi="仿宋" w:eastAsia="仿宋"/>
          <w:color w:val="auto"/>
          <w:sz w:val="24"/>
          <w:szCs w:val="24"/>
          <w:highlight w:val="none"/>
        </w:rPr>
        <w:t>技术部分由评标委员会成员各自独立打分，按照招标文件规定的评标办法进行逐项打分，对客观评分项的评分应当一致，对需要借助专业知识评判的主观评分项应当严格按照评分标准公正评分。</w:t>
      </w:r>
    </w:p>
    <w:p w14:paraId="2C8FAA42">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4.4采用综合评分法的，</w:t>
      </w:r>
      <w:r>
        <w:rPr>
          <w:rFonts w:hint="eastAsia" w:ascii="仿宋" w:hAnsi="仿宋" w:eastAsia="仿宋"/>
          <w:color w:val="auto"/>
          <w:sz w:val="24"/>
          <w:szCs w:val="24"/>
          <w:highlight w:val="none"/>
        </w:rPr>
        <w:t>商务部分由评标委员会审核认定评分结果，交各投标人签字确认。</w:t>
      </w:r>
    </w:p>
    <w:p w14:paraId="6243A8F4">
      <w:pPr>
        <w:spacing w:line="360" w:lineRule="auto"/>
        <w:ind w:firstLine="560" w:firstLineChars="200"/>
        <w:outlineLvl w:val="2"/>
        <w:rPr>
          <w:rFonts w:ascii="楷体" w:hAnsi="楷体" w:eastAsia="楷体"/>
          <w:color w:val="auto"/>
          <w:sz w:val="28"/>
          <w:szCs w:val="28"/>
          <w:highlight w:val="none"/>
        </w:rPr>
      </w:pPr>
      <w:bookmarkStart w:id="73" w:name="_Toc1260"/>
      <w:bookmarkStart w:id="74" w:name="_Toc432789525"/>
      <w:r>
        <w:rPr>
          <w:rFonts w:hint="eastAsia" w:ascii="楷体" w:hAnsi="楷体" w:eastAsia="楷体"/>
          <w:color w:val="auto"/>
          <w:sz w:val="28"/>
          <w:szCs w:val="28"/>
          <w:highlight w:val="none"/>
        </w:rPr>
        <w:t>6.澄清有关问题</w:t>
      </w:r>
      <w:bookmarkEnd w:id="73"/>
      <w:bookmarkEnd w:id="74"/>
    </w:p>
    <w:p w14:paraId="2AD0452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6</w:t>
      </w:r>
      <w:r>
        <w:rPr>
          <w:rFonts w:ascii="仿宋" w:hAnsi="仿宋" w:eastAsia="仿宋"/>
          <w:color w:val="auto"/>
          <w:sz w:val="24"/>
          <w:szCs w:val="24"/>
          <w:highlight w:val="none"/>
        </w:rPr>
        <w:t>.1</w:t>
      </w:r>
      <w:r>
        <w:rPr>
          <w:rFonts w:hint="eastAsia" w:ascii="仿宋" w:hAnsi="仿宋" w:eastAsia="仿宋"/>
          <w:color w:val="auto"/>
          <w:sz w:val="24"/>
          <w:szCs w:val="24"/>
          <w:highlight w:val="none"/>
        </w:rPr>
        <w:t>对投标文件中含义不明确、同类问题表述不一致或者有明显文字和计算错误的内容，评标委员会应以书面形式要求投标人做出必要的澄清、承诺、说明或者纠正。投标人的澄清、承诺、说明或者纠正应采取书面形式，由法定代表人或者被授权代表签字，并不得超出投标文件的范围或者改变投标文件的实质性内容。</w:t>
      </w:r>
    </w:p>
    <w:p w14:paraId="49AD4E94">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6</w:t>
      </w:r>
      <w:r>
        <w:rPr>
          <w:rFonts w:ascii="仿宋" w:hAnsi="仿宋" w:eastAsia="仿宋"/>
          <w:color w:val="auto"/>
          <w:sz w:val="24"/>
          <w:szCs w:val="24"/>
          <w:highlight w:val="none"/>
        </w:rPr>
        <w:t>.2</w:t>
      </w:r>
      <w:r>
        <w:rPr>
          <w:rFonts w:hint="eastAsia" w:ascii="仿宋" w:hAnsi="仿宋" w:eastAsia="仿宋"/>
          <w:color w:val="auto"/>
          <w:sz w:val="24"/>
          <w:szCs w:val="24"/>
          <w:highlight w:val="none"/>
        </w:rPr>
        <w:t>评标委员会判断投标文件的响应性仅基于投标文件本身而不靠外部因素。未响应实质性条款的，评标委员会有权确定其投标无效，投标人不能通过修正、撤销或者澄清不符之处而使其投标成为实质性响应的投标。</w:t>
      </w:r>
    </w:p>
    <w:p w14:paraId="0F897C9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6.</w:t>
      </w:r>
      <w:r>
        <w:rPr>
          <w:rFonts w:ascii="仿宋" w:hAnsi="仿宋" w:eastAsia="仿宋"/>
          <w:color w:val="auto"/>
          <w:sz w:val="24"/>
          <w:szCs w:val="24"/>
          <w:highlight w:val="none"/>
        </w:rPr>
        <w:t>3</w:t>
      </w:r>
      <w:r>
        <w:rPr>
          <w:rFonts w:hint="eastAsia" w:ascii="仿宋" w:hAnsi="仿宋" w:eastAsia="仿宋"/>
          <w:color w:val="auto"/>
          <w:sz w:val="24"/>
          <w:szCs w:val="24"/>
          <w:highlight w:val="none"/>
        </w:rPr>
        <w:t>评标委员会可以允许投标人修改或者澄清其投标文件中不构成实质偏离的、微小的、非正规的不一致或者不规则的地方。</w:t>
      </w:r>
    </w:p>
    <w:p w14:paraId="086ACED6">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bookmarkStart w:id="75" w:name="_Toc19089"/>
      <w:bookmarkStart w:id="76" w:name="_Toc432789526"/>
      <w:r>
        <w:rPr>
          <w:rFonts w:hint="eastAsia" w:ascii="仿宋" w:hAnsi="仿宋" w:eastAsia="仿宋"/>
          <w:color w:val="auto"/>
          <w:sz w:val="24"/>
          <w:szCs w:val="24"/>
          <w:highlight w:val="none"/>
          <w:lang w:val="en-US" w:eastAsia="zh-CN"/>
        </w:rPr>
        <w:t>6.4</w:t>
      </w:r>
      <w:r>
        <w:rPr>
          <w:rFonts w:hint="eastAsia" w:ascii="仿宋" w:hAnsi="仿宋" w:eastAsia="仿宋" w:cs="仿宋"/>
          <w:color w:val="auto"/>
          <w:kern w:val="2"/>
          <w:sz w:val="24"/>
          <w:szCs w:val="24"/>
          <w:highlight w:val="none"/>
          <w:lang w:val="en-US" w:eastAsia="zh-CN" w:bidi="ar-SA"/>
        </w:rPr>
        <w:t>评标委员会认为投标人的报价明显低于其他通过符合性审查投标人的报价，有可能影响产品质量或者不能诚信履约的，应当该投标人发起澄清，要求其在合理的时间内提交书面说明，必要时提交相关证明材料，投标人应证明其报价合理性；对于投标人不能证明其报价合理性的，评标委员会应当将其作为无效投标处理。</w:t>
      </w:r>
    </w:p>
    <w:p w14:paraId="5B7C5BFD">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根据关于推动解决政府采购异常低价问题的通知（财库〔2026〕2号）要求，</w:t>
      </w:r>
    </w:p>
    <w:p w14:paraId="2B744928">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（一）评审中出现下列情形之一的，评标委员会应当启动异常低价投标审查程序：</w:t>
      </w:r>
    </w:p>
    <w:p w14:paraId="57F83853">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1.投标报价低于全部通过符合性审查供应商投标报价平均值50％的，即投标报价＜全部通过符合性审查供应商投标报价平均值×50％；</w:t>
      </w:r>
    </w:p>
    <w:p w14:paraId="4039AA50">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2.投标报价低于通过符合性审查的次低报价供应商投标报价50％的，即投标报价＜通过符合性审查的次低报价供应商投标报价×50％；</w:t>
      </w:r>
    </w:p>
    <w:p w14:paraId="334FFB3B">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3.投标报价低于采购项目最高限价45％的，即投标报价＜采购项目最高限价×45％；</w:t>
      </w:r>
    </w:p>
    <w:p w14:paraId="00B274FC">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4.评标委员会基于专业判断，认为投标人报价过低，有可能影响产品质量或者不能诚信履约的其他情形。</w:t>
      </w:r>
    </w:p>
    <w:p w14:paraId="05CDC571">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相关法律法规对供应商报价有规定的，从其规定。</w:t>
      </w:r>
    </w:p>
    <w:p w14:paraId="40786B65">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投标人的合理时间一般不少于30分钟（具体时间由评标委员会现场决定）。其中，属于第3项情形，投标人已随投标文件一并提交相关书面说明及必要的证明材料的，在评审现场可不再重复提交。</w:t>
      </w:r>
    </w:p>
    <w:p w14:paraId="423FEA51">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7E5A3728">
      <w:pPr>
        <w:pStyle w:val="67"/>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5B192D60">
      <w:pPr>
        <w:spacing w:line="360" w:lineRule="auto"/>
        <w:ind w:firstLine="480" w:firstLineChars="200"/>
        <w:outlineLvl w:val="2"/>
        <w:rPr>
          <w:rFonts w:hint="eastAsia" w:ascii="楷体" w:hAnsi="楷体" w:eastAsia="楷体"/>
          <w:color w:val="auto"/>
          <w:sz w:val="28"/>
          <w:szCs w:val="28"/>
          <w:highlight w:val="none"/>
        </w:rPr>
      </w:pPr>
      <w:r>
        <w:rPr>
          <w:rFonts w:hint="eastAsia" w:ascii="仿宋" w:hAnsi="仿宋" w:eastAsia="仿宋" w:cs="仿宋"/>
          <w:color w:val="auto"/>
          <w:kern w:val="2"/>
          <w:sz w:val="24"/>
          <w:szCs w:val="24"/>
          <w:highlight w:val="none"/>
          <w:lang w:val="en-US" w:eastAsia="zh-CN" w:bidi="ar-SA"/>
        </w:rPr>
        <w:t>异常低价投标审查的启动原因、审查意见和审查结果应当在评审报告中记录，并随投标人提供的相关书面说明及证明材料，以及评标委员会有关互联网浏览、查询历史一并归档。</w:t>
      </w:r>
    </w:p>
    <w:p w14:paraId="0A85BB00">
      <w:pPr>
        <w:spacing w:line="360" w:lineRule="auto"/>
        <w:ind w:firstLine="560" w:firstLineChars="200"/>
        <w:outlineLvl w:val="2"/>
        <w:rPr>
          <w:rFonts w:ascii="楷体" w:hAnsi="楷体" w:eastAsia="楷体"/>
          <w:color w:val="auto"/>
          <w:sz w:val="28"/>
          <w:szCs w:val="28"/>
          <w:highlight w:val="none"/>
        </w:rPr>
      </w:pPr>
      <w:r>
        <w:rPr>
          <w:rFonts w:hint="eastAsia" w:ascii="楷体" w:hAnsi="楷体" w:eastAsia="楷体"/>
          <w:color w:val="auto"/>
          <w:sz w:val="28"/>
          <w:szCs w:val="28"/>
          <w:highlight w:val="none"/>
        </w:rPr>
        <w:t>7.定标</w:t>
      </w:r>
      <w:bookmarkEnd w:id="75"/>
      <w:bookmarkEnd w:id="76"/>
    </w:p>
    <w:p w14:paraId="48989779">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7</w:t>
      </w:r>
      <w:r>
        <w:rPr>
          <w:rFonts w:ascii="仿宋" w:hAnsi="仿宋" w:eastAsia="仿宋"/>
          <w:color w:val="auto"/>
          <w:sz w:val="24"/>
          <w:szCs w:val="24"/>
          <w:highlight w:val="none"/>
        </w:rPr>
        <w:t>.1</w:t>
      </w:r>
      <w:r>
        <w:rPr>
          <w:rFonts w:hint="eastAsia" w:ascii="仿宋" w:hAnsi="仿宋" w:eastAsia="仿宋"/>
          <w:color w:val="auto"/>
          <w:sz w:val="24"/>
          <w:szCs w:val="24"/>
          <w:highlight w:val="none"/>
        </w:rPr>
        <w:t>除投标人须知前附表规定评标委员会直接确定中标人外，</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应当依据评标委员会推荐的中标候选人确定中标人，评标委员会推荐中标候选人的人数见投标人须知前附表。</w:t>
      </w:r>
    </w:p>
    <w:p w14:paraId="4792ACFC">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7</w:t>
      </w:r>
      <w:r>
        <w:rPr>
          <w:rFonts w:ascii="仿宋" w:hAnsi="仿宋" w:eastAsia="仿宋"/>
          <w:color w:val="auto"/>
          <w:sz w:val="24"/>
          <w:szCs w:val="24"/>
          <w:highlight w:val="none"/>
        </w:rPr>
        <w:t>.2</w:t>
      </w:r>
      <w:r>
        <w:rPr>
          <w:rFonts w:hint="eastAsia" w:ascii="仿宋" w:hAnsi="仿宋" w:eastAsia="仿宋"/>
          <w:color w:val="auto"/>
          <w:sz w:val="24"/>
          <w:szCs w:val="24"/>
          <w:highlight w:val="none"/>
        </w:rPr>
        <w:t>本次招标评标办法：见投标人须知前附表。</w:t>
      </w:r>
    </w:p>
    <w:p w14:paraId="55838DA9">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7</w:t>
      </w:r>
      <w:r>
        <w:rPr>
          <w:rFonts w:ascii="仿宋" w:hAnsi="仿宋" w:eastAsia="仿宋"/>
          <w:color w:val="auto"/>
          <w:sz w:val="24"/>
          <w:szCs w:val="24"/>
          <w:highlight w:val="none"/>
        </w:rPr>
        <w:t>.3</w:t>
      </w:r>
      <w:r>
        <w:rPr>
          <w:rFonts w:hint="eastAsia" w:ascii="仿宋" w:hAnsi="仿宋" w:eastAsia="仿宋"/>
          <w:color w:val="auto"/>
          <w:sz w:val="24"/>
          <w:szCs w:val="24"/>
          <w:highlight w:val="none"/>
        </w:rPr>
        <w:t>采用综合评分法的，按照评审后综合得分由高到低顺序排列。综合得分相同的，投标报价低的投标人中标；综合得分且投标报价相同的，技术评审得分最高的投标人中标；仍相同的，由评标委员会投票，按照少数服从多数的原则确定中标人。</w:t>
      </w:r>
    </w:p>
    <w:p w14:paraId="362E2C7B">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7</w:t>
      </w:r>
      <w:r>
        <w:rPr>
          <w:rFonts w:ascii="仿宋" w:hAnsi="仿宋" w:eastAsia="仿宋"/>
          <w:color w:val="auto"/>
          <w:sz w:val="24"/>
          <w:szCs w:val="24"/>
          <w:highlight w:val="none"/>
        </w:rPr>
        <w:t>.4</w:t>
      </w:r>
      <w:r>
        <w:rPr>
          <w:rFonts w:hint="eastAsia" w:ascii="仿宋" w:hAnsi="仿宋" w:eastAsia="仿宋"/>
          <w:color w:val="auto"/>
          <w:sz w:val="24"/>
          <w:szCs w:val="24"/>
          <w:highlight w:val="none"/>
        </w:rPr>
        <w:t>采用最低评标价法的，按照投标报价由低到高顺序排列，投标报价相同的，按照技术指标优劣顺序排列。评标委员会认为，排在前面的中标候选投标人的最低投标价或者某些分项报价明显不合理或者低于成本，有可能影响商品质量和不能诚信履约的，应当要求其在规定的期限内提供书面文件予以解释说明，并提交相关证明材料；否则，评标委员会可以取消该投标人的中标候选资格，按照顺序排在后面的中标候选人递补，以此类推。</w:t>
      </w:r>
    </w:p>
    <w:p w14:paraId="642D1F39">
      <w:pPr>
        <w:spacing w:line="360" w:lineRule="auto"/>
        <w:ind w:firstLine="480" w:firstLineChars="200"/>
        <w:rPr>
          <w:rFonts w:ascii="仿宋" w:hAnsi="仿宋" w:eastAsia="仿宋"/>
          <w:color w:val="auto"/>
          <w:sz w:val="24"/>
          <w:szCs w:val="24"/>
          <w:highlight w:val="none"/>
        </w:rPr>
      </w:pPr>
      <w:r>
        <w:rPr>
          <w:rFonts w:hint="eastAsia" w:ascii="仿宋" w:hAnsi="仿宋" w:eastAsia="仿宋" w:cs="仿宋"/>
          <w:color w:val="auto"/>
          <w:kern w:val="0"/>
          <w:sz w:val="24"/>
          <w:szCs w:val="24"/>
          <w:highlight w:val="none"/>
        </w:rPr>
        <w:t>7</w:t>
      </w:r>
      <w:r>
        <w:rPr>
          <w:rFonts w:ascii="仿宋" w:hAnsi="仿宋" w:eastAsia="仿宋" w:cs="仿宋"/>
          <w:color w:val="auto"/>
          <w:kern w:val="0"/>
          <w:sz w:val="24"/>
          <w:szCs w:val="24"/>
          <w:highlight w:val="none"/>
        </w:rPr>
        <w:t>.5</w:t>
      </w:r>
      <w:r>
        <w:rPr>
          <w:rFonts w:hint="eastAsia" w:ascii="仿宋" w:hAnsi="仿宋" w:eastAsia="仿宋" w:cs="仿宋"/>
          <w:color w:val="auto"/>
          <w:kern w:val="0"/>
          <w:sz w:val="24"/>
          <w:szCs w:val="24"/>
          <w:highlight w:val="none"/>
        </w:rPr>
        <w:t>招标文件规定推荐中标候选人的，中标候选人数量应当根据招标需要并在招标活动开始前确定，由评标委员会按照招标文件规定的评标办法确定各投标人排列顺序，依照顺序推荐中标候选人数量。</w:t>
      </w:r>
    </w:p>
    <w:p w14:paraId="543B483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7.</w:t>
      </w:r>
      <w:r>
        <w:rPr>
          <w:rFonts w:ascii="仿宋" w:hAnsi="仿宋" w:eastAsia="仿宋"/>
          <w:color w:val="auto"/>
          <w:sz w:val="24"/>
          <w:szCs w:val="24"/>
          <w:highlight w:val="none"/>
        </w:rPr>
        <w:t>6对于可以投多个包，但只能中标</w:t>
      </w:r>
      <w:r>
        <w:rPr>
          <w:rFonts w:hint="eastAsia" w:ascii="仿宋" w:hAnsi="仿宋" w:eastAsia="仿宋"/>
          <w:color w:val="auto"/>
          <w:sz w:val="24"/>
          <w:szCs w:val="24"/>
          <w:highlight w:val="none"/>
        </w:rPr>
        <w:t>1个包且采用综合评分法的项目，若2个及2个以上包的综合得分排名均第一的，由投标人自行选择其中1个包中标；该投标人不再参与其他包的综合得分排名，剩余包其他投标人的综合得分排名依次递进，按新的排名和前述规定确定中标人，以此类推。</w:t>
      </w:r>
    </w:p>
    <w:p w14:paraId="455E3E16">
      <w:pPr>
        <w:spacing w:line="360" w:lineRule="auto"/>
        <w:ind w:firstLine="480" w:firstLineChars="200"/>
        <w:rPr>
          <w:rFonts w:hint="eastAsia" w:ascii="仿宋" w:hAnsi="仿宋" w:eastAsia="仿宋" w:cs="仿宋"/>
          <w:color w:val="auto"/>
          <w:kern w:val="0"/>
          <w:sz w:val="24"/>
          <w:szCs w:val="24"/>
          <w:highlight w:val="none"/>
        </w:rPr>
      </w:pPr>
      <w:r>
        <w:rPr>
          <w:rFonts w:ascii="仿宋" w:hAnsi="仿宋" w:eastAsia="仿宋" w:cs="仿宋"/>
          <w:color w:val="auto"/>
          <w:kern w:val="0"/>
          <w:sz w:val="24"/>
          <w:szCs w:val="24"/>
          <w:highlight w:val="none"/>
        </w:rPr>
        <w:t>根据前项规定，导致各包参与综合得分排名的投标人不足</w:t>
      </w:r>
      <w:r>
        <w:rPr>
          <w:rFonts w:hint="eastAsia" w:ascii="仿宋" w:hAnsi="仿宋" w:eastAsia="仿宋" w:cs="仿宋"/>
          <w:color w:val="auto"/>
          <w:kern w:val="0"/>
          <w:sz w:val="24"/>
          <w:szCs w:val="24"/>
          <w:highlight w:val="none"/>
        </w:rPr>
        <w:t>3家时，评委会认为不足以构成竞争的有权对该包予以废标。</w:t>
      </w:r>
    </w:p>
    <w:p w14:paraId="59B7DD52">
      <w:pPr>
        <w:spacing w:line="360" w:lineRule="auto"/>
        <w:ind w:firstLine="480" w:firstLineChars="200"/>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w:t>
      </w:r>
      <w:r>
        <w:rPr>
          <w:rFonts w:ascii="仿宋" w:hAnsi="仿宋" w:eastAsia="仿宋" w:cs="仿宋"/>
          <w:color w:val="auto"/>
          <w:kern w:val="0"/>
          <w:sz w:val="24"/>
          <w:szCs w:val="24"/>
          <w:highlight w:val="none"/>
        </w:rPr>
        <w:t>.7</w:t>
      </w:r>
      <w:r>
        <w:rPr>
          <w:rFonts w:hint="eastAsia" w:ascii="仿宋" w:hAnsi="仿宋" w:eastAsia="仿宋" w:cs="仿宋"/>
          <w:color w:val="auto"/>
          <w:kern w:val="0"/>
          <w:sz w:val="24"/>
          <w:szCs w:val="24"/>
          <w:highlight w:val="none"/>
        </w:rPr>
        <w:t>按照有关规定中标人因不可抗力或者自身原因不能履行采购合同的，可顺延排序第二的投标人中标；或者做废标处理，由</w:t>
      </w:r>
      <w:r>
        <w:rPr>
          <w:rFonts w:hint="eastAsia" w:ascii="仿宋" w:hAnsi="仿宋" w:eastAsia="仿宋" w:cs="仿宋"/>
          <w:color w:val="auto"/>
          <w:kern w:val="0"/>
          <w:sz w:val="24"/>
          <w:szCs w:val="24"/>
          <w:highlight w:val="none"/>
          <w:lang w:eastAsia="zh-CN"/>
        </w:rPr>
        <w:t>采购人</w:t>
      </w:r>
      <w:r>
        <w:rPr>
          <w:rFonts w:hint="eastAsia" w:ascii="仿宋" w:hAnsi="仿宋" w:eastAsia="仿宋" w:cs="仿宋"/>
          <w:color w:val="auto"/>
          <w:kern w:val="0"/>
          <w:sz w:val="24"/>
          <w:szCs w:val="24"/>
          <w:highlight w:val="none"/>
        </w:rPr>
        <w:t>依法重新组织招标。</w:t>
      </w:r>
    </w:p>
    <w:p w14:paraId="11BFEF1C">
      <w:pPr>
        <w:spacing w:line="360" w:lineRule="auto"/>
        <w:ind w:firstLine="480" w:firstLineChars="200"/>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w:t>
      </w:r>
      <w:r>
        <w:rPr>
          <w:rFonts w:ascii="仿宋" w:hAnsi="仿宋" w:eastAsia="仿宋" w:cs="仿宋"/>
          <w:color w:val="auto"/>
          <w:kern w:val="0"/>
          <w:sz w:val="24"/>
          <w:szCs w:val="24"/>
          <w:highlight w:val="none"/>
        </w:rPr>
        <w:t>.8</w:t>
      </w:r>
      <w:r>
        <w:rPr>
          <w:rFonts w:hint="eastAsia" w:ascii="仿宋" w:hAnsi="仿宋" w:eastAsia="仿宋" w:cs="仿宋"/>
          <w:color w:val="auto"/>
          <w:kern w:val="0"/>
          <w:sz w:val="24"/>
          <w:szCs w:val="24"/>
          <w:highlight w:val="none"/>
        </w:rPr>
        <w:t>以入围方式确定多个中标人的，入围中标人数量应当根据招标需要并在招标活动开始前确定，由评标委员会按照招标文件规定的评标办法确定各投标人排列顺序，依照顺序确定入围中标人，但合格投标人数量必须大于或者等于入围中标人数量的</w:t>
      </w:r>
      <w:r>
        <w:rPr>
          <w:rFonts w:ascii="仿宋" w:hAnsi="仿宋" w:eastAsia="仿宋" w:cs="仿宋"/>
          <w:color w:val="auto"/>
          <w:kern w:val="0"/>
          <w:sz w:val="24"/>
          <w:szCs w:val="24"/>
          <w:highlight w:val="none"/>
        </w:rPr>
        <w:t>1.5</w:t>
      </w:r>
      <w:r>
        <w:rPr>
          <w:rFonts w:hint="eastAsia" w:ascii="仿宋" w:hAnsi="仿宋" w:eastAsia="仿宋" w:cs="仿宋"/>
          <w:color w:val="auto"/>
          <w:kern w:val="0"/>
          <w:sz w:val="24"/>
          <w:szCs w:val="24"/>
          <w:highlight w:val="none"/>
        </w:rPr>
        <w:t>倍；入围中标人的中标价格统一按照入围中标人中最低报价确定。否则应予以废标，由</w:t>
      </w:r>
      <w:r>
        <w:rPr>
          <w:rFonts w:hint="eastAsia" w:ascii="仿宋" w:hAnsi="仿宋" w:eastAsia="仿宋" w:cs="仿宋"/>
          <w:color w:val="auto"/>
          <w:kern w:val="0"/>
          <w:sz w:val="24"/>
          <w:szCs w:val="24"/>
          <w:highlight w:val="none"/>
          <w:lang w:eastAsia="zh-CN"/>
        </w:rPr>
        <w:t>采购人</w:t>
      </w:r>
      <w:r>
        <w:rPr>
          <w:rFonts w:hint="eastAsia" w:ascii="仿宋" w:hAnsi="仿宋" w:eastAsia="仿宋" w:cs="仿宋"/>
          <w:color w:val="auto"/>
          <w:kern w:val="0"/>
          <w:sz w:val="24"/>
          <w:szCs w:val="24"/>
          <w:highlight w:val="none"/>
        </w:rPr>
        <w:t>依法重新组织招标。</w:t>
      </w:r>
    </w:p>
    <w:p w14:paraId="444649AE">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w:t>
      </w:r>
      <w:r>
        <w:rPr>
          <w:rFonts w:ascii="仿宋" w:hAnsi="仿宋" w:eastAsia="仿宋" w:cs="仿宋"/>
          <w:color w:val="auto"/>
          <w:kern w:val="0"/>
          <w:sz w:val="24"/>
          <w:szCs w:val="24"/>
          <w:highlight w:val="none"/>
        </w:rPr>
        <w:t>.9</w:t>
      </w:r>
      <w:r>
        <w:rPr>
          <w:rFonts w:hint="eastAsia" w:ascii="仿宋" w:hAnsi="仿宋" w:eastAsia="仿宋" w:cs="仿宋"/>
          <w:color w:val="auto"/>
          <w:kern w:val="0"/>
          <w:sz w:val="24"/>
          <w:szCs w:val="24"/>
          <w:highlight w:val="none"/>
        </w:rPr>
        <w:t>评审完成后，评标委员会参与并审定评标报告，代理机构向所有投标人宣布评审结果。</w:t>
      </w:r>
    </w:p>
    <w:p w14:paraId="4931B5E0">
      <w:pPr>
        <w:spacing w:line="360" w:lineRule="auto"/>
        <w:ind w:firstLine="560" w:firstLineChars="200"/>
        <w:outlineLvl w:val="2"/>
        <w:rPr>
          <w:rFonts w:ascii="楷体" w:hAnsi="楷体" w:eastAsia="楷体"/>
          <w:color w:val="auto"/>
          <w:sz w:val="28"/>
          <w:szCs w:val="28"/>
          <w:highlight w:val="none"/>
        </w:rPr>
      </w:pPr>
      <w:bookmarkStart w:id="77" w:name="_Toc26181"/>
      <w:bookmarkStart w:id="78" w:name="_Toc432789527"/>
      <w:r>
        <w:rPr>
          <w:rFonts w:hint="eastAsia" w:ascii="楷体" w:hAnsi="楷体" w:eastAsia="楷体"/>
          <w:color w:val="auto"/>
          <w:sz w:val="28"/>
          <w:szCs w:val="28"/>
          <w:highlight w:val="none"/>
        </w:rPr>
        <w:t>8.中标公告以及中标通知书</w:t>
      </w:r>
      <w:bookmarkEnd w:id="77"/>
      <w:bookmarkEnd w:id="78"/>
    </w:p>
    <w:p w14:paraId="6EC8372C">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8</w:t>
      </w:r>
      <w:r>
        <w:rPr>
          <w:rFonts w:ascii="仿宋" w:hAnsi="仿宋" w:eastAsia="仿宋" w:cs="仿宋"/>
          <w:color w:val="auto"/>
          <w:kern w:val="0"/>
          <w:sz w:val="24"/>
          <w:szCs w:val="24"/>
          <w:highlight w:val="none"/>
        </w:rPr>
        <w:t>.1</w:t>
      </w:r>
      <w:r>
        <w:rPr>
          <w:rFonts w:hint="eastAsia" w:ascii="仿宋" w:hAnsi="仿宋" w:eastAsia="仿宋" w:cs="仿宋"/>
          <w:color w:val="auto"/>
          <w:kern w:val="0"/>
          <w:sz w:val="24"/>
          <w:szCs w:val="24"/>
          <w:highlight w:val="none"/>
          <w:lang w:eastAsia="zh-CN"/>
        </w:rPr>
        <w:t>采购人</w:t>
      </w:r>
      <w:r>
        <w:rPr>
          <w:rFonts w:hint="eastAsia" w:ascii="仿宋" w:hAnsi="仿宋" w:eastAsia="仿宋" w:cs="仿宋"/>
          <w:color w:val="auto"/>
          <w:kern w:val="0"/>
          <w:sz w:val="24"/>
          <w:szCs w:val="24"/>
          <w:highlight w:val="none"/>
        </w:rPr>
        <w:t>或者代理机构应当自中标人确定之日起</w:t>
      </w:r>
      <w:r>
        <w:rPr>
          <w:rFonts w:ascii="仿宋" w:hAnsi="仿宋" w:eastAsia="仿宋" w:cs="仿宋"/>
          <w:color w:val="auto"/>
          <w:kern w:val="0"/>
          <w:sz w:val="24"/>
          <w:szCs w:val="24"/>
          <w:highlight w:val="none"/>
        </w:rPr>
        <w:t>2</w:t>
      </w:r>
      <w:r>
        <w:rPr>
          <w:rFonts w:hint="eastAsia" w:ascii="仿宋" w:hAnsi="仿宋" w:eastAsia="仿宋" w:cs="仿宋"/>
          <w:color w:val="auto"/>
          <w:kern w:val="0"/>
          <w:sz w:val="24"/>
          <w:szCs w:val="24"/>
          <w:highlight w:val="none"/>
        </w:rPr>
        <w:t>个工作日内，发出中标通知书，并在</w:t>
      </w:r>
      <w:r>
        <w:rPr>
          <w:rFonts w:hint="eastAsia" w:ascii="仿宋" w:hAnsi="仿宋" w:eastAsia="仿宋"/>
          <w:color w:val="auto"/>
          <w:kern w:val="1"/>
          <w:sz w:val="24"/>
          <w:szCs w:val="24"/>
          <w:highlight w:val="none"/>
          <w:lang w:eastAsia="zh-CN"/>
        </w:rPr>
        <w:t>中国招标投标公共服务平台和山东大学齐鲁医院（青岛）官网</w:t>
      </w:r>
      <w:r>
        <w:rPr>
          <w:rFonts w:hint="eastAsia" w:ascii="仿宋" w:hAnsi="仿宋" w:eastAsia="仿宋" w:cs="仿宋"/>
          <w:color w:val="auto"/>
          <w:kern w:val="0"/>
          <w:sz w:val="24"/>
          <w:szCs w:val="24"/>
          <w:highlight w:val="none"/>
        </w:rPr>
        <w:t>公告中标结果（公告期限为1个工作日）。</w:t>
      </w:r>
    </w:p>
    <w:p w14:paraId="13568577">
      <w:pPr>
        <w:spacing w:line="360" w:lineRule="auto"/>
        <w:ind w:firstLine="480" w:firstLineChars="200"/>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8.2</w:t>
      </w:r>
      <w:r>
        <w:rPr>
          <w:rFonts w:hint="eastAsia" w:ascii="仿宋" w:hAnsi="仿宋" w:eastAsia="仿宋" w:cs="仿宋"/>
          <w:color w:val="auto"/>
          <w:kern w:val="0"/>
          <w:sz w:val="24"/>
          <w:szCs w:val="24"/>
          <w:highlight w:val="none"/>
          <w:lang w:eastAsia="zh-CN"/>
        </w:rPr>
        <w:t>采购人</w:t>
      </w:r>
      <w:r>
        <w:rPr>
          <w:rFonts w:hint="eastAsia" w:ascii="仿宋" w:hAnsi="仿宋" w:eastAsia="仿宋" w:cs="仿宋"/>
          <w:color w:val="auto"/>
          <w:kern w:val="0"/>
          <w:sz w:val="24"/>
          <w:szCs w:val="24"/>
          <w:highlight w:val="none"/>
        </w:rPr>
        <w:t>或代理机构不按照规定发布中标公告或者发布中标公告后不签发中标通知书的，应当承担法律责任，给中标人造成经济损失的应承担赔偿责任。</w:t>
      </w:r>
    </w:p>
    <w:p w14:paraId="3B1416C0">
      <w:pPr>
        <w:spacing w:line="360" w:lineRule="auto"/>
        <w:ind w:firstLine="480" w:firstLineChars="200"/>
        <w:rPr>
          <w:rStyle w:val="46"/>
          <w:color w:val="auto"/>
          <w:sz w:val="24"/>
          <w:szCs w:val="24"/>
          <w:highlight w:val="none"/>
        </w:rPr>
      </w:pPr>
      <w:r>
        <w:rPr>
          <w:rStyle w:val="46"/>
          <w:rFonts w:hint="eastAsia"/>
          <w:color w:val="auto"/>
          <w:sz w:val="24"/>
          <w:szCs w:val="24"/>
          <w:highlight w:val="none"/>
        </w:rPr>
        <w:t>8</w:t>
      </w:r>
      <w:r>
        <w:rPr>
          <w:rStyle w:val="46"/>
          <w:color w:val="auto"/>
          <w:sz w:val="24"/>
          <w:szCs w:val="24"/>
          <w:highlight w:val="none"/>
        </w:rPr>
        <w:t>.</w:t>
      </w:r>
      <w:r>
        <w:rPr>
          <w:rStyle w:val="46"/>
          <w:rFonts w:hint="eastAsia"/>
          <w:color w:val="auto"/>
          <w:sz w:val="24"/>
          <w:szCs w:val="24"/>
          <w:highlight w:val="none"/>
        </w:rPr>
        <w:t>3中标通知书对</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和中标人都具有法律效力。中标通知书发出后，</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改变中标结果的，或者中标人放弃中标，应当依法承担法律责任。</w:t>
      </w:r>
    </w:p>
    <w:p w14:paraId="6EA17C0C">
      <w:pPr>
        <w:spacing w:line="360" w:lineRule="auto"/>
        <w:ind w:firstLine="560" w:firstLineChars="200"/>
        <w:outlineLvl w:val="2"/>
        <w:rPr>
          <w:rFonts w:ascii="楷体" w:hAnsi="楷体" w:eastAsia="楷体"/>
          <w:color w:val="auto"/>
          <w:sz w:val="28"/>
          <w:szCs w:val="28"/>
          <w:highlight w:val="none"/>
        </w:rPr>
      </w:pPr>
      <w:bookmarkStart w:id="79" w:name="_Toc11180"/>
      <w:bookmarkStart w:id="80" w:name="_Toc432789528"/>
      <w:r>
        <w:rPr>
          <w:rFonts w:hint="eastAsia" w:ascii="楷体" w:hAnsi="楷体" w:eastAsia="楷体"/>
          <w:color w:val="auto"/>
          <w:sz w:val="28"/>
          <w:szCs w:val="28"/>
          <w:highlight w:val="none"/>
        </w:rPr>
        <w:t>9.投标无效</w:t>
      </w:r>
      <w:bookmarkEnd w:id="79"/>
      <w:bookmarkEnd w:id="80"/>
    </w:p>
    <w:p w14:paraId="4CFDC291">
      <w:pPr>
        <w:spacing w:line="360" w:lineRule="auto"/>
        <w:ind w:firstLine="480" w:firstLineChars="200"/>
        <w:rPr>
          <w:rStyle w:val="46"/>
          <w:color w:val="auto"/>
          <w:sz w:val="24"/>
          <w:szCs w:val="24"/>
          <w:highlight w:val="none"/>
        </w:rPr>
      </w:pPr>
      <w:r>
        <w:rPr>
          <w:rStyle w:val="46"/>
          <w:rFonts w:hint="eastAsia"/>
          <w:color w:val="auto"/>
          <w:sz w:val="24"/>
          <w:szCs w:val="24"/>
          <w:highlight w:val="none"/>
        </w:rPr>
        <w:t>出现下列情形之一的，投标无效：</w:t>
      </w:r>
    </w:p>
    <w:p w14:paraId="122D2ACC">
      <w:pPr>
        <w:spacing w:line="360" w:lineRule="auto"/>
        <w:ind w:firstLine="480" w:firstLineChars="200"/>
        <w:rPr>
          <w:rStyle w:val="46"/>
          <w:color w:val="auto"/>
          <w:sz w:val="24"/>
          <w:szCs w:val="24"/>
          <w:highlight w:val="none"/>
        </w:rPr>
      </w:pPr>
      <w:r>
        <w:rPr>
          <w:rStyle w:val="46"/>
          <w:rFonts w:hint="eastAsia"/>
          <w:color w:val="auto"/>
          <w:sz w:val="24"/>
          <w:szCs w:val="24"/>
          <w:highlight w:val="none"/>
        </w:rPr>
        <w:t>9</w:t>
      </w:r>
      <w:r>
        <w:rPr>
          <w:rStyle w:val="46"/>
          <w:color w:val="auto"/>
          <w:sz w:val="24"/>
          <w:szCs w:val="24"/>
          <w:highlight w:val="none"/>
        </w:rPr>
        <w:t>.1</w:t>
      </w:r>
      <w:r>
        <w:rPr>
          <w:rStyle w:val="46"/>
          <w:rFonts w:hint="eastAsia"/>
          <w:color w:val="auto"/>
          <w:sz w:val="24"/>
          <w:szCs w:val="24"/>
          <w:highlight w:val="none"/>
        </w:rPr>
        <w:t>投标报价高于采购预算的；</w:t>
      </w:r>
    </w:p>
    <w:p w14:paraId="4B774E66">
      <w:pPr>
        <w:spacing w:line="360" w:lineRule="auto"/>
        <w:ind w:firstLine="480" w:firstLineChars="200"/>
        <w:rPr>
          <w:rStyle w:val="46"/>
          <w:color w:val="auto"/>
          <w:sz w:val="24"/>
          <w:szCs w:val="24"/>
          <w:highlight w:val="none"/>
        </w:rPr>
      </w:pPr>
      <w:r>
        <w:rPr>
          <w:rStyle w:val="46"/>
          <w:rFonts w:hint="eastAsia"/>
          <w:color w:val="auto"/>
          <w:sz w:val="24"/>
          <w:szCs w:val="24"/>
          <w:highlight w:val="none"/>
        </w:rPr>
        <w:t>9</w:t>
      </w:r>
      <w:r>
        <w:rPr>
          <w:rStyle w:val="46"/>
          <w:color w:val="auto"/>
          <w:sz w:val="24"/>
          <w:szCs w:val="24"/>
          <w:highlight w:val="none"/>
        </w:rPr>
        <w:t>.2</w:t>
      </w:r>
      <w:r>
        <w:rPr>
          <w:rStyle w:val="46"/>
          <w:rFonts w:hint="eastAsia"/>
          <w:color w:val="auto"/>
          <w:sz w:val="24"/>
          <w:szCs w:val="24"/>
          <w:highlight w:val="none"/>
        </w:rPr>
        <w:t>对“★”条款未做出实质性响应或者发生负偏离的；</w:t>
      </w:r>
    </w:p>
    <w:p w14:paraId="3B99A8FC">
      <w:pPr>
        <w:spacing w:line="360" w:lineRule="auto"/>
        <w:ind w:firstLine="480" w:firstLineChars="200"/>
        <w:rPr>
          <w:rStyle w:val="46"/>
          <w:rFonts w:hint="eastAsia"/>
          <w:color w:val="auto"/>
          <w:sz w:val="24"/>
          <w:szCs w:val="24"/>
          <w:highlight w:val="none"/>
        </w:rPr>
      </w:pPr>
      <w:r>
        <w:rPr>
          <w:rStyle w:val="46"/>
          <w:rFonts w:hint="eastAsia"/>
          <w:color w:val="auto"/>
          <w:sz w:val="24"/>
          <w:szCs w:val="24"/>
          <w:highlight w:val="none"/>
        </w:rPr>
        <w:t>9</w:t>
      </w:r>
      <w:r>
        <w:rPr>
          <w:rStyle w:val="46"/>
          <w:color w:val="auto"/>
          <w:sz w:val="24"/>
          <w:szCs w:val="24"/>
          <w:highlight w:val="none"/>
        </w:rPr>
        <w:t>.</w:t>
      </w:r>
      <w:r>
        <w:rPr>
          <w:rStyle w:val="46"/>
          <w:rFonts w:hint="eastAsia"/>
          <w:color w:val="auto"/>
          <w:sz w:val="24"/>
          <w:szCs w:val="24"/>
          <w:highlight w:val="none"/>
        </w:rPr>
        <w:t>3对允许偏离的非实质性条款，偏离招标文件规定的偏离范围和幅度的；</w:t>
      </w:r>
    </w:p>
    <w:p w14:paraId="116EE336">
      <w:pPr>
        <w:spacing w:line="360" w:lineRule="auto"/>
        <w:ind w:firstLine="480" w:firstLineChars="200"/>
        <w:rPr>
          <w:rStyle w:val="46"/>
          <w:color w:val="auto"/>
          <w:sz w:val="24"/>
          <w:szCs w:val="24"/>
          <w:highlight w:val="none"/>
        </w:rPr>
      </w:pPr>
      <w:r>
        <w:rPr>
          <w:rStyle w:val="46"/>
          <w:rFonts w:hint="eastAsia"/>
          <w:color w:val="auto"/>
          <w:sz w:val="24"/>
          <w:szCs w:val="24"/>
          <w:highlight w:val="none"/>
        </w:rPr>
        <w:t>9.4不按照招标文件规定报价、没有分项报价、拒绝报价、有多个报价（招标文件另有规定的除外）、有选择性报价、附有条件的报价或者拒绝修正报价的；</w:t>
      </w:r>
    </w:p>
    <w:p w14:paraId="52BD56CC">
      <w:pPr>
        <w:spacing w:line="360" w:lineRule="auto"/>
        <w:ind w:firstLine="480" w:firstLineChars="200"/>
        <w:rPr>
          <w:rStyle w:val="46"/>
          <w:color w:val="auto"/>
          <w:sz w:val="24"/>
          <w:szCs w:val="24"/>
          <w:highlight w:val="none"/>
        </w:rPr>
      </w:pPr>
      <w:r>
        <w:rPr>
          <w:rStyle w:val="46"/>
          <w:rFonts w:hint="eastAsia"/>
          <w:color w:val="auto"/>
          <w:sz w:val="24"/>
          <w:szCs w:val="24"/>
          <w:highlight w:val="none"/>
        </w:rPr>
        <w:t>9</w:t>
      </w:r>
      <w:r>
        <w:rPr>
          <w:rStyle w:val="46"/>
          <w:color w:val="auto"/>
          <w:sz w:val="24"/>
          <w:szCs w:val="24"/>
          <w:highlight w:val="none"/>
        </w:rPr>
        <w:t>.</w:t>
      </w:r>
      <w:r>
        <w:rPr>
          <w:rStyle w:val="46"/>
          <w:rFonts w:hint="eastAsia"/>
          <w:color w:val="auto"/>
          <w:sz w:val="24"/>
          <w:szCs w:val="24"/>
          <w:highlight w:val="none"/>
        </w:rPr>
        <w:t>5投标文件正副本未区分或者内容严重不一致的；</w:t>
      </w:r>
    </w:p>
    <w:p w14:paraId="2B17320A">
      <w:pPr>
        <w:spacing w:line="360" w:lineRule="auto"/>
        <w:ind w:firstLine="480" w:firstLineChars="200"/>
        <w:rPr>
          <w:rStyle w:val="46"/>
          <w:color w:val="auto"/>
          <w:sz w:val="24"/>
          <w:szCs w:val="24"/>
          <w:highlight w:val="none"/>
        </w:rPr>
      </w:pPr>
      <w:r>
        <w:rPr>
          <w:rStyle w:val="46"/>
          <w:rFonts w:hint="eastAsia"/>
          <w:color w:val="auto"/>
          <w:sz w:val="24"/>
          <w:szCs w:val="24"/>
          <w:highlight w:val="none"/>
        </w:rPr>
        <w:t>9</w:t>
      </w:r>
      <w:r>
        <w:rPr>
          <w:rStyle w:val="46"/>
          <w:color w:val="auto"/>
          <w:sz w:val="24"/>
          <w:szCs w:val="24"/>
          <w:highlight w:val="none"/>
        </w:rPr>
        <w:t>.</w:t>
      </w:r>
      <w:r>
        <w:rPr>
          <w:rStyle w:val="46"/>
          <w:rFonts w:hint="eastAsia"/>
          <w:color w:val="auto"/>
          <w:sz w:val="24"/>
          <w:szCs w:val="24"/>
          <w:highlight w:val="none"/>
        </w:rPr>
        <w:t>6投标有效期不满足招标文件要求的；</w:t>
      </w:r>
    </w:p>
    <w:p w14:paraId="181C2B63">
      <w:pPr>
        <w:spacing w:line="360" w:lineRule="auto"/>
        <w:ind w:firstLine="480" w:firstLineChars="200"/>
        <w:rPr>
          <w:rStyle w:val="46"/>
          <w:color w:val="auto"/>
          <w:sz w:val="24"/>
          <w:szCs w:val="24"/>
          <w:highlight w:val="none"/>
        </w:rPr>
      </w:pPr>
      <w:r>
        <w:rPr>
          <w:rStyle w:val="46"/>
          <w:rFonts w:hint="eastAsia"/>
          <w:color w:val="auto"/>
          <w:sz w:val="24"/>
          <w:szCs w:val="24"/>
          <w:highlight w:val="none"/>
        </w:rPr>
        <w:t>9</w:t>
      </w:r>
      <w:r>
        <w:rPr>
          <w:rStyle w:val="46"/>
          <w:color w:val="auto"/>
          <w:sz w:val="24"/>
          <w:szCs w:val="24"/>
          <w:highlight w:val="none"/>
        </w:rPr>
        <w:t>.</w:t>
      </w:r>
      <w:r>
        <w:rPr>
          <w:rStyle w:val="46"/>
          <w:rFonts w:hint="eastAsia"/>
          <w:color w:val="auto"/>
          <w:sz w:val="24"/>
          <w:szCs w:val="24"/>
          <w:highlight w:val="none"/>
        </w:rPr>
        <w:t>7评标委员会</w:t>
      </w:r>
      <w:r>
        <w:rPr>
          <w:rStyle w:val="46"/>
          <w:color w:val="auto"/>
          <w:sz w:val="24"/>
          <w:szCs w:val="24"/>
          <w:highlight w:val="none"/>
        </w:rPr>
        <w:t>2/3</w:t>
      </w:r>
      <w:r>
        <w:rPr>
          <w:rStyle w:val="46"/>
          <w:rFonts w:hint="eastAsia"/>
          <w:color w:val="auto"/>
          <w:sz w:val="24"/>
          <w:szCs w:val="24"/>
          <w:highlight w:val="none"/>
        </w:rPr>
        <w:t>及以上成员认定投标方案技术含量低、不符合招标文件要求的；</w:t>
      </w:r>
    </w:p>
    <w:p w14:paraId="2D8F4BFF">
      <w:pPr>
        <w:spacing w:line="360" w:lineRule="auto"/>
        <w:ind w:firstLine="480" w:firstLineChars="200"/>
        <w:rPr>
          <w:rStyle w:val="46"/>
          <w:color w:val="auto"/>
          <w:sz w:val="24"/>
          <w:szCs w:val="24"/>
          <w:highlight w:val="none"/>
        </w:rPr>
      </w:pPr>
      <w:r>
        <w:rPr>
          <w:rStyle w:val="46"/>
          <w:rFonts w:hint="eastAsia"/>
          <w:color w:val="auto"/>
          <w:sz w:val="24"/>
          <w:szCs w:val="24"/>
          <w:highlight w:val="none"/>
        </w:rPr>
        <w:t>9</w:t>
      </w:r>
      <w:r>
        <w:rPr>
          <w:rStyle w:val="46"/>
          <w:color w:val="auto"/>
          <w:sz w:val="24"/>
          <w:szCs w:val="24"/>
          <w:highlight w:val="none"/>
        </w:rPr>
        <w:t>.</w:t>
      </w:r>
      <w:r>
        <w:rPr>
          <w:rStyle w:val="46"/>
          <w:rFonts w:hint="eastAsia"/>
          <w:color w:val="auto"/>
          <w:sz w:val="24"/>
          <w:szCs w:val="24"/>
          <w:highlight w:val="none"/>
        </w:rPr>
        <w:t>8评标委员会判定投标人涂改证明材料或者提供虚假材料和承诺的；</w:t>
      </w:r>
    </w:p>
    <w:p w14:paraId="6CB7FB15">
      <w:pPr>
        <w:spacing w:line="360" w:lineRule="auto"/>
        <w:ind w:firstLine="480" w:firstLineChars="200"/>
        <w:rPr>
          <w:rStyle w:val="46"/>
          <w:color w:val="auto"/>
          <w:sz w:val="24"/>
          <w:szCs w:val="24"/>
          <w:highlight w:val="none"/>
        </w:rPr>
      </w:pPr>
      <w:r>
        <w:rPr>
          <w:rStyle w:val="46"/>
          <w:rFonts w:hint="eastAsia"/>
          <w:color w:val="auto"/>
          <w:sz w:val="24"/>
          <w:szCs w:val="24"/>
          <w:highlight w:val="none"/>
        </w:rPr>
        <w:t>9</w:t>
      </w:r>
      <w:r>
        <w:rPr>
          <w:rStyle w:val="46"/>
          <w:color w:val="auto"/>
          <w:sz w:val="24"/>
          <w:szCs w:val="24"/>
          <w:highlight w:val="none"/>
        </w:rPr>
        <w:t>.</w:t>
      </w:r>
      <w:r>
        <w:rPr>
          <w:rStyle w:val="46"/>
          <w:rFonts w:hint="eastAsia"/>
          <w:color w:val="auto"/>
          <w:sz w:val="24"/>
          <w:szCs w:val="24"/>
          <w:highlight w:val="none"/>
        </w:rPr>
        <w:t>9未按招标文件规定编制、签署、盖章和密封投标文件的；</w:t>
      </w:r>
    </w:p>
    <w:p w14:paraId="56D78E48">
      <w:pPr>
        <w:spacing w:line="360" w:lineRule="auto"/>
        <w:ind w:firstLine="480" w:firstLineChars="200"/>
        <w:rPr>
          <w:rStyle w:val="46"/>
          <w:color w:val="auto"/>
          <w:sz w:val="24"/>
          <w:szCs w:val="24"/>
          <w:highlight w:val="none"/>
        </w:rPr>
      </w:pPr>
      <w:r>
        <w:rPr>
          <w:rStyle w:val="46"/>
          <w:rFonts w:hint="eastAsia"/>
          <w:color w:val="auto"/>
          <w:sz w:val="24"/>
          <w:szCs w:val="24"/>
          <w:highlight w:val="none"/>
        </w:rPr>
        <w:t>9.10</w:t>
      </w:r>
      <w:r>
        <w:rPr>
          <w:rStyle w:val="46"/>
          <w:color w:val="auto"/>
          <w:sz w:val="24"/>
          <w:szCs w:val="24"/>
          <w:highlight w:val="none"/>
        </w:rPr>
        <w:t>招标文件第三章第</w:t>
      </w:r>
      <w:r>
        <w:rPr>
          <w:rStyle w:val="46"/>
          <w:rFonts w:hint="eastAsia"/>
          <w:color w:val="auto"/>
          <w:sz w:val="24"/>
          <w:szCs w:val="24"/>
          <w:highlight w:val="none"/>
        </w:rPr>
        <w:t>1条</w:t>
      </w:r>
      <w:r>
        <w:rPr>
          <w:rStyle w:val="46"/>
          <w:color w:val="auto"/>
          <w:sz w:val="24"/>
          <w:szCs w:val="24"/>
          <w:highlight w:val="none"/>
        </w:rPr>
        <w:t>规定投标人</w:t>
      </w:r>
      <w:r>
        <w:rPr>
          <w:rStyle w:val="46"/>
          <w:rFonts w:hint="eastAsia"/>
          <w:color w:val="auto"/>
          <w:sz w:val="24"/>
          <w:szCs w:val="24"/>
          <w:highlight w:val="none"/>
        </w:rPr>
        <w:t>必须</w:t>
      </w:r>
      <w:r>
        <w:rPr>
          <w:rStyle w:val="46"/>
          <w:color w:val="auto"/>
          <w:sz w:val="24"/>
          <w:szCs w:val="24"/>
          <w:highlight w:val="none"/>
        </w:rPr>
        <w:t>提交的</w:t>
      </w:r>
      <w:r>
        <w:rPr>
          <w:rStyle w:val="46"/>
          <w:rFonts w:hint="eastAsia"/>
          <w:color w:val="auto"/>
          <w:sz w:val="24"/>
          <w:szCs w:val="24"/>
          <w:highlight w:val="none"/>
        </w:rPr>
        <w:t>资格资信等证明文件未提交、提交不齐全或者复印件未装订于投标文件中的；</w:t>
      </w:r>
    </w:p>
    <w:p w14:paraId="79119593">
      <w:pPr>
        <w:spacing w:line="360" w:lineRule="auto"/>
        <w:ind w:firstLine="480" w:firstLineChars="200"/>
        <w:rPr>
          <w:rStyle w:val="46"/>
          <w:rFonts w:hint="eastAsia" w:ascii="Times New Roman" w:hAnsi="Times New Roman"/>
          <w:color w:val="auto"/>
          <w:sz w:val="24"/>
          <w:szCs w:val="24"/>
          <w:highlight w:val="none"/>
        </w:rPr>
      </w:pPr>
      <w:r>
        <w:rPr>
          <w:rStyle w:val="46"/>
          <w:rFonts w:hint="eastAsia" w:ascii="Times New Roman" w:hAnsi="Times New Roman"/>
          <w:color w:val="auto"/>
          <w:sz w:val="24"/>
          <w:szCs w:val="24"/>
          <w:highlight w:val="none"/>
        </w:rPr>
        <w:t>9.1</w:t>
      </w:r>
      <w:r>
        <w:rPr>
          <w:rStyle w:val="46"/>
          <w:rFonts w:hint="eastAsia" w:eastAsia="仿宋"/>
          <w:color w:val="auto"/>
          <w:sz w:val="24"/>
          <w:szCs w:val="24"/>
          <w:highlight w:val="none"/>
          <w:lang w:val="en-US" w:eastAsia="zh-CN"/>
        </w:rPr>
        <w:t>1</w:t>
      </w:r>
      <w:r>
        <w:rPr>
          <w:rStyle w:val="46"/>
          <w:rFonts w:hint="eastAsia" w:ascii="Times New Roman" w:hAnsi="Times New Roman"/>
          <w:color w:val="auto"/>
          <w:sz w:val="24"/>
          <w:szCs w:val="24"/>
          <w:highlight w:val="none"/>
        </w:rPr>
        <w:t>投标人未按照要求填写投标人股东信息情况一览表或填写信息不完整的；</w:t>
      </w:r>
    </w:p>
    <w:p w14:paraId="3C7E9C73">
      <w:pPr>
        <w:spacing w:line="360" w:lineRule="auto"/>
        <w:ind w:firstLine="480" w:firstLineChars="200"/>
        <w:rPr>
          <w:rStyle w:val="46"/>
          <w:rFonts w:hint="eastAsia" w:ascii="Times New Roman" w:hAnsi="Times New Roman"/>
          <w:color w:val="auto"/>
          <w:sz w:val="24"/>
          <w:szCs w:val="24"/>
          <w:highlight w:val="none"/>
        </w:rPr>
      </w:pPr>
      <w:r>
        <w:rPr>
          <w:rStyle w:val="46"/>
          <w:rFonts w:hint="eastAsia" w:ascii="Times New Roman" w:hAnsi="Times New Roman"/>
          <w:color w:val="auto"/>
          <w:sz w:val="24"/>
          <w:szCs w:val="24"/>
          <w:highlight w:val="none"/>
        </w:rPr>
        <w:t>9.1</w:t>
      </w:r>
      <w:r>
        <w:rPr>
          <w:rStyle w:val="46"/>
          <w:rFonts w:hint="eastAsia" w:eastAsia="仿宋"/>
          <w:color w:val="auto"/>
          <w:sz w:val="24"/>
          <w:szCs w:val="24"/>
          <w:highlight w:val="none"/>
          <w:lang w:val="en-US" w:eastAsia="zh-CN"/>
        </w:rPr>
        <w:t>2</w:t>
      </w:r>
      <w:r>
        <w:rPr>
          <w:rStyle w:val="46"/>
          <w:rFonts w:hint="eastAsia" w:ascii="Times New Roman" w:hAnsi="Times New Roman"/>
          <w:color w:val="auto"/>
          <w:sz w:val="24"/>
          <w:szCs w:val="24"/>
          <w:highlight w:val="none"/>
        </w:rPr>
        <w:t>法定代表人授权委托书未按要求提供法人代表身份证、被授权代表身份证复印件以及被授权代表自开启之日起前三个月内任意一月的社保证明；</w:t>
      </w:r>
    </w:p>
    <w:p w14:paraId="5133575B">
      <w:pPr>
        <w:spacing w:line="360" w:lineRule="auto"/>
        <w:ind w:firstLine="480" w:firstLineChars="200"/>
        <w:rPr>
          <w:rStyle w:val="46"/>
          <w:rFonts w:hint="eastAsia"/>
          <w:color w:val="auto"/>
          <w:sz w:val="24"/>
          <w:szCs w:val="24"/>
          <w:highlight w:val="none"/>
        </w:rPr>
      </w:pPr>
      <w:r>
        <w:rPr>
          <w:rStyle w:val="46"/>
          <w:rFonts w:hint="eastAsia"/>
          <w:color w:val="auto"/>
          <w:sz w:val="24"/>
          <w:szCs w:val="24"/>
          <w:highlight w:val="none"/>
        </w:rPr>
        <w:t>9.1</w:t>
      </w:r>
      <w:r>
        <w:rPr>
          <w:rStyle w:val="46"/>
          <w:rFonts w:hint="eastAsia" w:eastAsia="仿宋"/>
          <w:color w:val="auto"/>
          <w:sz w:val="24"/>
          <w:szCs w:val="24"/>
          <w:highlight w:val="none"/>
          <w:lang w:val="en-US" w:eastAsia="zh-CN"/>
        </w:rPr>
        <w:t>3</w:t>
      </w:r>
      <w:r>
        <w:rPr>
          <w:rStyle w:val="46"/>
          <w:rFonts w:hint="eastAsia"/>
          <w:color w:val="auto"/>
          <w:sz w:val="24"/>
          <w:szCs w:val="24"/>
          <w:highlight w:val="none"/>
        </w:rPr>
        <w:t>资格资信等证明文件可以为复印件的，复印件未加盖单位公章的；</w:t>
      </w:r>
    </w:p>
    <w:p w14:paraId="3D4C6208">
      <w:pPr>
        <w:spacing w:line="360" w:lineRule="auto"/>
        <w:ind w:firstLine="480" w:firstLineChars="200"/>
        <w:rPr>
          <w:rStyle w:val="46"/>
          <w:rFonts w:hint="eastAsia"/>
          <w:color w:val="auto"/>
          <w:sz w:val="24"/>
          <w:szCs w:val="24"/>
          <w:highlight w:val="none"/>
        </w:rPr>
      </w:pPr>
      <w:r>
        <w:rPr>
          <w:rStyle w:val="46"/>
          <w:rFonts w:hint="eastAsia"/>
          <w:color w:val="auto"/>
          <w:sz w:val="24"/>
          <w:szCs w:val="24"/>
          <w:highlight w:val="none"/>
        </w:rPr>
        <w:t>9.1</w:t>
      </w:r>
      <w:r>
        <w:rPr>
          <w:rStyle w:val="46"/>
          <w:rFonts w:hint="eastAsia" w:eastAsia="仿宋"/>
          <w:color w:val="auto"/>
          <w:sz w:val="24"/>
          <w:szCs w:val="24"/>
          <w:highlight w:val="none"/>
          <w:lang w:val="en-US" w:eastAsia="zh-CN"/>
        </w:rPr>
        <w:t>4</w:t>
      </w:r>
      <w:r>
        <w:rPr>
          <w:rStyle w:val="46"/>
          <w:rFonts w:hint="eastAsia"/>
          <w:color w:val="auto"/>
          <w:sz w:val="24"/>
          <w:szCs w:val="24"/>
          <w:highlight w:val="none"/>
        </w:rPr>
        <w:t>投标人未按招标文件要求交纳投标保证金的（以保证金到账时间为准）；</w:t>
      </w:r>
    </w:p>
    <w:p w14:paraId="26676D63">
      <w:pPr>
        <w:spacing w:line="360" w:lineRule="auto"/>
        <w:ind w:firstLine="480" w:firstLineChars="200"/>
        <w:rPr>
          <w:rStyle w:val="46"/>
          <w:rFonts w:hint="eastAsia"/>
          <w:color w:val="auto"/>
          <w:sz w:val="24"/>
          <w:szCs w:val="24"/>
          <w:highlight w:val="none"/>
        </w:rPr>
      </w:pPr>
      <w:r>
        <w:rPr>
          <w:rStyle w:val="46"/>
          <w:rFonts w:hint="eastAsia"/>
          <w:color w:val="auto"/>
          <w:sz w:val="24"/>
          <w:szCs w:val="24"/>
          <w:highlight w:val="none"/>
        </w:rPr>
        <w:t>9.1</w:t>
      </w:r>
      <w:r>
        <w:rPr>
          <w:rStyle w:val="46"/>
          <w:rFonts w:hint="eastAsia" w:eastAsia="仿宋"/>
          <w:color w:val="auto"/>
          <w:sz w:val="24"/>
          <w:szCs w:val="24"/>
          <w:highlight w:val="none"/>
          <w:lang w:val="en-US" w:eastAsia="zh-CN"/>
        </w:rPr>
        <w:t>5</w:t>
      </w:r>
      <w:r>
        <w:rPr>
          <w:rStyle w:val="46"/>
          <w:rFonts w:hint="eastAsia"/>
          <w:color w:val="auto"/>
          <w:sz w:val="24"/>
          <w:szCs w:val="24"/>
          <w:highlight w:val="none"/>
        </w:rPr>
        <w:t>不符合法律、法规和招标文件中规定的其他要求的。</w:t>
      </w:r>
    </w:p>
    <w:p w14:paraId="59C90C00">
      <w:pPr>
        <w:spacing w:line="360" w:lineRule="auto"/>
        <w:ind w:firstLine="480" w:firstLineChars="200"/>
        <w:rPr>
          <w:rStyle w:val="46"/>
          <w:color w:val="auto"/>
          <w:sz w:val="24"/>
          <w:szCs w:val="24"/>
          <w:highlight w:val="none"/>
        </w:rPr>
      </w:pPr>
      <w:r>
        <w:rPr>
          <w:rStyle w:val="46"/>
          <w:rFonts w:hint="eastAsia"/>
          <w:color w:val="auto"/>
          <w:sz w:val="24"/>
          <w:szCs w:val="24"/>
          <w:highlight w:val="none"/>
        </w:rPr>
        <w:t>对投标无效的认定，必须经评标委员会集体做出决定并出具投标无效的事实依据，由投标人法定代表人或者被授权代表签字确认，拒绝签字的，不影响评标委员会做出的决定。</w:t>
      </w:r>
    </w:p>
    <w:p w14:paraId="4424AFF4">
      <w:pPr>
        <w:spacing w:line="360" w:lineRule="auto"/>
        <w:ind w:firstLine="560" w:firstLineChars="200"/>
        <w:outlineLvl w:val="2"/>
        <w:rPr>
          <w:rFonts w:ascii="楷体" w:hAnsi="楷体" w:eastAsia="楷体"/>
          <w:color w:val="auto"/>
          <w:sz w:val="28"/>
          <w:szCs w:val="28"/>
          <w:highlight w:val="none"/>
        </w:rPr>
      </w:pPr>
      <w:bookmarkStart w:id="81" w:name="_Toc432789529"/>
      <w:bookmarkStart w:id="82" w:name="_Toc13987"/>
      <w:r>
        <w:rPr>
          <w:rFonts w:hint="eastAsia" w:ascii="楷体" w:hAnsi="楷体" w:eastAsia="楷体"/>
          <w:color w:val="auto"/>
          <w:sz w:val="28"/>
          <w:szCs w:val="28"/>
          <w:highlight w:val="none"/>
        </w:rPr>
        <w:t>10.废标</w:t>
      </w:r>
      <w:bookmarkEnd w:id="81"/>
      <w:bookmarkEnd w:id="82"/>
    </w:p>
    <w:p w14:paraId="70C76DCC">
      <w:pPr>
        <w:spacing w:line="360" w:lineRule="auto"/>
        <w:ind w:firstLine="480" w:firstLineChars="200"/>
        <w:rPr>
          <w:rStyle w:val="46"/>
          <w:color w:val="auto"/>
          <w:sz w:val="24"/>
          <w:szCs w:val="24"/>
          <w:highlight w:val="none"/>
        </w:rPr>
      </w:pPr>
      <w:r>
        <w:rPr>
          <w:rStyle w:val="46"/>
          <w:rFonts w:hint="eastAsia"/>
          <w:color w:val="auto"/>
          <w:sz w:val="24"/>
          <w:szCs w:val="24"/>
          <w:highlight w:val="none"/>
        </w:rPr>
        <w:t>10.</w:t>
      </w:r>
      <w:r>
        <w:rPr>
          <w:rStyle w:val="46"/>
          <w:color w:val="auto"/>
          <w:sz w:val="24"/>
          <w:szCs w:val="24"/>
          <w:highlight w:val="none"/>
        </w:rPr>
        <w:t>1</w:t>
      </w:r>
      <w:r>
        <w:rPr>
          <w:rStyle w:val="46"/>
          <w:rFonts w:hint="eastAsia"/>
          <w:color w:val="auto"/>
          <w:sz w:val="24"/>
          <w:szCs w:val="24"/>
          <w:highlight w:val="none"/>
        </w:rPr>
        <w:t>出现下列情形之一的，应予废标：</w:t>
      </w:r>
    </w:p>
    <w:p w14:paraId="21DF8BB4">
      <w:pPr>
        <w:spacing w:line="360" w:lineRule="auto"/>
        <w:ind w:firstLine="480" w:firstLineChars="200"/>
        <w:rPr>
          <w:rStyle w:val="46"/>
          <w:rFonts w:hint="eastAsia"/>
          <w:color w:val="auto"/>
          <w:sz w:val="24"/>
          <w:szCs w:val="24"/>
          <w:highlight w:val="none"/>
        </w:rPr>
      </w:pPr>
      <w:r>
        <w:rPr>
          <w:rStyle w:val="46"/>
          <w:rFonts w:hint="eastAsia"/>
          <w:color w:val="auto"/>
          <w:sz w:val="24"/>
          <w:szCs w:val="24"/>
          <w:highlight w:val="none"/>
        </w:rPr>
        <w:t>1</w:t>
      </w:r>
      <w:r>
        <w:rPr>
          <w:rStyle w:val="46"/>
          <w:color w:val="auto"/>
          <w:sz w:val="24"/>
          <w:szCs w:val="24"/>
          <w:highlight w:val="none"/>
        </w:rPr>
        <w:t>0.1.1</w:t>
      </w:r>
      <w:r>
        <w:rPr>
          <w:rStyle w:val="46"/>
          <w:rFonts w:hint="eastAsia"/>
          <w:color w:val="auto"/>
          <w:sz w:val="24"/>
          <w:szCs w:val="24"/>
          <w:highlight w:val="none"/>
        </w:rPr>
        <w:t>在投标截止时间结束后参加投标的投标人不足3家，符合招标文件规定条件的投标人不足3家或者对招标文件作实质性响应的投标人不足3家的；</w:t>
      </w:r>
    </w:p>
    <w:p w14:paraId="4BB09792">
      <w:pPr>
        <w:spacing w:line="360" w:lineRule="auto"/>
        <w:ind w:firstLine="480" w:firstLineChars="200"/>
        <w:rPr>
          <w:rStyle w:val="46"/>
          <w:rFonts w:hint="eastAsia"/>
          <w:color w:val="auto"/>
          <w:sz w:val="24"/>
          <w:szCs w:val="24"/>
          <w:highlight w:val="none"/>
        </w:rPr>
      </w:pPr>
      <w:r>
        <w:rPr>
          <w:rStyle w:val="46"/>
          <w:rFonts w:hint="eastAsia"/>
          <w:color w:val="auto"/>
          <w:sz w:val="24"/>
          <w:szCs w:val="24"/>
          <w:highlight w:val="none"/>
        </w:rPr>
        <w:t>1</w:t>
      </w:r>
      <w:r>
        <w:rPr>
          <w:rStyle w:val="46"/>
          <w:color w:val="auto"/>
          <w:sz w:val="24"/>
          <w:szCs w:val="24"/>
          <w:highlight w:val="none"/>
        </w:rPr>
        <w:t>0.1.2</w:t>
      </w:r>
      <w:r>
        <w:rPr>
          <w:rStyle w:val="46"/>
          <w:rFonts w:hint="eastAsia"/>
          <w:color w:val="auto"/>
          <w:sz w:val="24"/>
          <w:szCs w:val="24"/>
          <w:highlight w:val="none"/>
        </w:rPr>
        <w:t>出现影响采购公正的违法违规行为的；</w:t>
      </w:r>
    </w:p>
    <w:p w14:paraId="0E9E8991">
      <w:pPr>
        <w:spacing w:line="360" w:lineRule="auto"/>
        <w:ind w:firstLine="480" w:firstLineChars="200"/>
        <w:rPr>
          <w:rStyle w:val="46"/>
          <w:rFonts w:hint="eastAsia"/>
          <w:color w:val="auto"/>
          <w:sz w:val="24"/>
          <w:szCs w:val="24"/>
          <w:highlight w:val="none"/>
        </w:rPr>
      </w:pPr>
      <w:r>
        <w:rPr>
          <w:rStyle w:val="46"/>
          <w:rFonts w:hint="eastAsia"/>
          <w:color w:val="auto"/>
          <w:sz w:val="24"/>
          <w:szCs w:val="24"/>
          <w:highlight w:val="none"/>
        </w:rPr>
        <w:t>1</w:t>
      </w:r>
      <w:r>
        <w:rPr>
          <w:rStyle w:val="46"/>
          <w:color w:val="auto"/>
          <w:sz w:val="24"/>
          <w:szCs w:val="24"/>
          <w:highlight w:val="none"/>
        </w:rPr>
        <w:t>0.1.3</w:t>
      </w:r>
      <w:r>
        <w:rPr>
          <w:rStyle w:val="46"/>
          <w:rFonts w:hint="eastAsia"/>
          <w:color w:val="auto"/>
          <w:sz w:val="24"/>
          <w:szCs w:val="24"/>
          <w:highlight w:val="none"/>
        </w:rPr>
        <w:t>投标人的报价均超过采购预算的；</w:t>
      </w:r>
    </w:p>
    <w:p w14:paraId="2F184A7A">
      <w:pPr>
        <w:spacing w:line="360" w:lineRule="auto"/>
        <w:ind w:firstLine="480" w:firstLineChars="200"/>
        <w:rPr>
          <w:rStyle w:val="46"/>
          <w:rFonts w:hint="eastAsia"/>
          <w:color w:val="auto"/>
          <w:sz w:val="24"/>
          <w:szCs w:val="24"/>
          <w:highlight w:val="none"/>
        </w:rPr>
      </w:pPr>
      <w:r>
        <w:rPr>
          <w:rStyle w:val="46"/>
          <w:rFonts w:hint="eastAsia"/>
          <w:color w:val="auto"/>
          <w:sz w:val="24"/>
          <w:szCs w:val="24"/>
          <w:highlight w:val="none"/>
        </w:rPr>
        <w:t>1</w:t>
      </w:r>
      <w:r>
        <w:rPr>
          <w:rStyle w:val="46"/>
          <w:color w:val="auto"/>
          <w:sz w:val="24"/>
          <w:szCs w:val="24"/>
          <w:highlight w:val="none"/>
        </w:rPr>
        <w:t>0.1.4</w:t>
      </w:r>
      <w:r>
        <w:rPr>
          <w:rStyle w:val="46"/>
          <w:rFonts w:hint="eastAsia"/>
          <w:color w:val="auto"/>
          <w:sz w:val="24"/>
          <w:szCs w:val="24"/>
          <w:highlight w:val="none"/>
        </w:rPr>
        <w:t>因重大变故，采购任务取消的；</w:t>
      </w:r>
    </w:p>
    <w:p w14:paraId="28DCC5AC">
      <w:pPr>
        <w:spacing w:line="360" w:lineRule="auto"/>
        <w:ind w:firstLine="480" w:firstLineChars="200"/>
        <w:rPr>
          <w:rStyle w:val="46"/>
          <w:color w:val="auto"/>
          <w:sz w:val="24"/>
          <w:szCs w:val="24"/>
          <w:highlight w:val="none"/>
        </w:rPr>
      </w:pPr>
      <w:r>
        <w:rPr>
          <w:rStyle w:val="46"/>
          <w:rFonts w:hint="eastAsia"/>
          <w:color w:val="auto"/>
          <w:sz w:val="24"/>
          <w:szCs w:val="24"/>
          <w:highlight w:val="none"/>
        </w:rPr>
        <w:t>1</w:t>
      </w:r>
      <w:r>
        <w:rPr>
          <w:rStyle w:val="46"/>
          <w:color w:val="auto"/>
          <w:sz w:val="24"/>
          <w:szCs w:val="24"/>
          <w:highlight w:val="none"/>
        </w:rPr>
        <w:t>0.1.5</w:t>
      </w:r>
      <w:r>
        <w:rPr>
          <w:rStyle w:val="46"/>
          <w:rFonts w:hint="eastAsia"/>
          <w:color w:val="auto"/>
          <w:sz w:val="24"/>
          <w:szCs w:val="24"/>
          <w:highlight w:val="none"/>
        </w:rPr>
        <w:t>法律、法规以及招标文件规定的其他废标情形。</w:t>
      </w:r>
    </w:p>
    <w:p w14:paraId="14131401">
      <w:pPr>
        <w:spacing w:line="360" w:lineRule="auto"/>
        <w:ind w:firstLine="480" w:firstLineChars="200"/>
        <w:rPr>
          <w:rStyle w:val="46"/>
          <w:color w:val="auto"/>
          <w:sz w:val="24"/>
          <w:szCs w:val="24"/>
          <w:highlight w:val="none"/>
        </w:rPr>
      </w:pPr>
      <w:r>
        <w:rPr>
          <w:rStyle w:val="46"/>
          <w:rFonts w:hint="eastAsia"/>
          <w:color w:val="auto"/>
          <w:sz w:val="24"/>
          <w:szCs w:val="24"/>
          <w:highlight w:val="none"/>
        </w:rPr>
        <w:t>10.</w:t>
      </w:r>
      <w:r>
        <w:rPr>
          <w:rStyle w:val="46"/>
          <w:color w:val="auto"/>
          <w:sz w:val="24"/>
          <w:szCs w:val="24"/>
          <w:highlight w:val="none"/>
        </w:rPr>
        <w:t>2</w:t>
      </w:r>
      <w:r>
        <w:rPr>
          <w:rStyle w:val="46"/>
          <w:rFonts w:hint="eastAsia"/>
          <w:color w:val="auto"/>
          <w:sz w:val="24"/>
          <w:szCs w:val="24"/>
          <w:highlight w:val="none"/>
        </w:rPr>
        <w:t>废标后，</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或者代理机构应当将废标理由通知所有投标人。</w:t>
      </w:r>
    </w:p>
    <w:p w14:paraId="395F596D">
      <w:pPr>
        <w:spacing w:line="360" w:lineRule="auto"/>
        <w:ind w:firstLine="560" w:firstLineChars="200"/>
        <w:outlineLvl w:val="2"/>
        <w:rPr>
          <w:rFonts w:ascii="楷体" w:hAnsi="楷体" w:eastAsia="楷体"/>
          <w:color w:val="auto"/>
          <w:sz w:val="28"/>
          <w:szCs w:val="28"/>
          <w:highlight w:val="none"/>
        </w:rPr>
      </w:pPr>
      <w:bookmarkStart w:id="83" w:name="_Toc432789530"/>
      <w:bookmarkStart w:id="84" w:name="_Toc22059"/>
      <w:r>
        <w:rPr>
          <w:rFonts w:hint="eastAsia" w:ascii="楷体" w:hAnsi="楷体" w:eastAsia="楷体"/>
          <w:color w:val="auto"/>
          <w:sz w:val="28"/>
          <w:szCs w:val="28"/>
          <w:highlight w:val="none"/>
        </w:rPr>
        <w:t>11.特殊情况处置程序</w:t>
      </w:r>
      <w:bookmarkEnd w:id="83"/>
      <w:bookmarkEnd w:id="84"/>
    </w:p>
    <w:p w14:paraId="356F4B12">
      <w:pPr>
        <w:spacing w:line="360" w:lineRule="auto"/>
        <w:ind w:firstLine="480" w:firstLineChars="200"/>
        <w:rPr>
          <w:rStyle w:val="46"/>
          <w:color w:val="auto"/>
          <w:sz w:val="24"/>
          <w:szCs w:val="24"/>
          <w:highlight w:val="none"/>
        </w:rPr>
      </w:pPr>
      <w:r>
        <w:rPr>
          <w:rStyle w:val="46"/>
          <w:rFonts w:hint="eastAsia"/>
          <w:color w:val="auto"/>
          <w:sz w:val="24"/>
          <w:szCs w:val="24"/>
          <w:highlight w:val="none"/>
        </w:rPr>
        <w:t>11</w:t>
      </w:r>
      <w:r>
        <w:rPr>
          <w:rStyle w:val="46"/>
          <w:color w:val="auto"/>
          <w:sz w:val="24"/>
          <w:szCs w:val="24"/>
          <w:highlight w:val="none"/>
        </w:rPr>
        <w:t>.1</w:t>
      </w:r>
      <w:r>
        <w:rPr>
          <w:rStyle w:val="46"/>
          <w:rFonts w:hint="eastAsia"/>
          <w:color w:val="auto"/>
          <w:sz w:val="24"/>
          <w:szCs w:val="24"/>
          <w:highlight w:val="none"/>
        </w:rPr>
        <w:t>评标委员会成员的更换</w:t>
      </w:r>
    </w:p>
    <w:p w14:paraId="69E100FE">
      <w:pPr>
        <w:spacing w:line="360" w:lineRule="auto"/>
        <w:ind w:firstLine="480" w:firstLineChars="200"/>
        <w:rPr>
          <w:rStyle w:val="46"/>
          <w:color w:val="auto"/>
          <w:sz w:val="24"/>
          <w:szCs w:val="24"/>
          <w:highlight w:val="none"/>
        </w:rPr>
      </w:pPr>
      <w:r>
        <w:rPr>
          <w:rStyle w:val="46"/>
          <w:rFonts w:hint="eastAsia"/>
          <w:color w:val="auto"/>
          <w:sz w:val="24"/>
          <w:szCs w:val="24"/>
          <w:highlight w:val="none"/>
        </w:rPr>
        <w:t>11.</w:t>
      </w:r>
      <w:r>
        <w:rPr>
          <w:rStyle w:val="46"/>
          <w:color w:val="auto"/>
          <w:sz w:val="24"/>
          <w:szCs w:val="24"/>
          <w:highlight w:val="none"/>
        </w:rPr>
        <w:t>1.1</w:t>
      </w:r>
      <w:r>
        <w:rPr>
          <w:rStyle w:val="46"/>
          <w:rFonts w:hint="eastAsia"/>
          <w:color w:val="auto"/>
          <w:sz w:val="24"/>
          <w:szCs w:val="24"/>
          <w:highlight w:val="none"/>
        </w:rPr>
        <w:t>评标委员会应当执行连续评标的原则，按照招标文件规定的程序、内容、方法、标准完成全部评标工作。出现评审专家临时缺席、回避等情形导致评审现场专家数量不符合法定标准的，</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或者代理机构要按照有关程序及时补抽专家，继续组织评审。如无法及时补齐专家，则要立即停止评审工作，封存招标文件和所有投标文件，择期重新组建评标委员会进行评审。</w:t>
      </w:r>
    </w:p>
    <w:p w14:paraId="4544D1D2">
      <w:pPr>
        <w:spacing w:line="360" w:lineRule="auto"/>
        <w:ind w:firstLine="480" w:firstLineChars="200"/>
        <w:rPr>
          <w:rStyle w:val="46"/>
          <w:color w:val="auto"/>
          <w:sz w:val="24"/>
          <w:szCs w:val="24"/>
          <w:highlight w:val="none"/>
        </w:rPr>
      </w:pPr>
      <w:r>
        <w:rPr>
          <w:rStyle w:val="46"/>
          <w:rFonts w:hint="eastAsia"/>
          <w:color w:val="auto"/>
          <w:sz w:val="24"/>
          <w:szCs w:val="24"/>
          <w:highlight w:val="none"/>
        </w:rPr>
        <w:t>11</w:t>
      </w:r>
      <w:r>
        <w:rPr>
          <w:rStyle w:val="46"/>
          <w:color w:val="auto"/>
          <w:sz w:val="24"/>
          <w:szCs w:val="24"/>
          <w:highlight w:val="none"/>
        </w:rPr>
        <w:t>.1.2</w:t>
      </w:r>
      <w:r>
        <w:rPr>
          <w:rStyle w:val="46"/>
          <w:rFonts w:hint="eastAsia"/>
          <w:color w:val="auto"/>
          <w:sz w:val="24"/>
          <w:szCs w:val="24"/>
          <w:highlight w:val="none"/>
        </w:rPr>
        <w:t>退出评标委员会的成员，其已完成的评审行为无效。由</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提出更换评标委员会成员意见并获准后，根据本招标文件规定的评标委员会成员产生方式另行确定替代者进行评标。</w:t>
      </w:r>
    </w:p>
    <w:p w14:paraId="4320BFE4">
      <w:pPr>
        <w:spacing w:line="360" w:lineRule="auto"/>
        <w:ind w:firstLine="480" w:firstLineChars="200"/>
        <w:rPr>
          <w:rStyle w:val="46"/>
          <w:color w:val="auto"/>
          <w:sz w:val="24"/>
          <w:szCs w:val="24"/>
          <w:highlight w:val="none"/>
        </w:rPr>
      </w:pPr>
      <w:r>
        <w:rPr>
          <w:rStyle w:val="46"/>
          <w:rFonts w:hint="eastAsia"/>
          <w:color w:val="auto"/>
          <w:sz w:val="24"/>
          <w:szCs w:val="24"/>
          <w:highlight w:val="none"/>
        </w:rPr>
        <w:t>11</w:t>
      </w:r>
      <w:r>
        <w:rPr>
          <w:rStyle w:val="46"/>
          <w:color w:val="auto"/>
          <w:sz w:val="24"/>
          <w:szCs w:val="24"/>
          <w:highlight w:val="none"/>
        </w:rPr>
        <w:t>.2</w:t>
      </w:r>
      <w:r>
        <w:rPr>
          <w:rStyle w:val="46"/>
          <w:rFonts w:hint="eastAsia"/>
          <w:color w:val="auto"/>
          <w:sz w:val="24"/>
          <w:szCs w:val="24"/>
          <w:highlight w:val="none"/>
        </w:rPr>
        <w:t>记名投票</w:t>
      </w:r>
    </w:p>
    <w:p w14:paraId="4775E4FE">
      <w:pPr>
        <w:spacing w:line="360" w:lineRule="auto"/>
        <w:ind w:firstLine="480" w:firstLineChars="200"/>
        <w:rPr>
          <w:rStyle w:val="46"/>
          <w:rFonts w:hint="eastAsia"/>
          <w:color w:val="auto"/>
          <w:sz w:val="24"/>
          <w:szCs w:val="24"/>
          <w:highlight w:val="none"/>
        </w:rPr>
      </w:pPr>
      <w:r>
        <w:rPr>
          <w:rStyle w:val="46"/>
          <w:rFonts w:hint="eastAsia"/>
          <w:color w:val="auto"/>
          <w:sz w:val="24"/>
          <w:szCs w:val="24"/>
          <w:highlight w:val="none"/>
        </w:rPr>
        <w:t>在评标过程中，评标委员会发生分歧或者评审结论有异议需表决的，按照少数服从多数的原则，由评标委员会全体成员以记名投票方式表决。</w:t>
      </w:r>
    </w:p>
    <w:p w14:paraId="24415498">
      <w:pPr>
        <w:spacing w:line="360" w:lineRule="auto"/>
        <w:ind w:firstLine="480" w:firstLineChars="200"/>
        <w:rPr>
          <w:rStyle w:val="46"/>
          <w:color w:val="auto"/>
          <w:sz w:val="24"/>
          <w:szCs w:val="24"/>
          <w:highlight w:val="none"/>
        </w:rPr>
      </w:pPr>
      <w:r>
        <w:rPr>
          <w:rStyle w:val="46"/>
          <w:rFonts w:hint="eastAsia"/>
          <w:color w:val="auto"/>
          <w:sz w:val="24"/>
          <w:szCs w:val="24"/>
          <w:highlight w:val="none"/>
        </w:rPr>
        <w:t>11.</w:t>
      </w:r>
      <w:r>
        <w:rPr>
          <w:rStyle w:val="46"/>
          <w:color w:val="auto"/>
          <w:sz w:val="24"/>
          <w:szCs w:val="24"/>
          <w:highlight w:val="none"/>
        </w:rPr>
        <w:t>3</w:t>
      </w:r>
      <w:r>
        <w:rPr>
          <w:rStyle w:val="46"/>
          <w:rFonts w:hint="eastAsia"/>
          <w:color w:val="auto"/>
          <w:sz w:val="24"/>
          <w:szCs w:val="24"/>
          <w:highlight w:val="none"/>
        </w:rPr>
        <w:t>延期开标</w:t>
      </w:r>
    </w:p>
    <w:p w14:paraId="6E9B5F47">
      <w:pPr>
        <w:spacing w:line="360" w:lineRule="auto"/>
        <w:ind w:firstLine="480" w:firstLineChars="200"/>
        <w:rPr>
          <w:rStyle w:val="46"/>
          <w:color w:val="auto"/>
          <w:sz w:val="24"/>
          <w:szCs w:val="24"/>
          <w:highlight w:val="none"/>
        </w:rPr>
      </w:pPr>
      <w:r>
        <w:rPr>
          <w:rStyle w:val="46"/>
          <w:rFonts w:hint="eastAsia"/>
          <w:color w:val="auto"/>
          <w:sz w:val="24"/>
          <w:szCs w:val="24"/>
          <w:highlight w:val="none"/>
        </w:rPr>
        <w:t>因特殊情况需要推迟开标时间的，</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或者代理机构必须提前告知所有参加投标的投标人，否则必须按时开标。</w:t>
      </w:r>
    </w:p>
    <w:p w14:paraId="47530EF2">
      <w:pPr>
        <w:spacing w:line="360" w:lineRule="auto"/>
        <w:ind w:firstLine="560" w:firstLineChars="200"/>
        <w:outlineLvl w:val="2"/>
        <w:rPr>
          <w:rFonts w:ascii="楷体" w:hAnsi="楷体" w:eastAsia="楷体"/>
          <w:color w:val="auto"/>
          <w:sz w:val="28"/>
          <w:szCs w:val="28"/>
          <w:highlight w:val="none"/>
        </w:rPr>
      </w:pPr>
      <w:bookmarkStart w:id="85" w:name="_Toc123"/>
      <w:bookmarkStart w:id="86" w:name="_Toc432789531"/>
      <w:r>
        <w:rPr>
          <w:rFonts w:hint="eastAsia" w:ascii="楷体" w:hAnsi="楷体" w:eastAsia="楷体"/>
          <w:color w:val="auto"/>
          <w:sz w:val="28"/>
          <w:szCs w:val="28"/>
          <w:highlight w:val="none"/>
        </w:rPr>
        <w:t>12.违法违规情形</w:t>
      </w:r>
      <w:bookmarkEnd w:id="85"/>
      <w:bookmarkEnd w:id="86"/>
    </w:p>
    <w:p w14:paraId="0B568214">
      <w:pPr>
        <w:spacing w:line="360" w:lineRule="auto"/>
        <w:ind w:firstLine="480" w:firstLineChars="200"/>
        <w:rPr>
          <w:rStyle w:val="46"/>
          <w:color w:val="auto"/>
          <w:sz w:val="24"/>
          <w:szCs w:val="24"/>
          <w:highlight w:val="none"/>
        </w:rPr>
      </w:pPr>
      <w:r>
        <w:rPr>
          <w:rStyle w:val="46"/>
          <w:rFonts w:hint="eastAsia"/>
          <w:color w:val="auto"/>
          <w:sz w:val="24"/>
          <w:szCs w:val="24"/>
          <w:highlight w:val="none"/>
        </w:rPr>
        <w:t>12</w:t>
      </w:r>
      <w:r>
        <w:rPr>
          <w:rStyle w:val="46"/>
          <w:color w:val="auto"/>
          <w:sz w:val="24"/>
          <w:szCs w:val="24"/>
          <w:highlight w:val="none"/>
        </w:rPr>
        <w:t>.1</w:t>
      </w:r>
      <w:r>
        <w:rPr>
          <w:rStyle w:val="46"/>
          <w:rFonts w:hint="eastAsia"/>
          <w:color w:val="auto"/>
          <w:sz w:val="24"/>
          <w:szCs w:val="24"/>
          <w:highlight w:val="none"/>
        </w:rPr>
        <w:t>有下列情形之一的，属于投标人相互串通投标：</w:t>
      </w:r>
    </w:p>
    <w:p w14:paraId="7A977037">
      <w:pPr>
        <w:spacing w:line="360" w:lineRule="auto"/>
        <w:ind w:firstLine="480" w:firstLineChars="200"/>
        <w:rPr>
          <w:rStyle w:val="46"/>
          <w:color w:val="auto"/>
          <w:sz w:val="24"/>
          <w:szCs w:val="24"/>
          <w:highlight w:val="none"/>
        </w:rPr>
      </w:pPr>
      <w:r>
        <w:rPr>
          <w:rStyle w:val="46"/>
          <w:rFonts w:hint="eastAsia"/>
          <w:color w:val="auto"/>
          <w:sz w:val="24"/>
          <w:szCs w:val="24"/>
          <w:highlight w:val="none"/>
        </w:rPr>
        <w:t>12</w:t>
      </w:r>
      <w:r>
        <w:rPr>
          <w:rStyle w:val="46"/>
          <w:color w:val="auto"/>
          <w:sz w:val="24"/>
          <w:szCs w:val="24"/>
          <w:highlight w:val="none"/>
        </w:rPr>
        <w:t>.1.1</w:t>
      </w:r>
      <w:r>
        <w:rPr>
          <w:rStyle w:val="46"/>
          <w:rFonts w:hint="eastAsia"/>
          <w:color w:val="auto"/>
          <w:sz w:val="24"/>
          <w:szCs w:val="24"/>
          <w:highlight w:val="none"/>
        </w:rPr>
        <w:t>投标人之间协商投标报价等投标文件的实质性内容；</w:t>
      </w:r>
    </w:p>
    <w:p w14:paraId="3364B631">
      <w:pPr>
        <w:spacing w:line="360" w:lineRule="auto"/>
        <w:ind w:firstLine="480" w:firstLineChars="200"/>
        <w:rPr>
          <w:rStyle w:val="46"/>
          <w:color w:val="auto"/>
          <w:sz w:val="24"/>
          <w:szCs w:val="24"/>
          <w:highlight w:val="none"/>
        </w:rPr>
      </w:pPr>
      <w:r>
        <w:rPr>
          <w:rStyle w:val="46"/>
          <w:color w:val="auto"/>
          <w:sz w:val="24"/>
          <w:szCs w:val="24"/>
          <w:highlight w:val="none"/>
        </w:rPr>
        <w:t>12.1.2</w:t>
      </w:r>
      <w:r>
        <w:rPr>
          <w:rStyle w:val="46"/>
          <w:rFonts w:hint="eastAsia"/>
          <w:color w:val="auto"/>
          <w:sz w:val="24"/>
          <w:szCs w:val="24"/>
          <w:highlight w:val="none"/>
        </w:rPr>
        <w:t>投标人之间约定中标人；</w:t>
      </w:r>
    </w:p>
    <w:p w14:paraId="68E31956">
      <w:pPr>
        <w:spacing w:line="360" w:lineRule="auto"/>
        <w:ind w:firstLine="480" w:firstLineChars="200"/>
        <w:rPr>
          <w:rStyle w:val="46"/>
          <w:color w:val="auto"/>
          <w:sz w:val="24"/>
          <w:szCs w:val="24"/>
          <w:highlight w:val="none"/>
        </w:rPr>
      </w:pPr>
      <w:r>
        <w:rPr>
          <w:rStyle w:val="46"/>
          <w:color w:val="auto"/>
          <w:sz w:val="24"/>
          <w:szCs w:val="24"/>
          <w:highlight w:val="none"/>
        </w:rPr>
        <w:t>12.1.3</w:t>
      </w:r>
      <w:r>
        <w:rPr>
          <w:rStyle w:val="46"/>
          <w:rFonts w:hint="eastAsia"/>
          <w:color w:val="auto"/>
          <w:sz w:val="24"/>
          <w:szCs w:val="24"/>
          <w:highlight w:val="none"/>
        </w:rPr>
        <w:t>投标人之间约定部分投标人放弃投标或者中标；</w:t>
      </w:r>
    </w:p>
    <w:p w14:paraId="03EDCDC3">
      <w:pPr>
        <w:spacing w:line="360" w:lineRule="auto"/>
        <w:ind w:firstLine="480" w:firstLineChars="200"/>
        <w:rPr>
          <w:rStyle w:val="46"/>
          <w:color w:val="auto"/>
          <w:sz w:val="24"/>
          <w:szCs w:val="24"/>
          <w:highlight w:val="none"/>
        </w:rPr>
      </w:pPr>
      <w:r>
        <w:rPr>
          <w:rStyle w:val="46"/>
          <w:color w:val="auto"/>
          <w:sz w:val="24"/>
          <w:szCs w:val="24"/>
          <w:highlight w:val="none"/>
        </w:rPr>
        <w:t>12.1.4</w:t>
      </w:r>
      <w:r>
        <w:rPr>
          <w:rStyle w:val="46"/>
          <w:rFonts w:hint="eastAsia"/>
          <w:color w:val="auto"/>
          <w:sz w:val="24"/>
          <w:szCs w:val="24"/>
          <w:highlight w:val="none"/>
        </w:rPr>
        <w:t>属于同一集团、协会、商会等组织成员的投标人按照该组织要求协同投标；</w:t>
      </w:r>
    </w:p>
    <w:p w14:paraId="7E2C8CCD">
      <w:pPr>
        <w:spacing w:line="360" w:lineRule="auto"/>
        <w:ind w:firstLine="480" w:firstLineChars="200"/>
        <w:rPr>
          <w:rStyle w:val="46"/>
          <w:color w:val="auto"/>
          <w:sz w:val="24"/>
          <w:szCs w:val="24"/>
          <w:highlight w:val="none"/>
        </w:rPr>
      </w:pPr>
      <w:r>
        <w:rPr>
          <w:rStyle w:val="46"/>
          <w:color w:val="auto"/>
          <w:sz w:val="24"/>
          <w:szCs w:val="24"/>
          <w:highlight w:val="none"/>
        </w:rPr>
        <w:t>12.1.5</w:t>
      </w:r>
      <w:r>
        <w:rPr>
          <w:rStyle w:val="46"/>
          <w:rFonts w:hint="eastAsia"/>
          <w:color w:val="auto"/>
          <w:sz w:val="24"/>
          <w:szCs w:val="24"/>
          <w:highlight w:val="none"/>
        </w:rPr>
        <w:t>投标人之间为谋取中标或者排斥特定投标人而采取的其他联合行动。</w:t>
      </w:r>
    </w:p>
    <w:p w14:paraId="1609E687">
      <w:pPr>
        <w:spacing w:line="360" w:lineRule="auto"/>
        <w:ind w:firstLine="480" w:firstLineChars="200"/>
        <w:rPr>
          <w:rStyle w:val="46"/>
          <w:color w:val="auto"/>
          <w:sz w:val="24"/>
          <w:szCs w:val="24"/>
          <w:highlight w:val="none"/>
        </w:rPr>
      </w:pPr>
      <w:r>
        <w:rPr>
          <w:rStyle w:val="46"/>
          <w:color w:val="auto"/>
          <w:sz w:val="24"/>
          <w:szCs w:val="24"/>
          <w:highlight w:val="none"/>
        </w:rPr>
        <w:t>12.2</w:t>
      </w:r>
      <w:r>
        <w:rPr>
          <w:rStyle w:val="46"/>
          <w:rFonts w:hint="eastAsia"/>
          <w:color w:val="auto"/>
          <w:sz w:val="24"/>
          <w:szCs w:val="24"/>
          <w:highlight w:val="none"/>
        </w:rPr>
        <w:t>有下列情形之一的，视为投标人相互串通投标，评标委员会应当出具违法违规认定意见并作投标无效处理：</w:t>
      </w:r>
    </w:p>
    <w:p w14:paraId="15C5816E">
      <w:pPr>
        <w:spacing w:line="360" w:lineRule="auto"/>
        <w:ind w:firstLine="480" w:firstLineChars="200"/>
        <w:rPr>
          <w:rStyle w:val="46"/>
          <w:color w:val="auto"/>
          <w:sz w:val="24"/>
          <w:szCs w:val="24"/>
          <w:highlight w:val="none"/>
        </w:rPr>
      </w:pPr>
      <w:r>
        <w:rPr>
          <w:rStyle w:val="46"/>
          <w:color w:val="auto"/>
          <w:sz w:val="24"/>
          <w:szCs w:val="24"/>
          <w:highlight w:val="none"/>
        </w:rPr>
        <w:t>12.2.1</w:t>
      </w:r>
      <w:r>
        <w:rPr>
          <w:rStyle w:val="46"/>
          <w:rFonts w:hint="eastAsia"/>
          <w:color w:val="auto"/>
          <w:sz w:val="24"/>
          <w:szCs w:val="24"/>
          <w:highlight w:val="none"/>
        </w:rPr>
        <w:t>不同投标人的投标文件由同一单位或者个人编制；</w:t>
      </w:r>
    </w:p>
    <w:p w14:paraId="01F01B93">
      <w:pPr>
        <w:spacing w:line="360" w:lineRule="auto"/>
        <w:ind w:firstLine="480" w:firstLineChars="200"/>
        <w:rPr>
          <w:rStyle w:val="46"/>
          <w:color w:val="auto"/>
          <w:sz w:val="24"/>
          <w:szCs w:val="24"/>
          <w:highlight w:val="none"/>
        </w:rPr>
      </w:pPr>
      <w:r>
        <w:rPr>
          <w:rStyle w:val="46"/>
          <w:color w:val="auto"/>
          <w:sz w:val="24"/>
          <w:szCs w:val="24"/>
          <w:highlight w:val="none"/>
        </w:rPr>
        <w:t>12.2.2</w:t>
      </w:r>
      <w:r>
        <w:rPr>
          <w:rStyle w:val="46"/>
          <w:rFonts w:hint="eastAsia"/>
          <w:color w:val="auto"/>
          <w:sz w:val="24"/>
          <w:szCs w:val="24"/>
          <w:highlight w:val="none"/>
        </w:rPr>
        <w:t>不同投标人委托同一单位或者个人办理投标事宜；</w:t>
      </w:r>
    </w:p>
    <w:p w14:paraId="595F0349">
      <w:pPr>
        <w:spacing w:line="360" w:lineRule="auto"/>
        <w:ind w:firstLine="480" w:firstLineChars="200"/>
        <w:rPr>
          <w:rStyle w:val="46"/>
          <w:color w:val="auto"/>
          <w:sz w:val="24"/>
          <w:szCs w:val="24"/>
          <w:highlight w:val="none"/>
        </w:rPr>
      </w:pPr>
      <w:r>
        <w:rPr>
          <w:rStyle w:val="46"/>
          <w:color w:val="auto"/>
          <w:sz w:val="24"/>
          <w:szCs w:val="24"/>
          <w:highlight w:val="none"/>
        </w:rPr>
        <w:t>12.2.3</w:t>
      </w:r>
      <w:r>
        <w:rPr>
          <w:rStyle w:val="46"/>
          <w:rFonts w:hint="eastAsia"/>
          <w:color w:val="auto"/>
          <w:sz w:val="24"/>
          <w:szCs w:val="24"/>
          <w:highlight w:val="none"/>
        </w:rPr>
        <w:t>不同投标人的投标文件载明的项目管理成员为同一人；</w:t>
      </w:r>
    </w:p>
    <w:p w14:paraId="15FCB5D9">
      <w:pPr>
        <w:spacing w:line="360" w:lineRule="auto"/>
        <w:ind w:firstLine="480" w:firstLineChars="200"/>
        <w:rPr>
          <w:rStyle w:val="46"/>
          <w:color w:val="auto"/>
          <w:sz w:val="24"/>
          <w:szCs w:val="24"/>
          <w:highlight w:val="none"/>
        </w:rPr>
      </w:pPr>
      <w:r>
        <w:rPr>
          <w:rStyle w:val="46"/>
          <w:color w:val="auto"/>
          <w:sz w:val="24"/>
          <w:szCs w:val="24"/>
          <w:highlight w:val="none"/>
        </w:rPr>
        <w:t>12.2.4</w:t>
      </w:r>
      <w:r>
        <w:rPr>
          <w:rStyle w:val="46"/>
          <w:rFonts w:hint="eastAsia"/>
          <w:color w:val="auto"/>
          <w:sz w:val="24"/>
          <w:szCs w:val="24"/>
          <w:highlight w:val="none"/>
        </w:rPr>
        <w:t>不同投标人的投标文件异常一致或者投标报价呈规律性差异；</w:t>
      </w:r>
    </w:p>
    <w:p w14:paraId="79B869FA">
      <w:pPr>
        <w:spacing w:line="360" w:lineRule="auto"/>
        <w:ind w:firstLine="480" w:firstLineChars="200"/>
        <w:rPr>
          <w:rStyle w:val="46"/>
          <w:rFonts w:hint="eastAsia"/>
          <w:color w:val="auto"/>
          <w:sz w:val="24"/>
          <w:szCs w:val="24"/>
          <w:highlight w:val="none"/>
        </w:rPr>
      </w:pPr>
      <w:r>
        <w:rPr>
          <w:rStyle w:val="46"/>
          <w:color w:val="auto"/>
          <w:sz w:val="24"/>
          <w:szCs w:val="24"/>
          <w:highlight w:val="none"/>
        </w:rPr>
        <w:t>12.2.5</w:t>
      </w:r>
      <w:r>
        <w:rPr>
          <w:rStyle w:val="46"/>
          <w:rFonts w:hint="eastAsia"/>
          <w:color w:val="auto"/>
          <w:sz w:val="24"/>
          <w:szCs w:val="24"/>
          <w:highlight w:val="none"/>
        </w:rPr>
        <w:t>不同投标人的投标文件相互混装。</w:t>
      </w:r>
    </w:p>
    <w:p w14:paraId="7696AB12">
      <w:pPr>
        <w:spacing w:line="360" w:lineRule="auto"/>
        <w:ind w:firstLine="480" w:firstLineChars="200"/>
        <w:rPr>
          <w:rStyle w:val="46"/>
          <w:color w:val="auto"/>
          <w:sz w:val="24"/>
          <w:szCs w:val="24"/>
          <w:highlight w:val="none"/>
        </w:rPr>
      </w:pPr>
      <w:r>
        <w:rPr>
          <w:rStyle w:val="46"/>
          <w:color w:val="auto"/>
          <w:sz w:val="24"/>
          <w:szCs w:val="24"/>
          <w:highlight w:val="none"/>
        </w:rPr>
        <w:t>12.3</w:t>
      </w:r>
      <w:r>
        <w:rPr>
          <w:rStyle w:val="46"/>
          <w:rFonts w:hint="eastAsia"/>
          <w:color w:val="auto"/>
          <w:sz w:val="24"/>
          <w:szCs w:val="24"/>
          <w:highlight w:val="none"/>
        </w:rPr>
        <w:t>有下列情形之一的，属于</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与投标人串通投标：</w:t>
      </w:r>
    </w:p>
    <w:p w14:paraId="3F9B5F1D">
      <w:pPr>
        <w:spacing w:line="360" w:lineRule="auto"/>
        <w:ind w:firstLine="480" w:firstLineChars="200"/>
        <w:rPr>
          <w:rStyle w:val="46"/>
          <w:color w:val="auto"/>
          <w:sz w:val="24"/>
          <w:szCs w:val="24"/>
          <w:highlight w:val="none"/>
        </w:rPr>
      </w:pPr>
      <w:r>
        <w:rPr>
          <w:rStyle w:val="46"/>
          <w:color w:val="auto"/>
          <w:sz w:val="24"/>
          <w:szCs w:val="24"/>
          <w:highlight w:val="none"/>
        </w:rPr>
        <w:t>12.3.1</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在开标前开启投标文件并将有关信息泄露给其他投标人</w:t>
      </w:r>
      <w:r>
        <w:rPr>
          <w:rStyle w:val="46"/>
          <w:color w:val="auto"/>
          <w:sz w:val="24"/>
          <w:szCs w:val="24"/>
          <w:highlight w:val="none"/>
        </w:rPr>
        <w:t>；</w:t>
      </w:r>
    </w:p>
    <w:p w14:paraId="6B053E6E">
      <w:pPr>
        <w:spacing w:line="360" w:lineRule="auto"/>
        <w:ind w:firstLine="480" w:firstLineChars="200"/>
        <w:rPr>
          <w:rStyle w:val="46"/>
          <w:color w:val="auto"/>
          <w:sz w:val="24"/>
          <w:szCs w:val="24"/>
          <w:highlight w:val="none"/>
        </w:rPr>
      </w:pPr>
      <w:r>
        <w:rPr>
          <w:rStyle w:val="46"/>
          <w:color w:val="auto"/>
          <w:sz w:val="24"/>
          <w:szCs w:val="24"/>
          <w:highlight w:val="none"/>
        </w:rPr>
        <w:t>12.3.2</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直接或者间接向投标人泄露标底、评标委员会成员等信息；</w:t>
      </w:r>
    </w:p>
    <w:p w14:paraId="32073149">
      <w:pPr>
        <w:spacing w:line="360" w:lineRule="auto"/>
        <w:ind w:firstLine="480" w:firstLineChars="200"/>
        <w:rPr>
          <w:rStyle w:val="46"/>
          <w:color w:val="auto"/>
          <w:sz w:val="24"/>
          <w:szCs w:val="24"/>
          <w:highlight w:val="none"/>
        </w:rPr>
      </w:pPr>
      <w:r>
        <w:rPr>
          <w:rStyle w:val="46"/>
          <w:color w:val="auto"/>
          <w:sz w:val="24"/>
          <w:szCs w:val="24"/>
          <w:highlight w:val="none"/>
        </w:rPr>
        <w:t>12.3.3</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明示或者暗示投标人压低或者抬高投标报价；</w:t>
      </w:r>
    </w:p>
    <w:p w14:paraId="2B6500C4">
      <w:pPr>
        <w:spacing w:line="360" w:lineRule="auto"/>
        <w:ind w:firstLine="480" w:firstLineChars="200"/>
        <w:rPr>
          <w:rStyle w:val="46"/>
          <w:color w:val="auto"/>
          <w:sz w:val="24"/>
          <w:szCs w:val="24"/>
          <w:highlight w:val="none"/>
        </w:rPr>
      </w:pPr>
      <w:r>
        <w:rPr>
          <w:rStyle w:val="46"/>
          <w:color w:val="auto"/>
          <w:sz w:val="24"/>
          <w:szCs w:val="24"/>
          <w:highlight w:val="none"/>
        </w:rPr>
        <w:t>12.3.4</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授意投标人撤换、修改投标文件；</w:t>
      </w:r>
    </w:p>
    <w:p w14:paraId="65AC8DBE">
      <w:pPr>
        <w:spacing w:line="360" w:lineRule="auto"/>
        <w:ind w:firstLine="480" w:firstLineChars="200"/>
        <w:rPr>
          <w:rStyle w:val="46"/>
          <w:color w:val="auto"/>
          <w:sz w:val="24"/>
          <w:szCs w:val="24"/>
          <w:highlight w:val="none"/>
        </w:rPr>
      </w:pPr>
      <w:r>
        <w:rPr>
          <w:rStyle w:val="46"/>
          <w:color w:val="auto"/>
          <w:sz w:val="24"/>
          <w:szCs w:val="24"/>
          <w:highlight w:val="none"/>
        </w:rPr>
        <w:t>12.3.5</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明示或者暗示投标人为特定投标人中标提供方便；</w:t>
      </w:r>
    </w:p>
    <w:p w14:paraId="1037D5C6">
      <w:pPr>
        <w:spacing w:line="360" w:lineRule="auto"/>
        <w:ind w:firstLine="480" w:firstLineChars="200"/>
        <w:rPr>
          <w:rStyle w:val="46"/>
          <w:rFonts w:hint="eastAsia"/>
          <w:color w:val="auto"/>
          <w:sz w:val="24"/>
          <w:szCs w:val="24"/>
          <w:highlight w:val="none"/>
        </w:rPr>
      </w:pPr>
      <w:r>
        <w:rPr>
          <w:rStyle w:val="46"/>
          <w:color w:val="auto"/>
          <w:sz w:val="24"/>
          <w:szCs w:val="24"/>
          <w:highlight w:val="none"/>
        </w:rPr>
        <w:t>12.3.6</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与投标人为谋求特定投标人中标而采取的其他串通行为。</w:t>
      </w:r>
    </w:p>
    <w:p w14:paraId="16FC88DE">
      <w:pPr>
        <w:spacing w:line="360" w:lineRule="auto"/>
        <w:ind w:firstLine="482" w:firstLineChars="200"/>
        <w:rPr>
          <w:rStyle w:val="46"/>
          <w:rFonts w:hint="eastAsia"/>
          <w:b/>
          <w:color w:val="auto"/>
          <w:sz w:val="24"/>
          <w:szCs w:val="24"/>
          <w:highlight w:val="none"/>
        </w:rPr>
      </w:pPr>
      <w:r>
        <w:rPr>
          <w:rStyle w:val="46"/>
          <w:rFonts w:hint="eastAsia"/>
          <w:b/>
          <w:color w:val="auto"/>
          <w:sz w:val="24"/>
          <w:szCs w:val="24"/>
          <w:highlight w:val="none"/>
        </w:rPr>
        <w:t>在开标、评标过程中发现以上违法违规情形的，首先由评标委员会作出认定，对认定确有以上违法违规情形的投标人，按无效投标处理，再进入正常评标程序。</w:t>
      </w:r>
    </w:p>
    <w:p w14:paraId="795C8FA3">
      <w:pPr>
        <w:spacing w:line="360" w:lineRule="auto"/>
        <w:ind w:firstLine="560" w:firstLineChars="200"/>
        <w:outlineLvl w:val="2"/>
        <w:rPr>
          <w:rFonts w:ascii="楷体" w:hAnsi="楷体" w:eastAsia="楷体"/>
          <w:color w:val="auto"/>
          <w:sz w:val="28"/>
          <w:szCs w:val="28"/>
          <w:highlight w:val="none"/>
        </w:rPr>
      </w:pPr>
      <w:bookmarkStart w:id="87" w:name="_Toc432789532"/>
      <w:bookmarkStart w:id="88" w:name="_Toc18495"/>
      <w:r>
        <w:rPr>
          <w:rFonts w:ascii="楷体" w:hAnsi="楷体" w:eastAsia="楷体"/>
          <w:color w:val="auto"/>
          <w:sz w:val="28"/>
          <w:szCs w:val="28"/>
          <w:highlight w:val="none"/>
        </w:rPr>
        <w:t>13</w:t>
      </w:r>
      <w:r>
        <w:rPr>
          <w:rFonts w:hint="eastAsia" w:ascii="楷体" w:hAnsi="楷体" w:eastAsia="楷体"/>
          <w:color w:val="auto"/>
          <w:sz w:val="28"/>
          <w:szCs w:val="28"/>
          <w:highlight w:val="none"/>
        </w:rPr>
        <w:t>.违规处理</w:t>
      </w:r>
      <w:bookmarkEnd w:id="87"/>
      <w:bookmarkEnd w:id="88"/>
    </w:p>
    <w:p w14:paraId="309E21A2">
      <w:pPr>
        <w:spacing w:line="360" w:lineRule="auto"/>
        <w:ind w:firstLine="480" w:firstLineChars="200"/>
        <w:rPr>
          <w:rStyle w:val="46"/>
          <w:color w:val="auto"/>
          <w:sz w:val="24"/>
          <w:szCs w:val="24"/>
          <w:highlight w:val="none"/>
        </w:rPr>
      </w:pPr>
      <w:r>
        <w:rPr>
          <w:rStyle w:val="46"/>
          <w:rFonts w:hint="eastAsia"/>
          <w:color w:val="auto"/>
          <w:sz w:val="24"/>
          <w:szCs w:val="24"/>
          <w:highlight w:val="none"/>
        </w:rPr>
        <w:t>投标人有下列情形之一的，列入不良行为记录名单，在一至三年内禁止参加</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处采购活动：</w:t>
      </w:r>
    </w:p>
    <w:p w14:paraId="475D3B7C">
      <w:pPr>
        <w:spacing w:line="360" w:lineRule="auto"/>
        <w:ind w:firstLine="480" w:firstLineChars="200"/>
        <w:rPr>
          <w:rStyle w:val="46"/>
          <w:color w:val="auto"/>
          <w:sz w:val="24"/>
          <w:szCs w:val="24"/>
          <w:highlight w:val="none"/>
        </w:rPr>
      </w:pPr>
      <w:r>
        <w:rPr>
          <w:rStyle w:val="46"/>
          <w:color w:val="auto"/>
          <w:sz w:val="24"/>
          <w:szCs w:val="24"/>
          <w:highlight w:val="none"/>
        </w:rPr>
        <w:t>13.1</w:t>
      </w:r>
      <w:r>
        <w:rPr>
          <w:rStyle w:val="46"/>
          <w:rFonts w:hint="eastAsia"/>
          <w:color w:val="auto"/>
          <w:sz w:val="24"/>
          <w:szCs w:val="24"/>
          <w:highlight w:val="none"/>
        </w:rPr>
        <w:t>提供虚假投标材料谋取中标、成交的；</w:t>
      </w:r>
    </w:p>
    <w:p w14:paraId="158BF912">
      <w:pPr>
        <w:spacing w:line="360" w:lineRule="auto"/>
        <w:ind w:firstLine="480" w:firstLineChars="200"/>
        <w:rPr>
          <w:rStyle w:val="46"/>
          <w:color w:val="auto"/>
          <w:sz w:val="24"/>
          <w:szCs w:val="24"/>
          <w:highlight w:val="none"/>
        </w:rPr>
      </w:pPr>
      <w:r>
        <w:rPr>
          <w:rStyle w:val="46"/>
          <w:color w:val="auto"/>
          <w:sz w:val="24"/>
          <w:szCs w:val="24"/>
          <w:highlight w:val="none"/>
        </w:rPr>
        <w:t>13.2</w:t>
      </w:r>
      <w:r>
        <w:rPr>
          <w:rStyle w:val="46"/>
          <w:rFonts w:hint="eastAsia"/>
          <w:color w:val="auto"/>
          <w:sz w:val="24"/>
          <w:szCs w:val="24"/>
          <w:highlight w:val="none"/>
        </w:rPr>
        <w:t>采取不正当手段诋毁、排挤其他投标人的；</w:t>
      </w:r>
    </w:p>
    <w:p w14:paraId="1CAD37A2">
      <w:pPr>
        <w:spacing w:line="360" w:lineRule="auto"/>
        <w:ind w:firstLine="480" w:firstLineChars="200"/>
        <w:rPr>
          <w:rStyle w:val="46"/>
          <w:color w:val="auto"/>
          <w:sz w:val="24"/>
          <w:szCs w:val="24"/>
          <w:highlight w:val="none"/>
        </w:rPr>
      </w:pPr>
      <w:r>
        <w:rPr>
          <w:rStyle w:val="46"/>
          <w:color w:val="auto"/>
          <w:sz w:val="24"/>
          <w:szCs w:val="24"/>
          <w:highlight w:val="none"/>
        </w:rPr>
        <w:t>13.3</w:t>
      </w:r>
      <w:r>
        <w:rPr>
          <w:rStyle w:val="46"/>
          <w:rFonts w:hint="eastAsia"/>
          <w:color w:val="auto"/>
          <w:sz w:val="24"/>
          <w:szCs w:val="24"/>
          <w:highlight w:val="none"/>
        </w:rPr>
        <w:t>与</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、其他投标人或者代理机构恶意串通的；</w:t>
      </w:r>
    </w:p>
    <w:p w14:paraId="40FFEF37">
      <w:pPr>
        <w:spacing w:line="360" w:lineRule="auto"/>
        <w:ind w:firstLine="480" w:firstLineChars="200"/>
        <w:rPr>
          <w:rStyle w:val="46"/>
          <w:color w:val="auto"/>
          <w:sz w:val="24"/>
          <w:szCs w:val="24"/>
          <w:highlight w:val="none"/>
        </w:rPr>
      </w:pPr>
      <w:r>
        <w:rPr>
          <w:rStyle w:val="46"/>
          <w:color w:val="auto"/>
          <w:sz w:val="24"/>
          <w:szCs w:val="24"/>
          <w:highlight w:val="none"/>
        </w:rPr>
        <w:t>13.4</w:t>
      </w:r>
      <w:r>
        <w:rPr>
          <w:rStyle w:val="46"/>
          <w:rFonts w:hint="eastAsia"/>
          <w:color w:val="auto"/>
          <w:sz w:val="24"/>
          <w:szCs w:val="24"/>
          <w:highlight w:val="none"/>
        </w:rPr>
        <w:t>向</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、代理机构行贿或者提供其他不正当利益的；</w:t>
      </w:r>
    </w:p>
    <w:p w14:paraId="0778A6F8">
      <w:pPr>
        <w:spacing w:line="360" w:lineRule="auto"/>
        <w:ind w:firstLine="480" w:firstLineChars="200"/>
        <w:rPr>
          <w:rStyle w:val="46"/>
          <w:color w:val="auto"/>
          <w:sz w:val="24"/>
          <w:szCs w:val="24"/>
          <w:highlight w:val="none"/>
        </w:rPr>
      </w:pPr>
      <w:r>
        <w:rPr>
          <w:rStyle w:val="46"/>
          <w:color w:val="auto"/>
          <w:sz w:val="24"/>
          <w:szCs w:val="24"/>
          <w:highlight w:val="none"/>
        </w:rPr>
        <w:t>13.5</w:t>
      </w:r>
      <w:r>
        <w:rPr>
          <w:rStyle w:val="46"/>
          <w:rFonts w:hint="eastAsia"/>
          <w:color w:val="auto"/>
          <w:sz w:val="24"/>
          <w:szCs w:val="24"/>
          <w:highlight w:val="none"/>
        </w:rPr>
        <w:t>在招标采购过程中与</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进行协商谈判的；</w:t>
      </w:r>
    </w:p>
    <w:p w14:paraId="4B929B6A">
      <w:pPr>
        <w:spacing w:line="360" w:lineRule="auto"/>
        <w:ind w:firstLine="480" w:firstLineChars="200"/>
        <w:rPr>
          <w:rStyle w:val="46"/>
          <w:color w:val="auto"/>
          <w:sz w:val="24"/>
          <w:szCs w:val="24"/>
          <w:highlight w:val="none"/>
        </w:rPr>
      </w:pPr>
      <w:r>
        <w:rPr>
          <w:rStyle w:val="46"/>
          <w:color w:val="auto"/>
          <w:sz w:val="24"/>
          <w:szCs w:val="24"/>
          <w:highlight w:val="none"/>
        </w:rPr>
        <w:t>13.</w:t>
      </w:r>
      <w:r>
        <w:rPr>
          <w:rStyle w:val="46"/>
          <w:rFonts w:hint="eastAsia"/>
          <w:color w:val="auto"/>
          <w:sz w:val="24"/>
          <w:szCs w:val="24"/>
          <w:highlight w:val="none"/>
        </w:rPr>
        <w:t>6一年内累计三次以上投诉均查无实据，并带有明显故意行为的；</w:t>
      </w:r>
    </w:p>
    <w:p w14:paraId="64457520">
      <w:pPr>
        <w:spacing w:line="360" w:lineRule="auto"/>
        <w:ind w:firstLine="480" w:firstLineChars="200"/>
        <w:rPr>
          <w:rStyle w:val="46"/>
          <w:color w:val="auto"/>
          <w:sz w:val="24"/>
          <w:szCs w:val="24"/>
          <w:highlight w:val="none"/>
        </w:rPr>
      </w:pPr>
      <w:r>
        <w:rPr>
          <w:rStyle w:val="46"/>
          <w:color w:val="auto"/>
          <w:sz w:val="24"/>
          <w:szCs w:val="24"/>
          <w:highlight w:val="none"/>
        </w:rPr>
        <w:t>13.</w:t>
      </w:r>
      <w:r>
        <w:rPr>
          <w:rStyle w:val="46"/>
          <w:rFonts w:hint="eastAsia"/>
          <w:color w:val="auto"/>
          <w:sz w:val="24"/>
          <w:szCs w:val="24"/>
          <w:highlight w:val="none"/>
        </w:rPr>
        <w:t>7捏造事实或者提供虚假投诉材料的；</w:t>
      </w:r>
    </w:p>
    <w:p w14:paraId="3D45BD74">
      <w:pPr>
        <w:spacing w:line="360" w:lineRule="auto"/>
        <w:ind w:firstLine="480" w:firstLineChars="200"/>
        <w:rPr>
          <w:rStyle w:val="46"/>
          <w:color w:val="auto"/>
          <w:sz w:val="24"/>
          <w:szCs w:val="24"/>
          <w:highlight w:val="none"/>
        </w:rPr>
      </w:pPr>
      <w:r>
        <w:rPr>
          <w:rStyle w:val="46"/>
          <w:color w:val="auto"/>
          <w:sz w:val="24"/>
          <w:szCs w:val="24"/>
          <w:highlight w:val="none"/>
        </w:rPr>
        <w:t>13.</w:t>
      </w:r>
      <w:r>
        <w:rPr>
          <w:rStyle w:val="46"/>
          <w:rFonts w:hint="eastAsia"/>
          <w:color w:val="auto"/>
          <w:sz w:val="24"/>
          <w:szCs w:val="24"/>
          <w:highlight w:val="none"/>
        </w:rPr>
        <w:t>8不按照规定程序以及正常途径质疑、投诉，采用匿名信、匿名电话、发短信息等手段，威胁、恫吓、辱骂、恶意中伤其他相关当事人的；</w:t>
      </w:r>
    </w:p>
    <w:p w14:paraId="2E42D431">
      <w:pPr>
        <w:spacing w:line="360" w:lineRule="auto"/>
        <w:ind w:firstLine="480" w:firstLineChars="200"/>
        <w:outlineLvl w:val="9"/>
        <w:rPr>
          <w:rStyle w:val="46"/>
          <w:rFonts w:hint="eastAsia"/>
          <w:color w:val="auto"/>
          <w:sz w:val="24"/>
          <w:szCs w:val="24"/>
          <w:highlight w:val="none"/>
        </w:rPr>
      </w:pPr>
      <w:bookmarkStart w:id="89" w:name="_Toc18560"/>
      <w:bookmarkStart w:id="90" w:name="_Toc22434"/>
      <w:bookmarkStart w:id="91" w:name="_Toc27338"/>
      <w:bookmarkStart w:id="92" w:name="_Toc4611"/>
      <w:r>
        <w:rPr>
          <w:rStyle w:val="46"/>
          <w:color w:val="auto"/>
          <w:sz w:val="24"/>
          <w:szCs w:val="24"/>
          <w:highlight w:val="none"/>
        </w:rPr>
        <w:t>13.</w:t>
      </w:r>
      <w:r>
        <w:rPr>
          <w:rStyle w:val="46"/>
          <w:rFonts w:hint="eastAsia"/>
          <w:color w:val="auto"/>
          <w:sz w:val="24"/>
          <w:szCs w:val="24"/>
          <w:highlight w:val="none"/>
        </w:rPr>
        <w:t>9法律、法规和招标文件中规定的其他情形。</w:t>
      </w:r>
      <w:bookmarkEnd w:id="89"/>
      <w:bookmarkEnd w:id="90"/>
      <w:bookmarkEnd w:id="91"/>
      <w:bookmarkEnd w:id="92"/>
      <w:bookmarkStart w:id="93" w:name="_Toc5675"/>
      <w:bookmarkStart w:id="94" w:name="_Toc10885"/>
      <w:bookmarkStart w:id="95" w:name="_Toc432789533"/>
    </w:p>
    <w:p w14:paraId="62B4409E">
      <w:pPr>
        <w:spacing w:line="360" w:lineRule="auto"/>
        <w:ind w:firstLine="560" w:firstLineChars="200"/>
        <w:outlineLvl w:val="2"/>
        <w:rPr>
          <w:rFonts w:ascii="楷体" w:hAnsi="楷体" w:eastAsia="楷体"/>
          <w:color w:val="auto"/>
          <w:sz w:val="28"/>
          <w:szCs w:val="28"/>
          <w:highlight w:val="none"/>
        </w:rPr>
      </w:pPr>
      <w:bookmarkStart w:id="96" w:name="_Toc14474"/>
      <w:r>
        <w:rPr>
          <w:rFonts w:hint="eastAsia" w:ascii="楷体" w:hAnsi="楷体" w:eastAsia="楷体"/>
          <w:color w:val="auto"/>
          <w:sz w:val="28"/>
          <w:szCs w:val="28"/>
          <w:highlight w:val="none"/>
        </w:rPr>
        <w:t>14.关于中标人瑕疵滞后发现的处理规则</w:t>
      </w:r>
      <w:bookmarkEnd w:id="93"/>
      <w:bookmarkEnd w:id="94"/>
      <w:bookmarkEnd w:id="95"/>
      <w:bookmarkEnd w:id="96"/>
    </w:p>
    <w:p w14:paraId="58DAA85E">
      <w:pPr>
        <w:spacing w:line="360" w:lineRule="auto"/>
        <w:ind w:firstLine="480" w:firstLineChars="200"/>
        <w:rPr>
          <w:rStyle w:val="46"/>
          <w:rFonts w:ascii="Times New Roman" w:hAnsi="Times New Roman" w:eastAsia="宋体"/>
          <w:color w:val="auto"/>
          <w:sz w:val="24"/>
          <w:szCs w:val="24"/>
          <w:highlight w:val="none"/>
        </w:rPr>
      </w:pPr>
      <w:r>
        <w:rPr>
          <w:rStyle w:val="46"/>
          <w:rFonts w:hint="eastAsia"/>
          <w:color w:val="auto"/>
          <w:sz w:val="24"/>
          <w:szCs w:val="24"/>
          <w:highlight w:val="none"/>
        </w:rPr>
        <w:t>14</w:t>
      </w:r>
      <w:r>
        <w:rPr>
          <w:rStyle w:val="46"/>
          <w:color w:val="auto"/>
          <w:sz w:val="24"/>
          <w:szCs w:val="24"/>
          <w:highlight w:val="none"/>
        </w:rPr>
        <w:t>.1</w:t>
      </w:r>
      <w:r>
        <w:rPr>
          <w:rStyle w:val="46"/>
          <w:rFonts w:hint="eastAsia"/>
          <w:color w:val="auto"/>
          <w:sz w:val="24"/>
          <w:szCs w:val="24"/>
          <w:highlight w:val="none"/>
        </w:rPr>
        <w:t>无论基于何种原因，本应作无效、废标处理的情形即便未被及时发现而使该投标人进入初审、详细评审或者其它后续程序，包括已经签约的情形，一旦在任何时间被发现存在上述情形，评标委员会均有权随时视情形决定是否取消该投标人的此前评审结果，或者随时视情形决定该投标无效，并有权决定采取相应的补救、纠正措施；若通过补救、纠正措施能够满足招标文件或者</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要求，评标委员会可以维持既定结果并要求中标人出具补救、纠正措施等承诺，由此产生的一切费用由中标人承担；若通过补救、纠正措施仍不能够满足招标文件或者</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要求，评标委员会应出具取消该投标人的此前评议结果的复审结论，并予以废标，由此产生的一切损失均由中标人承担。</w:t>
      </w:r>
    </w:p>
    <w:p w14:paraId="4C3C2F28">
      <w:pPr>
        <w:spacing w:line="360" w:lineRule="auto"/>
        <w:ind w:firstLine="480" w:firstLineChars="200"/>
        <w:rPr>
          <w:rStyle w:val="46"/>
          <w:rFonts w:ascii="Times New Roman" w:hAnsi="Times New Roman" w:eastAsia="宋体"/>
          <w:color w:val="auto"/>
          <w:sz w:val="24"/>
          <w:szCs w:val="24"/>
          <w:highlight w:val="none"/>
        </w:rPr>
      </w:pPr>
      <w:r>
        <w:rPr>
          <w:rStyle w:val="46"/>
          <w:rFonts w:hint="eastAsia"/>
          <w:color w:val="auto"/>
          <w:sz w:val="24"/>
          <w:szCs w:val="24"/>
          <w:highlight w:val="none"/>
        </w:rPr>
        <w:t>评标委员会认定中标人投标无效、废标或者中标人的此前评审结果被取消的，招标文件规定由评标委员会直接确定中标人的，应予以废标，由</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依法重新组织招标；招标文件规定由评标委员会推荐中标候选人的，由</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从推荐中标候选人名单中按顺序重新确定中标人，但应符合本章第</w:t>
      </w:r>
      <w:r>
        <w:rPr>
          <w:rStyle w:val="46"/>
          <w:color w:val="auto"/>
          <w:sz w:val="24"/>
          <w:szCs w:val="24"/>
          <w:highlight w:val="none"/>
        </w:rPr>
        <w:t>7.7</w:t>
      </w:r>
      <w:r>
        <w:rPr>
          <w:rStyle w:val="46"/>
          <w:rFonts w:hint="eastAsia"/>
          <w:color w:val="auto"/>
          <w:sz w:val="24"/>
          <w:szCs w:val="24"/>
          <w:highlight w:val="none"/>
        </w:rPr>
        <w:t>款规定。出现上述情形的一切损失均由取消中标资格的投标人承担。</w:t>
      </w:r>
    </w:p>
    <w:p w14:paraId="73B69744">
      <w:pPr>
        <w:spacing w:line="360" w:lineRule="auto"/>
        <w:ind w:firstLine="480" w:firstLineChars="200"/>
        <w:rPr>
          <w:rStyle w:val="46"/>
          <w:color w:val="auto"/>
          <w:sz w:val="24"/>
          <w:szCs w:val="24"/>
          <w:highlight w:val="none"/>
        </w:rPr>
      </w:pPr>
      <w:r>
        <w:rPr>
          <w:rStyle w:val="46"/>
          <w:rFonts w:hint="eastAsia"/>
          <w:color w:val="auto"/>
          <w:sz w:val="24"/>
          <w:szCs w:val="24"/>
          <w:highlight w:val="none"/>
        </w:rPr>
        <w:t>14</w:t>
      </w:r>
      <w:r>
        <w:rPr>
          <w:rStyle w:val="46"/>
          <w:color w:val="auto"/>
          <w:sz w:val="24"/>
          <w:szCs w:val="24"/>
          <w:highlight w:val="none"/>
        </w:rPr>
        <w:t>.2</w:t>
      </w:r>
      <w:r>
        <w:rPr>
          <w:rStyle w:val="46"/>
          <w:rFonts w:hint="eastAsia"/>
          <w:color w:val="auto"/>
          <w:sz w:val="24"/>
          <w:szCs w:val="24"/>
          <w:highlight w:val="none"/>
        </w:rPr>
        <w:t>若已经超过质疑期限而没有被发现，签署了相关的合同之后才发现存在上述情形，经评标委员会再行审查认为其在技术、必要资质等方面并不存在问题而仅属于商务方面存在瑕疵的问题，若取消该投标人的此前评议结果或者采取类似的处理措施将对本次招标采购更为不利的情形（包括：予以无效投标、废标或者采取类似的处理措施将使本次招标采购成本大幅上升、延误期限以至可能给</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造成较大损失的），维持中标结果的，</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必须出具维持中标结果以及是否要求提供特别担保金的书面意见，评标委员会可以维持既定结果并要求中标人出具提供特别担保金承诺，以承担可能产生的赔偿责任；若中标人拒绝提供特别担保金、实际提供的担保金额不足或者</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不同意维持中标结果的，评标委员会应当决定取消中标人的此前评议结果或者采取类似的处理措施，由此产生的一切损失均由中标人承担。</w:t>
      </w:r>
    </w:p>
    <w:p w14:paraId="6976D268">
      <w:pPr>
        <w:spacing w:after="156" w:afterLines="50"/>
        <w:jc w:val="center"/>
        <w:outlineLvl w:val="1"/>
        <w:rPr>
          <w:rFonts w:ascii="黑体" w:hAnsi="黑体" w:eastAsia="黑体"/>
          <w:color w:val="auto"/>
          <w:sz w:val="28"/>
          <w:szCs w:val="28"/>
          <w:highlight w:val="none"/>
        </w:rPr>
      </w:pPr>
      <w:bookmarkStart w:id="97" w:name="_Toc432789534"/>
      <w:r>
        <w:rPr>
          <w:rFonts w:ascii="黑体" w:hAnsi="黑体" w:eastAsia="黑体"/>
          <w:color w:val="auto"/>
          <w:sz w:val="28"/>
          <w:szCs w:val="28"/>
          <w:highlight w:val="none"/>
        </w:rPr>
        <w:br w:type="page"/>
      </w:r>
      <w:bookmarkStart w:id="98" w:name="_Toc32212"/>
      <w:r>
        <w:rPr>
          <w:rFonts w:ascii="黑体" w:hAnsi="黑体" w:eastAsia="黑体"/>
          <w:color w:val="auto"/>
          <w:sz w:val="28"/>
          <w:szCs w:val="28"/>
          <w:highlight w:val="none"/>
        </w:rPr>
        <w:t>第八章</w:t>
      </w:r>
      <w:r>
        <w:rPr>
          <w:rFonts w:hint="eastAsia" w:ascii="黑体" w:hAnsi="黑体" w:eastAsia="黑体"/>
          <w:color w:val="auto"/>
          <w:sz w:val="28"/>
          <w:szCs w:val="28"/>
          <w:highlight w:val="none"/>
        </w:rPr>
        <w:t xml:space="preserve">  纪律要求</w:t>
      </w:r>
      <w:bookmarkEnd w:id="97"/>
      <w:bookmarkEnd w:id="98"/>
    </w:p>
    <w:p w14:paraId="11077F94">
      <w:pPr>
        <w:spacing w:line="360" w:lineRule="auto"/>
        <w:ind w:firstLine="560" w:firstLineChars="200"/>
        <w:outlineLvl w:val="2"/>
        <w:rPr>
          <w:rFonts w:hint="eastAsia" w:ascii="楷体" w:hAnsi="楷体" w:eastAsia="楷体"/>
          <w:color w:val="auto"/>
          <w:sz w:val="28"/>
          <w:szCs w:val="28"/>
          <w:highlight w:val="none"/>
        </w:rPr>
      </w:pPr>
      <w:bookmarkStart w:id="99" w:name="_Toc25762"/>
      <w:bookmarkStart w:id="100" w:name="_Toc432789535"/>
      <w:r>
        <w:rPr>
          <w:rFonts w:hint="eastAsia" w:ascii="楷体" w:hAnsi="楷体" w:eastAsia="楷体"/>
          <w:color w:val="auto"/>
          <w:sz w:val="28"/>
          <w:szCs w:val="28"/>
          <w:highlight w:val="none"/>
        </w:rPr>
        <w:t>1.对</w:t>
      </w:r>
      <w:r>
        <w:rPr>
          <w:rFonts w:hint="eastAsia" w:ascii="楷体" w:hAnsi="楷体" w:eastAsia="楷体"/>
          <w:color w:val="auto"/>
          <w:sz w:val="28"/>
          <w:szCs w:val="28"/>
          <w:highlight w:val="none"/>
          <w:lang w:eastAsia="zh-CN"/>
        </w:rPr>
        <w:t>采购人</w:t>
      </w:r>
      <w:r>
        <w:rPr>
          <w:rFonts w:hint="eastAsia" w:ascii="楷体" w:hAnsi="楷体" w:eastAsia="楷体"/>
          <w:color w:val="auto"/>
          <w:sz w:val="28"/>
          <w:szCs w:val="28"/>
          <w:highlight w:val="none"/>
        </w:rPr>
        <w:t>的纪律要求</w:t>
      </w:r>
      <w:bookmarkEnd w:id="99"/>
      <w:bookmarkEnd w:id="100"/>
    </w:p>
    <w:p w14:paraId="283437E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不得泄漏招标投标活动中应当保密的情况和资料，不得与投标人串通损害国家利益、社会公共利益或者他人合法权益。</w:t>
      </w:r>
    </w:p>
    <w:p w14:paraId="0D555BA8">
      <w:pPr>
        <w:spacing w:line="360" w:lineRule="auto"/>
        <w:ind w:firstLine="560" w:firstLineChars="200"/>
        <w:outlineLvl w:val="2"/>
        <w:rPr>
          <w:rFonts w:hint="eastAsia" w:ascii="楷体" w:hAnsi="楷体" w:eastAsia="楷体"/>
          <w:color w:val="auto"/>
          <w:sz w:val="28"/>
          <w:szCs w:val="28"/>
          <w:highlight w:val="none"/>
        </w:rPr>
      </w:pPr>
      <w:bookmarkStart w:id="101" w:name="_Toc24746"/>
      <w:bookmarkStart w:id="102" w:name="_Toc432789536"/>
      <w:r>
        <w:rPr>
          <w:rFonts w:hint="eastAsia" w:ascii="楷体" w:hAnsi="楷体" w:eastAsia="楷体"/>
          <w:color w:val="auto"/>
          <w:sz w:val="28"/>
          <w:szCs w:val="28"/>
          <w:highlight w:val="none"/>
        </w:rPr>
        <w:t>2.对投标人的纪律要求</w:t>
      </w:r>
      <w:bookmarkEnd w:id="101"/>
      <w:bookmarkEnd w:id="102"/>
    </w:p>
    <w:p w14:paraId="7307DC2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投标人不得互相串通或者与</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串通投标，不得向</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或者评标委员会成员行贿谋取中标；不得以他人名义投标或者以其他方式弄虚作假骗取中标；投标人不得以任何方式干扰、影响评标工作。</w:t>
      </w:r>
    </w:p>
    <w:p w14:paraId="678B94F9">
      <w:pPr>
        <w:spacing w:line="360" w:lineRule="auto"/>
        <w:ind w:firstLine="560" w:firstLineChars="200"/>
        <w:outlineLvl w:val="2"/>
        <w:rPr>
          <w:rFonts w:hint="eastAsia" w:ascii="楷体" w:hAnsi="楷体" w:eastAsia="楷体"/>
          <w:color w:val="auto"/>
          <w:sz w:val="28"/>
          <w:szCs w:val="28"/>
          <w:highlight w:val="none"/>
        </w:rPr>
      </w:pPr>
      <w:bookmarkStart w:id="103" w:name="_Toc7663"/>
      <w:bookmarkStart w:id="104" w:name="_Toc432789537"/>
      <w:r>
        <w:rPr>
          <w:rFonts w:hint="eastAsia" w:ascii="楷体" w:hAnsi="楷体" w:eastAsia="楷体"/>
          <w:color w:val="auto"/>
          <w:sz w:val="28"/>
          <w:szCs w:val="28"/>
          <w:highlight w:val="none"/>
        </w:rPr>
        <w:t>3.对评标委员会成员的纪律要求</w:t>
      </w:r>
      <w:bookmarkEnd w:id="103"/>
      <w:bookmarkEnd w:id="104"/>
    </w:p>
    <w:p w14:paraId="02D6AB4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超出本招标文件有关规定的评审因素和评标标准进行评标。</w:t>
      </w:r>
    </w:p>
    <w:p w14:paraId="54FC9963">
      <w:pPr>
        <w:spacing w:line="360" w:lineRule="auto"/>
        <w:ind w:firstLine="560" w:firstLineChars="200"/>
        <w:outlineLvl w:val="2"/>
        <w:rPr>
          <w:rFonts w:hint="eastAsia" w:ascii="仿宋" w:hAnsi="仿宋" w:eastAsia="仿宋"/>
          <w:color w:val="auto"/>
          <w:sz w:val="24"/>
          <w:szCs w:val="24"/>
          <w:highlight w:val="none"/>
        </w:rPr>
      </w:pPr>
      <w:bookmarkStart w:id="105" w:name="_Toc18935"/>
      <w:bookmarkStart w:id="106" w:name="_Toc432789538"/>
      <w:r>
        <w:rPr>
          <w:rFonts w:hint="eastAsia" w:ascii="楷体" w:hAnsi="楷体" w:eastAsia="楷体"/>
          <w:color w:val="auto"/>
          <w:sz w:val="28"/>
          <w:szCs w:val="28"/>
          <w:highlight w:val="none"/>
        </w:rPr>
        <w:t>4.对与评标活动有关的工作人员的纪律要求</w:t>
      </w:r>
      <w:bookmarkEnd w:id="105"/>
      <w:bookmarkEnd w:id="106"/>
    </w:p>
    <w:p w14:paraId="649CBC1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636EF30B">
      <w:pPr>
        <w:spacing w:line="360" w:lineRule="auto"/>
        <w:ind w:firstLine="480" w:firstLineChars="200"/>
        <w:rPr>
          <w:rFonts w:hint="eastAsia" w:ascii="仿宋" w:hAnsi="仿宋" w:eastAsia="仿宋"/>
          <w:color w:val="auto"/>
          <w:sz w:val="24"/>
          <w:szCs w:val="24"/>
          <w:highlight w:val="none"/>
        </w:rPr>
      </w:pPr>
    </w:p>
    <w:p w14:paraId="7A83D207">
      <w:pPr>
        <w:spacing w:line="420" w:lineRule="exact"/>
        <w:ind w:firstLine="420" w:firstLineChars="200"/>
        <w:rPr>
          <w:rFonts w:hint="eastAsia"/>
          <w:color w:val="auto"/>
          <w:highlight w:val="none"/>
        </w:rPr>
      </w:pPr>
    </w:p>
    <w:p w14:paraId="4E04B415">
      <w:pPr>
        <w:rPr>
          <w:rFonts w:hint="eastAsia"/>
          <w:color w:val="auto"/>
          <w:highlight w:val="none"/>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0FD39AC7">
      <w:pPr>
        <w:spacing w:after="156" w:afterLines="50"/>
        <w:jc w:val="center"/>
        <w:outlineLvl w:val="1"/>
        <w:rPr>
          <w:rFonts w:ascii="黑体" w:hAnsi="黑体" w:eastAsia="黑体"/>
          <w:color w:val="auto"/>
          <w:sz w:val="28"/>
          <w:szCs w:val="28"/>
          <w:highlight w:val="none"/>
        </w:rPr>
      </w:pPr>
      <w:bookmarkStart w:id="107" w:name="_Toc432789539"/>
      <w:bookmarkStart w:id="108" w:name="_Toc29319"/>
      <w:r>
        <w:rPr>
          <w:rFonts w:ascii="黑体" w:hAnsi="黑体" w:eastAsia="黑体"/>
          <w:color w:val="auto"/>
          <w:sz w:val="28"/>
          <w:szCs w:val="28"/>
          <w:highlight w:val="none"/>
        </w:rPr>
        <w:t>第九章</w:t>
      </w:r>
      <w:r>
        <w:rPr>
          <w:rFonts w:hint="eastAsia" w:ascii="黑体" w:hAnsi="黑体" w:eastAsia="黑体"/>
          <w:color w:val="auto"/>
          <w:sz w:val="28"/>
          <w:szCs w:val="28"/>
          <w:highlight w:val="none"/>
        </w:rPr>
        <w:t xml:space="preserve">  签订合同、合同主要条款</w:t>
      </w:r>
      <w:bookmarkEnd w:id="107"/>
      <w:bookmarkEnd w:id="108"/>
    </w:p>
    <w:p w14:paraId="447A436D">
      <w:pPr>
        <w:spacing w:line="360" w:lineRule="auto"/>
        <w:ind w:firstLine="560" w:firstLineChars="200"/>
        <w:outlineLvl w:val="2"/>
        <w:rPr>
          <w:rFonts w:ascii="楷体" w:hAnsi="楷体" w:eastAsia="楷体"/>
          <w:color w:val="auto"/>
          <w:sz w:val="28"/>
          <w:szCs w:val="28"/>
          <w:highlight w:val="none"/>
        </w:rPr>
      </w:pPr>
      <w:bookmarkStart w:id="109" w:name="_Toc432789540"/>
      <w:bookmarkStart w:id="110" w:name="_Toc10831"/>
      <w:r>
        <w:rPr>
          <w:rFonts w:hint="eastAsia" w:ascii="楷体" w:hAnsi="楷体" w:eastAsia="楷体"/>
          <w:color w:val="auto"/>
          <w:sz w:val="28"/>
          <w:szCs w:val="28"/>
          <w:highlight w:val="none"/>
        </w:rPr>
        <w:t>1.签订合同</w:t>
      </w:r>
      <w:bookmarkEnd w:id="109"/>
      <w:bookmarkEnd w:id="110"/>
    </w:p>
    <w:p w14:paraId="66A3A61B">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.1</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应当自中标通知书发出之日起三十日内，按照招标文件和中标人投标文件的约定，与中标人签订书面合同。所签订合同不得对招标文件和中标人投标文件作实质性修改。</w:t>
      </w:r>
    </w:p>
    <w:p w14:paraId="4F6A04F2">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.2</w:t>
      </w:r>
      <w:r>
        <w:rPr>
          <w:rFonts w:hint="eastAsia" w:ascii="仿宋" w:hAnsi="仿宋" w:eastAsia="仿宋"/>
          <w:color w:val="auto"/>
          <w:sz w:val="24"/>
          <w:szCs w:val="24"/>
          <w:highlight w:val="none"/>
        </w:rPr>
        <w:t>签订的合同原则以本章第4条的规定为基础，并根据评标、答疑情况进行修改补充，但该款并不限制</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以其他方式签订合同的权利。</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不得向中标人提出任何不合理的要求，作为签订合同的条件，不得与中标人私下订立背离合同实质性内容的协议。</w:t>
      </w:r>
    </w:p>
    <w:p w14:paraId="727324A0">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.3</w:t>
      </w:r>
      <w:r>
        <w:rPr>
          <w:rFonts w:hint="eastAsia" w:ascii="仿宋" w:hAnsi="仿宋" w:eastAsia="仿宋"/>
          <w:color w:val="auto"/>
          <w:sz w:val="24"/>
          <w:szCs w:val="24"/>
          <w:highlight w:val="none"/>
        </w:rPr>
        <w:t>招标文件、投标文件、书面承诺和中标通知书均作为经济合同的一部分，且具有法律效力。中标人应严格履行经济合同所规定的各项义务和责任，否则将依法处理。</w:t>
      </w:r>
    </w:p>
    <w:p w14:paraId="1FAA7A28">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.4</w:t>
      </w:r>
      <w:r>
        <w:rPr>
          <w:rFonts w:hint="eastAsia" w:ascii="仿宋" w:hAnsi="仿宋" w:eastAsia="仿宋"/>
          <w:color w:val="auto"/>
          <w:sz w:val="24"/>
          <w:szCs w:val="24"/>
          <w:highlight w:val="none"/>
        </w:rPr>
        <w:t>有关法规或者招标文件明确不允许分包方式履行合同的，中标人不得分包履行合同，否则将依法承担法律责任。招标文件明确允许分包方式履行合同的，按照招标文件相关规定执行。</w:t>
      </w:r>
    </w:p>
    <w:p w14:paraId="018092B8">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当中标人放弃中标结果或者因被质疑、投诉，经查属实或者因不可抗力而不能履行合同的，</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可从推荐中标候选人名单中按顺序重新确定中标人，但应符合相关规定；否则</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应重新组织招标。</w:t>
      </w:r>
    </w:p>
    <w:p w14:paraId="0A637E1E">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w:t>
      </w:r>
      <w:r>
        <w:rPr>
          <w:rFonts w:hint="eastAsia" w:ascii="仿宋" w:hAnsi="仿宋" w:eastAsia="仿宋"/>
          <w:color w:val="auto"/>
          <w:sz w:val="24"/>
          <w:szCs w:val="24"/>
          <w:highlight w:val="none"/>
        </w:rPr>
        <w:t>5法律、行政法规规定应当办理批准、登记等手续后生效的合同，依照其规定。</w:t>
      </w:r>
    </w:p>
    <w:p w14:paraId="32575A8D">
      <w:pPr>
        <w:spacing w:line="360" w:lineRule="auto"/>
        <w:ind w:firstLine="560" w:firstLineChars="200"/>
        <w:outlineLvl w:val="2"/>
        <w:rPr>
          <w:rFonts w:ascii="楷体" w:hAnsi="楷体" w:eastAsia="楷体"/>
          <w:color w:val="auto"/>
          <w:sz w:val="28"/>
          <w:szCs w:val="28"/>
          <w:highlight w:val="none"/>
        </w:rPr>
      </w:pPr>
      <w:bookmarkStart w:id="111" w:name="_Toc432789541"/>
      <w:bookmarkStart w:id="112" w:name="_Toc2104"/>
      <w:r>
        <w:rPr>
          <w:rFonts w:hint="eastAsia" w:ascii="楷体" w:hAnsi="楷体" w:eastAsia="楷体"/>
          <w:color w:val="auto"/>
          <w:sz w:val="28"/>
          <w:szCs w:val="28"/>
          <w:highlight w:val="none"/>
        </w:rPr>
        <w:t>2.追加合同金额</w:t>
      </w:r>
      <w:bookmarkEnd w:id="111"/>
      <w:bookmarkEnd w:id="112"/>
    </w:p>
    <w:p w14:paraId="113CC592">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采购合同双方当事人不得擅自变更、中止或者终止合同。采购合同继续履行将损害国家利益和社会公共利益的，双方当事人应当变更、中止或者终止合同。有过错的一方应当承担赔偿责任，双方都有过错的，各自承担责任。</w:t>
      </w:r>
    </w:p>
    <w:p w14:paraId="05E40A8B">
      <w:pPr>
        <w:spacing w:line="360" w:lineRule="auto"/>
        <w:ind w:firstLine="560" w:firstLineChars="200"/>
        <w:outlineLvl w:val="2"/>
        <w:rPr>
          <w:rFonts w:ascii="楷体" w:hAnsi="楷体" w:eastAsia="楷体"/>
          <w:color w:val="auto"/>
          <w:sz w:val="28"/>
          <w:szCs w:val="28"/>
          <w:highlight w:val="none"/>
        </w:rPr>
      </w:pPr>
      <w:bookmarkStart w:id="113" w:name="_Toc432789542"/>
      <w:bookmarkStart w:id="114" w:name="_Toc20911"/>
      <w:r>
        <w:rPr>
          <w:rFonts w:hint="eastAsia" w:ascii="楷体" w:hAnsi="楷体" w:eastAsia="楷体"/>
          <w:color w:val="auto"/>
          <w:sz w:val="28"/>
          <w:szCs w:val="28"/>
          <w:highlight w:val="none"/>
        </w:rPr>
        <w:t>3.货物质量与验收</w:t>
      </w:r>
      <w:bookmarkEnd w:id="113"/>
      <w:bookmarkEnd w:id="114"/>
    </w:p>
    <w:p w14:paraId="7AF24AAF">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1</w:t>
      </w:r>
      <w:r>
        <w:rPr>
          <w:rFonts w:hint="eastAsia" w:ascii="仿宋" w:hAnsi="仿宋" w:eastAsia="仿宋"/>
          <w:color w:val="auto"/>
          <w:sz w:val="24"/>
          <w:szCs w:val="24"/>
          <w:highlight w:val="none"/>
        </w:rPr>
        <w:t>招标文件中的货物按照国标、部标、行业标准或者双方技术协议或者招标文件、投标文件、书面承诺的技术要求制造。货到后，由</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组织验收小组对货物进行验收（以《项目验收报告单》为准）。如对货物质量有争议，</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可委托国家认定的相关部门对货物进行质量检验，并以质检部门出具的检验报告为准，并由责任方承担全部责任。</w:t>
      </w:r>
    </w:p>
    <w:p w14:paraId="787516E3">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.2</w:t>
      </w:r>
      <w:r>
        <w:rPr>
          <w:rFonts w:hint="eastAsia" w:ascii="仿宋" w:hAnsi="仿宋" w:eastAsia="仿宋"/>
          <w:color w:val="auto"/>
          <w:sz w:val="24"/>
          <w:szCs w:val="24"/>
          <w:highlight w:val="none"/>
        </w:rPr>
        <w:t>货物制造完毕经出厂检验合格后方能发货，并提供货物合格证书。</w:t>
      </w:r>
    </w:p>
    <w:p w14:paraId="5B3E29AE">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.3</w:t>
      </w:r>
      <w:r>
        <w:rPr>
          <w:rFonts w:hint="eastAsia" w:ascii="仿宋" w:hAnsi="仿宋" w:eastAsia="仿宋"/>
          <w:color w:val="auto"/>
          <w:sz w:val="24"/>
          <w:szCs w:val="24"/>
          <w:highlight w:val="none"/>
        </w:rPr>
        <w:t>货物的表面涂漆颜色：由</w:t>
      </w:r>
      <w:r>
        <w:rPr>
          <w:rFonts w:hint="eastAsia" w:ascii="仿宋" w:hAnsi="仿宋" w:eastAsia="仿宋"/>
          <w:color w:val="auto"/>
          <w:sz w:val="24"/>
          <w:szCs w:val="24"/>
          <w:highlight w:val="none"/>
          <w:lang w:eastAsia="zh-CN"/>
        </w:rPr>
        <w:t>采购人</w:t>
      </w:r>
      <w:r>
        <w:rPr>
          <w:rFonts w:hint="eastAsia" w:ascii="仿宋" w:hAnsi="仿宋" w:eastAsia="仿宋"/>
          <w:color w:val="auto"/>
          <w:sz w:val="24"/>
          <w:szCs w:val="24"/>
          <w:highlight w:val="none"/>
        </w:rPr>
        <w:t>和中标人商定。</w:t>
      </w:r>
    </w:p>
    <w:p w14:paraId="521CFC72">
      <w:pPr>
        <w:spacing w:line="360" w:lineRule="auto"/>
        <w:ind w:firstLine="480" w:firstLineChars="200"/>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3</w:t>
      </w:r>
      <w:r>
        <w:rPr>
          <w:rFonts w:ascii="仿宋" w:hAnsi="仿宋" w:eastAsia="仿宋" w:cs="仿宋"/>
          <w:color w:val="auto"/>
          <w:kern w:val="1"/>
          <w:sz w:val="24"/>
          <w:szCs w:val="24"/>
          <w:highlight w:val="none"/>
        </w:rPr>
        <w:t>.4</w:t>
      </w:r>
      <w:r>
        <w:rPr>
          <w:rFonts w:hint="eastAsia" w:ascii="仿宋" w:hAnsi="仿宋" w:eastAsia="仿宋" w:cs="仿宋"/>
          <w:color w:val="auto"/>
          <w:kern w:val="1"/>
          <w:sz w:val="24"/>
          <w:szCs w:val="24"/>
          <w:highlight w:val="none"/>
        </w:rPr>
        <w:t>货物包装按照国标、部标以及有关标准执行。</w:t>
      </w:r>
    </w:p>
    <w:p w14:paraId="3C703204">
      <w:pPr>
        <w:spacing w:line="360" w:lineRule="auto"/>
        <w:ind w:firstLine="560" w:firstLineChars="200"/>
        <w:outlineLvl w:val="2"/>
        <w:rPr>
          <w:rFonts w:ascii="楷体" w:hAnsi="楷体" w:eastAsia="楷体"/>
          <w:color w:val="auto"/>
          <w:sz w:val="28"/>
          <w:szCs w:val="28"/>
          <w:highlight w:val="none"/>
        </w:rPr>
      </w:pPr>
      <w:bookmarkStart w:id="115" w:name="_Toc13032"/>
      <w:bookmarkStart w:id="116" w:name="_Toc432789543"/>
      <w:r>
        <w:rPr>
          <w:rFonts w:hint="eastAsia" w:ascii="楷体" w:hAnsi="楷体" w:eastAsia="楷体"/>
          <w:color w:val="auto"/>
          <w:sz w:val="28"/>
          <w:szCs w:val="28"/>
          <w:highlight w:val="none"/>
        </w:rPr>
        <w:t>4.合同主要条款</w:t>
      </w:r>
      <w:bookmarkEnd w:id="115"/>
      <w:bookmarkEnd w:id="116"/>
    </w:p>
    <w:p w14:paraId="179E8C96">
      <w:pPr>
        <w:spacing w:line="360" w:lineRule="auto"/>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rPr>
        <w:t>最终以实际签订为准</w:t>
      </w:r>
      <w:r>
        <w:rPr>
          <w:rFonts w:hint="eastAsia" w:ascii="仿宋" w:hAnsi="仿宋" w:eastAsia="仿宋" w:cs="仿宋"/>
          <w:color w:val="auto"/>
          <w:sz w:val="24"/>
          <w:szCs w:val="24"/>
          <w:highlight w:val="none"/>
          <w:lang w:val="zh-CN"/>
        </w:rPr>
        <w:t>）</w:t>
      </w:r>
    </w:p>
    <w:p w14:paraId="7F7E73E6">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合同编号：</w:t>
      </w:r>
      <w:r>
        <w:rPr>
          <w:rFonts w:hint="eastAsia" w:ascii="仿宋" w:hAnsi="仿宋" w:eastAsia="仿宋" w:cs="仿宋"/>
          <w:color w:val="auto"/>
          <w:sz w:val="24"/>
          <w:szCs w:val="24"/>
          <w:highlight w:val="none"/>
          <w:u w:val="single"/>
          <w:lang w:val="zh-CN"/>
        </w:rPr>
        <w:t xml:space="preserve">                         </w:t>
      </w:r>
    </w:p>
    <w:p w14:paraId="2C37CAFD">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 xml:space="preserve">签 订 地： </w:t>
      </w:r>
      <w:r>
        <w:rPr>
          <w:rFonts w:hint="eastAsia" w:ascii="仿宋" w:hAnsi="仿宋" w:eastAsia="仿宋" w:cs="仿宋"/>
          <w:color w:val="auto"/>
          <w:sz w:val="24"/>
          <w:szCs w:val="24"/>
          <w:highlight w:val="none"/>
          <w:u w:val="single"/>
          <w:lang w:val="zh-CN"/>
        </w:rPr>
        <w:t xml:space="preserve">                        </w:t>
      </w:r>
    </w:p>
    <w:p w14:paraId="4FEFFC2F">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甲方（采购人）：</w:t>
      </w:r>
      <w:r>
        <w:rPr>
          <w:rFonts w:hint="eastAsia" w:ascii="仿宋" w:hAnsi="仿宋" w:eastAsia="仿宋" w:cs="仿宋"/>
          <w:color w:val="auto"/>
          <w:sz w:val="24"/>
          <w:szCs w:val="24"/>
          <w:highlight w:val="none"/>
          <w:u w:val="single"/>
          <w:lang w:val="zh-CN"/>
        </w:rPr>
        <w:t xml:space="preserve">                    </w:t>
      </w:r>
    </w:p>
    <w:p w14:paraId="60694E89">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住所地：</w:t>
      </w:r>
      <w:r>
        <w:rPr>
          <w:rFonts w:hint="eastAsia" w:ascii="仿宋" w:hAnsi="仿宋" w:eastAsia="仿宋" w:cs="仿宋"/>
          <w:color w:val="auto"/>
          <w:sz w:val="24"/>
          <w:szCs w:val="24"/>
          <w:highlight w:val="none"/>
          <w:u w:val="single"/>
          <w:lang w:val="zh-CN"/>
        </w:rPr>
        <w:t xml:space="preserve">                           </w:t>
      </w:r>
    </w:p>
    <w:p w14:paraId="7C1C2371">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乙方（中标人）：</w:t>
      </w:r>
      <w:r>
        <w:rPr>
          <w:rFonts w:hint="eastAsia" w:ascii="仿宋" w:hAnsi="仿宋" w:eastAsia="仿宋" w:cs="仿宋"/>
          <w:color w:val="auto"/>
          <w:sz w:val="24"/>
          <w:szCs w:val="24"/>
          <w:highlight w:val="none"/>
          <w:u w:val="single"/>
          <w:lang w:val="zh-CN"/>
        </w:rPr>
        <w:t xml:space="preserve">                    </w:t>
      </w:r>
    </w:p>
    <w:p w14:paraId="1B5DEDA1">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住 所 地：</w:t>
      </w:r>
      <w:r>
        <w:rPr>
          <w:rFonts w:hint="eastAsia" w:ascii="仿宋" w:hAnsi="仿宋" w:eastAsia="仿宋" w:cs="仿宋"/>
          <w:color w:val="auto"/>
          <w:sz w:val="24"/>
          <w:szCs w:val="24"/>
          <w:highlight w:val="none"/>
          <w:u w:val="single"/>
          <w:lang w:val="zh-CN"/>
        </w:rPr>
        <w:t xml:space="preserve">                         </w:t>
      </w:r>
    </w:p>
    <w:p w14:paraId="4BA10C29">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乙方于</w:t>
      </w:r>
      <w:r>
        <w:rPr>
          <w:rFonts w:ascii="仿宋" w:hAnsi="仿宋" w:eastAsia="仿宋" w:cs="仿宋"/>
          <w:color w:val="auto"/>
          <w:sz w:val="24"/>
          <w:szCs w:val="24"/>
          <w:highlight w:val="none"/>
          <w:lang w:val="zh-CN"/>
        </w:rPr>
        <w:t>20</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年</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月</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日参加了</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u w:val="single"/>
          <w:lang w:val="zh-CN"/>
        </w:rPr>
        <w:t>（代理机构）</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组织的“</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u w:val="single"/>
          <w:lang w:val="zh-CN"/>
        </w:rPr>
        <w:t>（项目名称及项目编号）</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”采购活动，经评标委员会评审确定乙方为</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u w:val="single"/>
          <w:lang w:val="zh-CN"/>
        </w:rPr>
        <w:t>（包及包名称）</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中标人，按照《中华人民共和国民法典》、《中华人民共和国政府采购法》和相关的法律法规规定，以及招标文件规定，经甲乙双方协商一致，签订本合同。</w:t>
      </w:r>
    </w:p>
    <w:p w14:paraId="3D41BE7E">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第一条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货物条款</w:t>
      </w:r>
    </w:p>
    <w:p w14:paraId="6101CFA4">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乙方向甲方提供以下货物</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5013"/>
        <w:gridCol w:w="884"/>
        <w:gridCol w:w="884"/>
        <w:gridCol w:w="1179"/>
      </w:tblGrid>
      <w:tr w14:paraId="0898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0"/>
            <w:vAlign w:val="center"/>
          </w:tcPr>
          <w:p w14:paraId="07E0182B">
            <w:pPr>
              <w:spacing w:line="360" w:lineRule="auto"/>
              <w:jc w:val="center"/>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货物名称</w:t>
            </w:r>
          </w:p>
        </w:tc>
        <w:tc>
          <w:tcPr>
            <w:tcW w:w="5013" w:type="dxa"/>
            <w:noWrap w:val="0"/>
            <w:vAlign w:val="center"/>
          </w:tcPr>
          <w:p w14:paraId="13E866B2">
            <w:pPr>
              <w:spacing w:line="360" w:lineRule="auto"/>
              <w:jc w:val="center"/>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品牌、规格型号（技术参数）</w:t>
            </w:r>
          </w:p>
        </w:tc>
        <w:tc>
          <w:tcPr>
            <w:tcW w:w="884" w:type="dxa"/>
            <w:noWrap w:val="0"/>
            <w:vAlign w:val="center"/>
          </w:tcPr>
          <w:p w14:paraId="35D535E8">
            <w:pPr>
              <w:spacing w:line="360" w:lineRule="auto"/>
              <w:ind w:firstLine="105"/>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单价</w:t>
            </w:r>
          </w:p>
        </w:tc>
        <w:tc>
          <w:tcPr>
            <w:tcW w:w="884" w:type="dxa"/>
            <w:noWrap w:val="0"/>
            <w:vAlign w:val="center"/>
          </w:tcPr>
          <w:p w14:paraId="0A08E460">
            <w:pPr>
              <w:spacing w:line="360" w:lineRule="auto"/>
              <w:jc w:val="center"/>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数量</w:t>
            </w:r>
          </w:p>
        </w:tc>
        <w:tc>
          <w:tcPr>
            <w:tcW w:w="1179" w:type="dxa"/>
            <w:noWrap w:val="0"/>
            <w:vAlign w:val="center"/>
          </w:tcPr>
          <w:p w14:paraId="43329141">
            <w:pPr>
              <w:spacing w:line="360" w:lineRule="auto"/>
              <w:jc w:val="center"/>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小</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计</w:t>
            </w:r>
          </w:p>
        </w:tc>
      </w:tr>
      <w:tr w14:paraId="39CE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0"/>
            <w:vAlign w:val="center"/>
          </w:tcPr>
          <w:p w14:paraId="3AF757E7">
            <w:pPr>
              <w:spacing w:line="360" w:lineRule="auto"/>
              <w:jc w:val="center"/>
              <w:rPr>
                <w:rFonts w:ascii="仿宋" w:hAnsi="仿宋" w:eastAsia="仿宋" w:cs="仿宋"/>
                <w:color w:val="auto"/>
                <w:sz w:val="24"/>
                <w:szCs w:val="24"/>
                <w:highlight w:val="none"/>
                <w:lang w:val="zh-CN"/>
              </w:rPr>
            </w:pPr>
          </w:p>
        </w:tc>
        <w:tc>
          <w:tcPr>
            <w:tcW w:w="5013" w:type="dxa"/>
            <w:noWrap w:val="0"/>
            <w:vAlign w:val="center"/>
          </w:tcPr>
          <w:p w14:paraId="050ED91A">
            <w:pPr>
              <w:spacing w:line="360" w:lineRule="auto"/>
              <w:jc w:val="center"/>
              <w:rPr>
                <w:rFonts w:ascii="仿宋" w:hAnsi="仿宋" w:eastAsia="仿宋" w:cs="仿宋"/>
                <w:color w:val="auto"/>
                <w:sz w:val="24"/>
                <w:szCs w:val="24"/>
                <w:highlight w:val="none"/>
                <w:lang w:val="zh-CN"/>
              </w:rPr>
            </w:pPr>
          </w:p>
        </w:tc>
        <w:tc>
          <w:tcPr>
            <w:tcW w:w="884" w:type="dxa"/>
            <w:noWrap w:val="0"/>
            <w:vAlign w:val="center"/>
          </w:tcPr>
          <w:p w14:paraId="13282382">
            <w:pPr>
              <w:spacing w:line="360" w:lineRule="auto"/>
              <w:jc w:val="center"/>
              <w:rPr>
                <w:rFonts w:ascii="仿宋" w:hAnsi="仿宋" w:eastAsia="仿宋" w:cs="仿宋"/>
                <w:color w:val="auto"/>
                <w:sz w:val="24"/>
                <w:szCs w:val="24"/>
                <w:highlight w:val="none"/>
                <w:lang w:val="zh-CN"/>
              </w:rPr>
            </w:pPr>
          </w:p>
        </w:tc>
        <w:tc>
          <w:tcPr>
            <w:tcW w:w="884" w:type="dxa"/>
            <w:noWrap w:val="0"/>
            <w:vAlign w:val="center"/>
          </w:tcPr>
          <w:p w14:paraId="23401B9C">
            <w:pPr>
              <w:spacing w:line="360" w:lineRule="auto"/>
              <w:jc w:val="center"/>
              <w:rPr>
                <w:rFonts w:ascii="仿宋" w:hAnsi="仿宋" w:eastAsia="仿宋" w:cs="仿宋"/>
                <w:color w:val="auto"/>
                <w:sz w:val="24"/>
                <w:szCs w:val="24"/>
                <w:highlight w:val="none"/>
                <w:lang w:val="zh-CN"/>
              </w:rPr>
            </w:pPr>
          </w:p>
        </w:tc>
        <w:tc>
          <w:tcPr>
            <w:tcW w:w="1179" w:type="dxa"/>
            <w:noWrap w:val="0"/>
            <w:vAlign w:val="center"/>
          </w:tcPr>
          <w:p w14:paraId="661746E4">
            <w:pPr>
              <w:spacing w:line="360" w:lineRule="auto"/>
              <w:jc w:val="center"/>
              <w:rPr>
                <w:rFonts w:ascii="仿宋" w:hAnsi="仿宋" w:eastAsia="仿宋" w:cs="仿宋"/>
                <w:color w:val="auto"/>
                <w:sz w:val="24"/>
                <w:szCs w:val="24"/>
                <w:highlight w:val="none"/>
                <w:lang w:val="zh-CN"/>
              </w:rPr>
            </w:pPr>
          </w:p>
        </w:tc>
      </w:tr>
      <w:tr w14:paraId="34FC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0"/>
            <w:vAlign w:val="center"/>
          </w:tcPr>
          <w:p w14:paraId="60944B6D">
            <w:pPr>
              <w:spacing w:line="360" w:lineRule="auto"/>
              <w:jc w:val="center"/>
              <w:rPr>
                <w:rFonts w:ascii="仿宋" w:hAnsi="仿宋" w:eastAsia="仿宋" w:cs="仿宋"/>
                <w:color w:val="auto"/>
                <w:sz w:val="24"/>
                <w:szCs w:val="24"/>
                <w:highlight w:val="none"/>
                <w:lang w:val="zh-CN"/>
              </w:rPr>
            </w:pPr>
          </w:p>
        </w:tc>
        <w:tc>
          <w:tcPr>
            <w:tcW w:w="5013" w:type="dxa"/>
            <w:noWrap w:val="0"/>
            <w:vAlign w:val="center"/>
          </w:tcPr>
          <w:p w14:paraId="0958A1BB">
            <w:pPr>
              <w:spacing w:line="360" w:lineRule="auto"/>
              <w:jc w:val="center"/>
              <w:rPr>
                <w:rFonts w:ascii="仿宋" w:hAnsi="仿宋" w:eastAsia="仿宋" w:cs="仿宋"/>
                <w:color w:val="auto"/>
                <w:sz w:val="24"/>
                <w:szCs w:val="24"/>
                <w:highlight w:val="none"/>
                <w:lang w:val="zh-CN"/>
              </w:rPr>
            </w:pPr>
          </w:p>
        </w:tc>
        <w:tc>
          <w:tcPr>
            <w:tcW w:w="884" w:type="dxa"/>
            <w:noWrap w:val="0"/>
            <w:vAlign w:val="center"/>
          </w:tcPr>
          <w:p w14:paraId="2F4B2FEF">
            <w:pPr>
              <w:spacing w:line="360" w:lineRule="auto"/>
              <w:jc w:val="center"/>
              <w:rPr>
                <w:rFonts w:ascii="仿宋" w:hAnsi="仿宋" w:eastAsia="仿宋" w:cs="仿宋"/>
                <w:color w:val="auto"/>
                <w:sz w:val="24"/>
                <w:szCs w:val="24"/>
                <w:highlight w:val="none"/>
                <w:lang w:val="zh-CN"/>
              </w:rPr>
            </w:pPr>
          </w:p>
        </w:tc>
        <w:tc>
          <w:tcPr>
            <w:tcW w:w="884" w:type="dxa"/>
            <w:noWrap w:val="0"/>
            <w:vAlign w:val="center"/>
          </w:tcPr>
          <w:p w14:paraId="1A492B40">
            <w:pPr>
              <w:spacing w:line="360" w:lineRule="auto"/>
              <w:jc w:val="center"/>
              <w:rPr>
                <w:rFonts w:ascii="仿宋" w:hAnsi="仿宋" w:eastAsia="仿宋" w:cs="仿宋"/>
                <w:color w:val="auto"/>
                <w:sz w:val="24"/>
                <w:szCs w:val="24"/>
                <w:highlight w:val="none"/>
                <w:lang w:val="zh-CN"/>
              </w:rPr>
            </w:pPr>
          </w:p>
        </w:tc>
        <w:tc>
          <w:tcPr>
            <w:tcW w:w="1179" w:type="dxa"/>
            <w:noWrap w:val="0"/>
            <w:vAlign w:val="center"/>
          </w:tcPr>
          <w:p w14:paraId="38F47621">
            <w:pPr>
              <w:spacing w:line="360" w:lineRule="auto"/>
              <w:jc w:val="center"/>
              <w:rPr>
                <w:rFonts w:ascii="仿宋" w:hAnsi="仿宋" w:eastAsia="仿宋" w:cs="仿宋"/>
                <w:color w:val="auto"/>
                <w:sz w:val="24"/>
                <w:szCs w:val="24"/>
                <w:highlight w:val="none"/>
                <w:lang w:val="zh-CN"/>
              </w:rPr>
            </w:pPr>
          </w:p>
        </w:tc>
      </w:tr>
      <w:tr w14:paraId="766D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0"/>
            <w:vAlign w:val="center"/>
          </w:tcPr>
          <w:p w14:paraId="0D61E530">
            <w:pPr>
              <w:spacing w:line="360" w:lineRule="auto"/>
              <w:jc w:val="center"/>
              <w:rPr>
                <w:rFonts w:ascii="仿宋" w:hAnsi="仿宋" w:eastAsia="仿宋" w:cs="仿宋"/>
                <w:color w:val="auto"/>
                <w:sz w:val="24"/>
                <w:szCs w:val="24"/>
                <w:highlight w:val="none"/>
                <w:lang w:val="zh-CN"/>
              </w:rPr>
            </w:pPr>
          </w:p>
        </w:tc>
        <w:tc>
          <w:tcPr>
            <w:tcW w:w="5013" w:type="dxa"/>
            <w:noWrap w:val="0"/>
            <w:vAlign w:val="center"/>
          </w:tcPr>
          <w:p w14:paraId="1CBD9FE4">
            <w:pPr>
              <w:spacing w:line="360" w:lineRule="auto"/>
              <w:jc w:val="center"/>
              <w:rPr>
                <w:rFonts w:ascii="仿宋" w:hAnsi="仿宋" w:eastAsia="仿宋" w:cs="仿宋"/>
                <w:color w:val="auto"/>
                <w:sz w:val="24"/>
                <w:szCs w:val="24"/>
                <w:highlight w:val="none"/>
                <w:lang w:val="zh-CN"/>
              </w:rPr>
            </w:pPr>
          </w:p>
        </w:tc>
        <w:tc>
          <w:tcPr>
            <w:tcW w:w="884" w:type="dxa"/>
            <w:noWrap w:val="0"/>
            <w:vAlign w:val="center"/>
          </w:tcPr>
          <w:p w14:paraId="25C3835F">
            <w:pPr>
              <w:spacing w:line="360" w:lineRule="auto"/>
              <w:jc w:val="center"/>
              <w:rPr>
                <w:rFonts w:ascii="仿宋" w:hAnsi="仿宋" w:eastAsia="仿宋" w:cs="仿宋"/>
                <w:color w:val="auto"/>
                <w:sz w:val="24"/>
                <w:szCs w:val="24"/>
                <w:highlight w:val="none"/>
                <w:lang w:val="zh-CN"/>
              </w:rPr>
            </w:pPr>
          </w:p>
        </w:tc>
        <w:tc>
          <w:tcPr>
            <w:tcW w:w="884" w:type="dxa"/>
            <w:noWrap w:val="0"/>
            <w:vAlign w:val="center"/>
          </w:tcPr>
          <w:p w14:paraId="42A68C06">
            <w:pPr>
              <w:spacing w:line="360" w:lineRule="auto"/>
              <w:jc w:val="center"/>
              <w:rPr>
                <w:rFonts w:ascii="仿宋" w:hAnsi="仿宋" w:eastAsia="仿宋" w:cs="仿宋"/>
                <w:color w:val="auto"/>
                <w:sz w:val="24"/>
                <w:szCs w:val="24"/>
                <w:highlight w:val="none"/>
                <w:lang w:val="zh-CN"/>
              </w:rPr>
            </w:pPr>
          </w:p>
        </w:tc>
        <w:tc>
          <w:tcPr>
            <w:tcW w:w="1179" w:type="dxa"/>
            <w:noWrap w:val="0"/>
            <w:vAlign w:val="center"/>
          </w:tcPr>
          <w:p w14:paraId="40787661">
            <w:pPr>
              <w:spacing w:line="360" w:lineRule="auto"/>
              <w:jc w:val="center"/>
              <w:rPr>
                <w:rFonts w:ascii="仿宋" w:hAnsi="仿宋" w:eastAsia="仿宋" w:cs="仿宋"/>
                <w:color w:val="auto"/>
                <w:sz w:val="24"/>
                <w:szCs w:val="24"/>
                <w:highlight w:val="none"/>
                <w:lang w:val="zh-CN"/>
              </w:rPr>
            </w:pPr>
          </w:p>
        </w:tc>
      </w:tr>
      <w:tr w14:paraId="75AF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39" w:type="dxa"/>
            <w:gridSpan w:val="2"/>
            <w:noWrap w:val="0"/>
            <w:vAlign w:val="center"/>
          </w:tcPr>
          <w:p w14:paraId="6060B331">
            <w:pPr>
              <w:spacing w:line="360" w:lineRule="auto"/>
              <w:jc w:val="center"/>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合</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计</w:t>
            </w:r>
          </w:p>
        </w:tc>
        <w:tc>
          <w:tcPr>
            <w:tcW w:w="2947" w:type="dxa"/>
            <w:gridSpan w:val="3"/>
            <w:noWrap w:val="0"/>
            <w:vAlign w:val="center"/>
          </w:tcPr>
          <w:p w14:paraId="61E64859">
            <w:pPr>
              <w:spacing w:line="360" w:lineRule="auto"/>
              <w:jc w:val="center"/>
              <w:rPr>
                <w:rFonts w:ascii="仿宋" w:hAnsi="仿宋" w:eastAsia="仿宋" w:cs="仿宋"/>
                <w:color w:val="auto"/>
                <w:sz w:val="24"/>
                <w:szCs w:val="24"/>
                <w:highlight w:val="none"/>
                <w:lang w:val="zh-CN"/>
              </w:rPr>
            </w:pPr>
          </w:p>
        </w:tc>
      </w:tr>
    </w:tbl>
    <w:p w14:paraId="154DC81C">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注：如上述表格不适用相关货物的，具体品牌、数量、规格型号（技术参数）及质保期等可用附件形式列明，作为本合同组成部分。</w:t>
      </w:r>
    </w:p>
    <w:p w14:paraId="4FA67F5E">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778B8491">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第二条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合同总金额</w:t>
      </w:r>
    </w:p>
    <w:p w14:paraId="5D7392D4">
      <w:pPr>
        <w:spacing w:line="360" w:lineRule="auto"/>
        <w:ind w:firstLine="480" w:firstLineChars="200"/>
        <w:rPr>
          <w:rFonts w:ascii="仿宋" w:hAnsi="仿宋" w:eastAsia="仿宋" w:cs="仿宋"/>
          <w:color w:val="auto"/>
          <w:sz w:val="24"/>
          <w:szCs w:val="24"/>
          <w:highlight w:val="none"/>
          <w:u w:val="single"/>
          <w:lang w:val="zh-CN"/>
        </w:rPr>
      </w:pPr>
      <w:r>
        <w:rPr>
          <w:rFonts w:hint="eastAsia" w:ascii="仿宋" w:hAnsi="仿宋" w:eastAsia="仿宋" w:cs="仿宋"/>
          <w:color w:val="auto"/>
          <w:sz w:val="24"/>
          <w:szCs w:val="24"/>
          <w:highlight w:val="none"/>
          <w:lang w:val="zh-CN"/>
        </w:rPr>
        <w:t>合同总金额为人民币（大写）：</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w:t>
      </w:r>
      <w:r>
        <w:rPr>
          <w:rFonts w:ascii="仿宋" w:hAnsi="仿宋" w:eastAsia="仿宋" w:cs="仿宋"/>
          <w:color w:val="auto"/>
          <w:sz w:val="24"/>
          <w:szCs w:val="24"/>
          <w:highlight w:val="none"/>
          <w:lang w:val="zh-CN"/>
        </w:rPr>
        <w:t xml:space="preserve"> </w:t>
      </w:r>
    </w:p>
    <w:p w14:paraId="1651FDE6">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此价格为合同执行不变价，不因国家政策变化而变化，该价款包括了货物及与之配套的设计、制造、正版软件、检验、包装、运输、税费以及安装、组织验收、培训、技术服务（包括技术资料、图纸提供等）、质保期服务等全部价款，除此之外，甲方不再向乙方支付其他任何费用。</w:t>
      </w:r>
    </w:p>
    <w:p w14:paraId="61E516A6">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4C93F305">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第三条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质量要求及技术标准</w:t>
      </w:r>
    </w:p>
    <w:p w14:paraId="59F92FE0">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.货物原产地：</w:t>
      </w:r>
      <w:r>
        <w:rPr>
          <w:rFonts w:ascii="仿宋" w:hAnsi="仿宋" w:eastAsia="仿宋" w:cs="仿宋"/>
          <w:color w:val="auto"/>
          <w:sz w:val="24"/>
          <w:szCs w:val="24"/>
          <w:highlight w:val="none"/>
          <w:lang w:val="zh-CN"/>
        </w:rPr>
        <w:t xml:space="preserve">         </w:t>
      </w:r>
    </w:p>
    <w:p w14:paraId="00BA1386">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.货物的质量要求：</w:t>
      </w:r>
    </w:p>
    <w:p w14:paraId="0D7C8893">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3E166E41">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zh-CN"/>
        </w:rPr>
        <w:t>.货物的技术标准：</w:t>
      </w:r>
    </w:p>
    <w:p w14:paraId="57ACA19F">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49C1DA63">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第四条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交货</w:t>
      </w:r>
    </w:p>
    <w:p w14:paraId="7E2C8E98">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.交货日期：</w:t>
      </w:r>
      <w:r>
        <w:rPr>
          <w:rFonts w:ascii="仿宋" w:hAnsi="仿宋" w:eastAsia="仿宋" w:cs="仿宋"/>
          <w:color w:val="auto"/>
          <w:sz w:val="24"/>
          <w:szCs w:val="24"/>
          <w:highlight w:val="none"/>
          <w:lang w:val="zh-CN"/>
        </w:rPr>
        <w:t xml:space="preserve"> </w:t>
      </w:r>
    </w:p>
    <w:p w14:paraId="6E9C8194">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.交货地点：</w:t>
      </w:r>
    </w:p>
    <w:p w14:paraId="35F9C4AD">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19F00378">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第五条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包装、装运及运输</w:t>
      </w:r>
    </w:p>
    <w:p w14:paraId="516AF934">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.乙方负责包装、装运和运输，由于不适当的包装、装运和运输造成货物有任何损坏均由乙方负责。</w:t>
      </w:r>
    </w:p>
    <w:p w14:paraId="1EA5B380">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.包装费、运费及相关费用已包含在合同总金额内。</w:t>
      </w:r>
    </w:p>
    <w:p w14:paraId="07960F27">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50BD31D2">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第六条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货款支付</w:t>
      </w:r>
    </w:p>
    <w:p w14:paraId="1E095924">
      <w:pPr>
        <w:tabs>
          <w:tab w:val="left" w:pos="840"/>
        </w:tabs>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.货物运到交货地点，经甲乙双方共同验收合格后由甲方负责办理货款支付手续。</w:t>
      </w:r>
    </w:p>
    <w:p w14:paraId="505F944D">
      <w:pPr>
        <w:tabs>
          <w:tab w:val="left" w:pos="840"/>
        </w:tabs>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zh-CN"/>
        </w:rPr>
        <w:t>.付款方式</w:t>
      </w:r>
      <w:r>
        <w:rPr>
          <w:rFonts w:ascii="仿宋" w:hAnsi="仿宋" w:eastAsia="仿宋" w:cs="仿宋"/>
          <w:color w:val="auto"/>
          <w:sz w:val="24"/>
          <w:szCs w:val="24"/>
          <w:highlight w:val="none"/>
          <w:lang w:val="zh-CN"/>
        </w:rPr>
        <w:t xml:space="preserve"> </w:t>
      </w:r>
    </w:p>
    <w:p w14:paraId="68556D0E">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w:t>
      </w:r>
    </w:p>
    <w:p w14:paraId="416E179C">
      <w:pPr>
        <w:tabs>
          <w:tab w:val="left" w:pos="840"/>
        </w:tabs>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第七条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履约保证金</w:t>
      </w:r>
    </w:p>
    <w:p w14:paraId="02DFFB24">
      <w:pPr>
        <w:tabs>
          <w:tab w:val="left" w:pos="840"/>
        </w:tabs>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.乙方须向甲方交纳人民币</w:t>
      </w:r>
      <w:r>
        <w:rPr>
          <w:rFonts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zh-CN"/>
        </w:rPr>
        <w:t>大写</w:t>
      </w:r>
      <w:r>
        <w:rPr>
          <w:rFonts w:ascii="仿宋" w:hAnsi="仿宋" w:eastAsia="仿宋" w:cs="仿宋"/>
          <w:color w:val="auto"/>
          <w:sz w:val="24"/>
          <w:szCs w:val="24"/>
          <w:highlight w:val="none"/>
          <w:lang w:val="zh-CN"/>
        </w:rPr>
        <w:t>)</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u w:val="single"/>
          <w:lang w:val="zh-CN"/>
        </w:rPr>
        <w:t>（￥</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作为本合同的履约保证金。</w:t>
      </w:r>
      <w:r>
        <w:rPr>
          <w:rFonts w:ascii="仿宋" w:hAnsi="仿宋" w:eastAsia="仿宋" w:cs="仿宋"/>
          <w:color w:val="auto"/>
          <w:sz w:val="24"/>
          <w:szCs w:val="24"/>
          <w:highlight w:val="none"/>
          <w:lang w:val="zh-CN"/>
        </w:rPr>
        <w:t xml:space="preserve"> </w:t>
      </w:r>
    </w:p>
    <w:p w14:paraId="2A4E6AE0">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.履约保证金用于补偿甲方因乙方不能履行或不能完全履行合同义务而蒙受的损失。</w:t>
      </w:r>
    </w:p>
    <w:p w14:paraId="7A718676">
      <w:pPr>
        <w:tabs>
          <w:tab w:val="left" w:pos="840"/>
        </w:tabs>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73A75FE8">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第八条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售后服务及承诺</w:t>
      </w:r>
    </w:p>
    <w:p w14:paraId="3A01AD78">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.乙方有完善的服务体系，有能力提供持续的、本地化售后服务。</w:t>
      </w:r>
    </w:p>
    <w:p w14:paraId="2D6CCF71">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.乙方负责系统安装和调试以及操作人员培训，并制定详细的培训计划，使操作人员能独立进行管理、操作、维护和故障处理等工作，做好相关记录及技术文档收集整理，待验收合格后移交给甲方。</w:t>
      </w:r>
    </w:p>
    <w:p w14:paraId="378BF4CA">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zh-CN"/>
        </w:rPr>
        <w:t>.供货及服务范围：乙方负责货物的供应、运输、安装调试、免费培训、售后服务。</w:t>
      </w:r>
    </w:p>
    <w:p w14:paraId="607572DE">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414015DA">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第九条</w:t>
      </w:r>
      <w:r>
        <w:rPr>
          <w:rFonts w:ascii="仿宋" w:hAnsi="仿宋" w:eastAsia="仿宋" w:cs="仿宋"/>
          <w:color w:val="auto"/>
          <w:sz w:val="24"/>
          <w:szCs w:val="24"/>
          <w:highlight w:val="none"/>
          <w:lang w:val="zh-CN"/>
        </w:rPr>
        <w:t xml:space="preserve">  </w:t>
      </w:r>
      <w:r>
        <w:rPr>
          <w:rStyle w:val="46"/>
          <w:rFonts w:hint="eastAsia"/>
          <w:color w:val="auto"/>
          <w:sz w:val="24"/>
          <w:szCs w:val="24"/>
          <w:highlight w:val="none"/>
        </w:rPr>
        <w:t>验收</w:t>
      </w:r>
    </w:p>
    <w:p w14:paraId="2BA77350">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.货物运抵现场后，采购人将对货物数量、质量、规格等进行检验。如发现货物和规格或者两者都与合同不符，采购人有权限根据检验结果要求中标人立即更换或者提出索赔要求。</w:t>
      </w:r>
    </w:p>
    <w:p w14:paraId="4573F838">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.开箱检查设备外观，如有损伤或质量缺陷，乙方应及时更换。</w:t>
      </w:r>
    </w:p>
    <w:p w14:paraId="09F776AB">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zh-CN"/>
        </w:rPr>
        <w:t>.依据合同设备清单，对设备品牌、规格型号（技术参数）、数量、质保书等必备附件进行检查。</w:t>
      </w:r>
    </w:p>
    <w:p w14:paraId="480190DD">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4</w:t>
      </w:r>
      <w:r>
        <w:rPr>
          <w:rFonts w:hint="eastAsia" w:ascii="仿宋" w:hAnsi="仿宋" w:eastAsia="仿宋" w:cs="仿宋"/>
          <w:color w:val="auto"/>
          <w:sz w:val="24"/>
          <w:szCs w:val="24"/>
          <w:highlight w:val="none"/>
          <w:lang w:val="zh-CN"/>
        </w:rPr>
        <w:t>.货物由中标人进行安装，完毕后，采购人应对货物的数量、质量、规格、性能等进行详细而全面的检验。安装调试完毕</w:t>
      </w:r>
      <w:r>
        <w:rPr>
          <w:rFonts w:hint="eastAsia"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日内，证明货物以及安装质量无任何问题，甲乙双方共同确认设备正常运行后，由采购人组成的验收小组签署验收报告，作为付款凭据之一。</w:t>
      </w:r>
    </w:p>
    <w:p w14:paraId="36E0E202">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2AD56A4A">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第十条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知识产权</w:t>
      </w:r>
    </w:p>
    <w:p w14:paraId="1AAD97EB">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乙方保证，甲方在使用该货物或者货物的任何一部分时，免受第三方提出的侵犯其专利权、商标权或其他知识产权的起诉。如发生此类纠纷，由乙方承担一切责任；如因此给甲方造成损失的，乙方负责全额赔偿。</w:t>
      </w:r>
    </w:p>
    <w:p w14:paraId="66D8E2B0">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.乙方为执行本合同而提供的技术资料或者其他相关资料、软件等由甲方永久免费使用。</w:t>
      </w:r>
    </w:p>
    <w:p w14:paraId="7B53D5A8">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786F200D">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第十一条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甲方责任</w:t>
      </w:r>
    </w:p>
    <w:p w14:paraId="544E8624">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.及时办理付款手续。</w:t>
      </w:r>
    </w:p>
    <w:p w14:paraId="11B39645">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.负责提供工作场地，协助乙方办理有关事宜。</w:t>
      </w:r>
    </w:p>
    <w:p w14:paraId="4A1068D2">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zh-CN"/>
        </w:rPr>
        <w:t>.对合同条款及所知悉的乙方商业秘密负有保密义务。</w:t>
      </w:r>
    </w:p>
    <w:p w14:paraId="4091CE02">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2C03FE4F">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第十二条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乙方责任</w:t>
      </w:r>
    </w:p>
    <w:p w14:paraId="65A7D233">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.保证所供货物均为投标文件承诺的货物，符合相关质量检测标准，具有该产品的出厂标准或国家鉴定证书</w:t>
      </w:r>
      <w:r>
        <w:rPr>
          <w:rFonts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zh-CN"/>
        </w:rPr>
        <w:t>保证其全部部件为全新的未使用的且符合相关质量要求。</w:t>
      </w:r>
    </w:p>
    <w:p w14:paraId="3FEA1C2C">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.保证货物的售后服务，严格依据投标文件及相关承诺，对货物及系统进行保修、维护等服务。</w:t>
      </w:r>
    </w:p>
    <w:p w14:paraId="6C96004E">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zh-CN"/>
        </w:rPr>
        <w:t>.保证其所供货物不存在侵犯第三方知识产权的行为，否则由此产生的损失由乙方承担。</w:t>
      </w:r>
    </w:p>
    <w:p w14:paraId="36B75CC0">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04AA2909">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第十三条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违约责任</w:t>
      </w:r>
    </w:p>
    <w:p w14:paraId="675DC23B">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.甲乙双方任意一方无故终止合同的，违约方应当按照合同总金额的</w:t>
      </w:r>
      <w:r>
        <w:rPr>
          <w:rFonts w:ascii="仿宋" w:hAnsi="仿宋" w:eastAsia="仿宋" w:cs="仿宋"/>
          <w:color w:val="auto"/>
          <w:sz w:val="24"/>
          <w:szCs w:val="24"/>
          <w:highlight w:val="none"/>
          <w:lang w:val="zh-CN"/>
        </w:rPr>
        <w:t>20%</w:t>
      </w:r>
      <w:r>
        <w:rPr>
          <w:rFonts w:hint="eastAsia" w:ascii="仿宋" w:hAnsi="仿宋" w:eastAsia="仿宋" w:cs="仿宋"/>
          <w:color w:val="auto"/>
          <w:sz w:val="24"/>
          <w:szCs w:val="24"/>
          <w:highlight w:val="none"/>
          <w:lang w:val="zh-CN"/>
        </w:rPr>
        <w:t>向守约方支付违约金。</w:t>
      </w:r>
    </w:p>
    <w:p w14:paraId="2CFD2001">
      <w:pPr>
        <w:spacing w:line="360" w:lineRule="auto"/>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2.乙方逾期交付货物时，每逾</w:t>
      </w: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日乙方向甲方支付合同总金额0.5‰的滞纳金。逾期交货超过</w:t>
      </w:r>
      <w:r>
        <w:rPr>
          <w:rFonts w:ascii="仿宋" w:hAnsi="仿宋" w:eastAsia="仿宋" w:cs="仿宋"/>
          <w:color w:val="auto"/>
          <w:sz w:val="24"/>
          <w:szCs w:val="24"/>
          <w:highlight w:val="none"/>
          <w:lang w:val="zh-CN"/>
        </w:rPr>
        <w:t>30</w:t>
      </w:r>
      <w:r>
        <w:rPr>
          <w:rFonts w:hint="eastAsia" w:ascii="仿宋" w:hAnsi="仿宋" w:eastAsia="仿宋" w:cs="仿宋"/>
          <w:color w:val="auto"/>
          <w:sz w:val="24"/>
          <w:szCs w:val="24"/>
          <w:highlight w:val="none"/>
          <w:lang w:val="zh-CN"/>
        </w:rPr>
        <w:t>日的，甲方有权决定是否继续履行合同，如甲方决定终止履行合同的，乙方应按照第1款的规定赔偿甲方违约金。</w:t>
      </w:r>
    </w:p>
    <w:p w14:paraId="7E6CE4CC">
      <w:pPr>
        <w:spacing w:line="360" w:lineRule="auto"/>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3.乙方所供货物品牌、规格型号、质量等不符合合同约定标准，甲方有权拒收，以及甲方收货后，发现产品出现质量问题不能使用的，甲方有权终止合同，同时，乙方向甲方支付合同总金额</w:t>
      </w:r>
      <w:r>
        <w:rPr>
          <w:rFonts w:ascii="仿宋" w:hAnsi="仿宋" w:eastAsia="仿宋" w:cs="仿宋"/>
          <w:color w:val="auto"/>
          <w:sz w:val="24"/>
          <w:szCs w:val="24"/>
          <w:highlight w:val="none"/>
          <w:lang w:val="zh-CN"/>
        </w:rPr>
        <w:t>20%</w:t>
      </w:r>
      <w:r>
        <w:rPr>
          <w:rFonts w:hint="eastAsia" w:ascii="仿宋" w:hAnsi="仿宋" w:eastAsia="仿宋" w:cs="仿宋"/>
          <w:color w:val="auto"/>
          <w:sz w:val="24"/>
          <w:szCs w:val="24"/>
          <w:highlight w:val="none"/>
          <w:lang w:val="zh-CN"/>
        </w:rPr>
        <w:t>的违约金，如果违约金不足以支付甲方所受损失的，甲方有权要求其赔偿。</w:t>
      </w:r>
    </w:p>
    <w:p w14:paraId="2D11D022">
      <w:pPr>
        <w:spacing w:line="360" w:lineRule="auto"/>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4.在质保期内产品出现质量问题，乙方必须在接到甲方通知后</w:t>
      </w:r>
      <w:r>
        <w:rPr>
          <w:rFonts w:hint="eastAsia"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小时内到达现场解决，否则甲方有权另请单位解决，由此产生的费用由乙方承担，甲方有权从质保金中扣除相关费用，产生的损失由乙方赔偿。</w:t>
      </w:r>
    </w:p>
    <w:p w14:paraId="4443614A">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5.甲乙双方违背其他合同条款，违约方赔偿对方损失。</w:t>
      </w:r>
    </w:p>
    <w:p w14:paraId="35991645">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2D638990">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第十四条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不可抗力</w:t>
      </w:r>
    </w:p>
    <w:p w14:paraId="1370EE75">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甲乙双方的任何一方由于不可抗力不能履行合同时，应当及时通知对方不能履行或不能完全履行的情况和理由；在取得有关主管机关证明后，允许延期履行、部分履行或者终止履行合同的，根据情况可部分或全部免予承担违约责任。</w:t>
      </w:r>
    </w:p>
    <w:p w14:paraId="0FB2BCA3">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01D5FD7C">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第十五条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保密</w:t>
      </w:r>
    </w:p>
    <w:p w14:paraId="3F2B54D5">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乙方在合同履行期间知悉甲方的工作秘密（包括相关业务信息），不得透露或以其他方式提供给合同双方以外的其他方（包括乙方内部与本合同无关的任何人员），乙方的保密责任不因本合同的终止而终止。</w:t>
      </w:r>
    </w:p>
    <w:p w14:paraId="46C9643D">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乙方违反本合同所规定的保密义务，应按照本合同总金额的</w:t>
      </w:r>
      <w:r>
        <w:rPr>
          <w:rFonts w:ascii="仿宋" w:hAnsi="仿宋" w:eastAsia="仿宋" w:cs="仿宋"/>
          <w:color w:val="auto"/>
          <w:sz w:val="24"/>
          <w:szCs w:val="24"/>
          <w:highlight w:val="none"/>
          <w:lang w:val="zh-CN"/>
        </w:rPr>
        <w:t>10%</w:t>
      </w:r>
      <w:r>
        <w:rPr>
          <w:rFonts w:hint="eastAsia" w:ascii="仿宋" w:hAnsi="仿宋" w:eastAsia="仿宋" w:cs="仿宋"/>
          <w:color w:val="auto"/>
          <w:sz w:val="24"/>
          <w:szCs w:val="24"/>
          <w:highlight w:val="none"/>
          <w:lang w:val="zh-CN"/>
        </w:rPr>
        <w:t>支付违约金。</w:t>
      </w:r>
    </w:p>
    <w:p w14:paraId="700780F2">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4979083D">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第十六条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争议解决</w:t>
      </w:r>
    </w:p>
    <w:p w14:paraId="0D791E50">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甲乙双方在合同履行中发生争议，应通过协商解决。如协商不成，可以向合同签订地法院提起诉讼。</w:t>
      </w:r>
    </w:p>
    <w:p w14:paraId="42256254">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14C76D4D">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第十七条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合同生效及其它</w:t>
      </w:r>
    </w:p>
    <w:p w14:paraId="5A9E75B8">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.除招标文件规定且甲方事先书面同意外，乙方不得部分或者全部转让、分包履行其应履行的合同项下的义务。</w:t>
      </w:r>
    </w:p>
    <w:p w14:paraId="5C43A349">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.合同由甲、乙双方法定代表人（或者被授权代表）签字并加盖单位公章，以最后一方签字日期为合同生效日期。</w:t>
      </w:r>
    </w:p>
    <w:p w14:paraId="207104A4">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zh-CN"/>
        </w:rPr>
        <w:t>.本合同一式六份，甲方</w:t>
      </w:r>
      <w:r>
        <w:rPr>
          <w:rFonts w:hint="eastAsia" w:ascii="仿宋" w:hAnsi="仿宋" w:eastAsia="仿宋" w:cs="仿宋"/>
          <w:color w:val="auto"/>
          <w:sz w:val="24"/>
          <w:szCs w:val="24"/>
          <w:highlight w:val="none"/>
        </w:rPr>
        <w:t>二</w:t>
      </w:r>
      <w:r>
        <w:rPr>
          <w:rFonts w:hint="eastAsia" w:ascii="仿宋" w:hAnsi="仿宋" w:eastAsia="仿宋" w:cs="仿宋"/>
          <w:color w:val="auto"/>
          <w:sz w:val="24"/>
          <w:szCs w:val="24"/>
          <w:highlight w:val="none"/>
          <w:lang w:val="zh-CN"/>
        </w:rPr>
        <w:t>份，乙方</w:t>
      </w:r>
      <w:r>
        <w:rPr>
          <w:rFonts w:hint="eastAsia" w:ascii="仿宋" w:hAnsi="仿宋" w:eastAsia="仿宋" w:cs="仿宋"/>
          <w:color w:val="auto"/>
          <w:sz w:val="24"/>
          <w:szCs w:val="24"/>
          <w:highlight w:val="none"/>
        </w:rPr>
        <w:t>二</w:t>
      </w:r>
      <w:r>
        <w:rPr>
          <w:rFonts w:hint="eastAsia" w:ascii="仿宋" w:hAnsi="仿宋" w:eastAsia="仿宋" w:cs="仿宋"/>
          <w:color w:val="auto"/>
          <w:sz w:val="24"/>
          <w:szCs w:val="24"/>
          <w:highlight w:val="none"/>
          <w:lang w:val="zh-CN"/>
        </w:rPr>
        <w:t>份，代理机构二份……</w:t>
      </w:r>
    </w:p>
    <w:p w14:paraId="6EF1D48A">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第十八条</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本合同附件</w:t>
      </w:r>
    </w:p>
    <w:p w14:paraId="168B8729">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.中标通知书；</w:t>
      </w:r>
    </w:p>
    <w:p w14:paraId="06576F39">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.采购招标文件（含招标文件的澄清、修改等）；</w:t>
      </w:r>
    </w:p>
    <w:p w14:paraId="6ED7A297">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zh-CN"/>
        </w:rPr>
        <w:t>.乙方投标文件；</w:t>
      </w:r>
    </w:p>
    <w:p w14:paraId="2E06BE55">
      <w:pPr>
        <w:spacing w:line="360" w:lineRule="auto"/>
        <w:ind w:firstLine="480" w:firstLineChars="200"/>
        <w:rPr>
          <w:rFonts w:ascii="仿宋" w:hAnsi="仿宋" w:eastAsia="仿宋" w:cs="仿宋"/>
          <w:color w:val="auto"/>
          <w:sz w:val="24"/>
          <w:szCs w:val="24"/>
          <w:highlight w:val="none"/>
          <w:lang w:val="zh-CN"/>
        </w:rPr>
      </w:pPr>
      <w:r>
        <w:rPr>
          <w:rFonts w:ascii="仿宋" w:hAnsi="仿宋" w:eastAsia="仿宋" w:cs="仿宋"/>
          <w:color w:val="auto"/>
          <w:sz w:val="24"/>
          <w:szCs w:val="24"/>
          <w:highlight w:val="none"/>
          <w:lang w:val="zh-CN"/>
        </w:rPr>
        <w:t>4</w:t>
      </w:r>
      <w:r>
        <w:rPr>
          <w:rFonts w:hint="eastAsia" w:ascii="仿宋" w:hAnsi="仿宋" w:eastAsia="仿宋" w:cs="仿宋"/>
          <w:color w:val="auto"/>
          <w:sz w:val="24"/>
          <w:szCs w:val="24"/>
          <w:highlight w:val="none"/>
          <w:lang w:val="zh-CN"/>
        </w:rPr>
        <w:t>.中标人在评标过程中做出的有关澄清、说明、承诺或者补正文件（材料）；</w:t>
      </w:r>
    </w:p>
    <w:p w14:paraId="1CD1CEE0">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704C2C22">
      <w:pPr>
        <w:spacing w:line="360" w:lineRule="auto"/>
        <w:ind w:firstLine="480" w:firstLineChars="200"/>
        <w:rPr>
          <w:rFonts w:hint="eastAsia" w:ascii="仿宋" w:hAnsi="仿宋" w:eastAsia="仿宋" w:cs="仿宋"/>
          <w:color w:val="auto"/>
          <w:sz w:val="24"/>
          <w:szCs w:val="24"/>
          <w:highlight w:val="none"/>
          <w:lang w:val="zh-CN"/>
        </w:rPr>
      </w:pPr>
    </w:p>
    <w:p w14:paraId="2BAEE365">
      <w:pPr>
        <w:spacing w:line="360" w:lineRule="auto"/>
        <w:ind w:firstLine="480" w:firstLineChars="200"/>
        <w:rPr>
          <w:rFonts w:hint="eastAsia" w:ascii="仿宋" w:hAnsi="仿宋" w:eastAsia="仿宋" w:cs="仿宋"/>
          <w:color w:val="auto"/>
          <w:sz w:val="24"/>
          <w:szCs w:val="24"/>
          <w:highlight w:val="none"/>
          <w:lang w:val="zh-CN"/>
        </w:rPr>
      </w:pPr>
    </w:p>
    <w:p w14:paraId="4273A040">
      <w:pPr>
        <w:spacing w:line="360" w:lineRule="auto"/>
        <w:ind w:firstLine="480" w:firstLineChars="200"/>
        <w:rPr>
          <w:rFonts w:hint="eastAsia" w:ascii="仿宋" w:hAnsi="仿宋" w:eastAsia="仿宋" w:cs="仿宋"/>
          <w:color w:val="auto"/>
          <w:sz w:val="24"/>
          <w:szCs w:val="24"/>
          <w:highlight w:val="none"/>
          <w:lang w:val="zh-CN"/>
        </w:rPr>
      </w:pPr>
    </w:p>
    <w:p w14:paraId="4BC2F63D">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甲</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方：</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zh-CN"/>
        </w:rPr>
        <w:t>乙</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方：</w:t>
      </w:r>
    </w:p>
    <w:p w14:paraId="442A0C43">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单位名称</w:t>
      </w:r>
      <w:r>
        <w:rPr>
          <w:rFonts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zh-CN"/>
        </w:rPr>
        <w:t>公章</w:t>
      </w:r>
      <w:r>
        <w:rPr>
          <w:rFonts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zh-CN"/>
        </w:rPr>
        <w:t>：</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zh-CN"/>
        </w:rPr>
        <w:t>单位名称</w:t>
      </w:r>
      <w:r>
        <w:rPr>
          <w:rFonts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zh-CN"/>
        </w:rPr>
        <w:t>公章</w:t>
      </w:r>
      <w:r>
        <w:rPr>
          <w:rFonts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zh-CN"/>
        </w:rPr>
        <w:t>：</w:t>
      </w:r>
    </w:p>
    <w:p w14:paraId="58998C5C">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法定代表人（授权代表）签字：</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rPr>
        <w:t xml:space="preserve">      </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法定代表人（授权代表）签字：</w:t>
      </w:r>
    </w:p>
    <w:p w14:paraId="68A20B5F">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电</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话：</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rPr>
        <w:t xml:space="preserve">                     </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电</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话：</w:t>
      </w:r>
    </w:p>
    <w:p w14:paraId="37FA7B5A">
      <w:pPr>
        <w:spacing w:line="360" w:lineRule="auto"/>
        <w:ind w:firstLine="480" w:firstLineChars="200"/>
        <w:rPr>
          <w:rFonts w:hint="eastAsia" w:ascii="仿宋" w:hAnsi="仿宋" w:eastAsia="仿宋" w:cs="仿宋"/>
          <w:color w:val="auto"/>
          <w:sz w:val="24"/>
          <w:szCs w:val="24"/>
          <w:highlight w:val="none"/>
          <w:lang w:val="zh-CN"/>
        </w:rPr>
      </w:pPr>
    </w:p>
    <w:p w14:paraId="568A4EB4">
      <w:pPr>
        <w:spacing w:line="360" w:lineRule="auto"/>
        <w:ind w:firstLine="480" w:firstLineChars="200"/>
        <w:rPr>
          <w:rFonts w:hint="eastAsia" w:ascii="仿宋" w:hAnsi="仿宋" w:eastAsia="仿宋" w:cs="仿宋"/>
          <w:color w:val="auto"/>
          <w:sz w:val="24"/>
          <w:szCs w:val="24"/>
          <w:highlight w:val="none"/>
          <w:lang w:val="zh-CN"/>
        </w:rPr>
      </w:pPr>
    </w:p>
    <w:p w14:paraId="4D2A8641">
      <w:pPr>
        <w:spacing w:line="360" w:lineRule="auto"/>
        <w:ind w:firstLine="2400" w:firstLineChars="10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年</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月</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日</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年</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月</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日</w:t>
      </w:r>
    </w:p>
    <w:p w14:paraId="2FE4A005">
      <w:pPr>
        <w:spacing w:line="420" w:lineRule="exact"/>
        <w:rPr>
          <w:rFonts w:ascii="宋体" w:hAnsi="宋体" w:cs="仿宋"/>
          <w:color w:val="auto"/>
          <w:szCs w:val="21"/>
          <w:highlight w:val="none"/>
          <w:lang w:val="zh-CN"/>
        </w:rPr>
        <w:sectPr>
          <w:footerReference r:id="rId8" w:type="default"/>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33169BA1">
      <w:pPr>
        <w:spacing w:after="156" w:afterLines="50"/>
        <w:jc w:val="center"/>
        <w:outlineLvl w:val="1"/>
        <w:rPr>
          <w:rFonts w:ascii="黑体" w:hAnsi="黑体" w:eastAsia="黑体"/>
          <w:color w:val="auto"/>
          <w:sz w:val="28"/>
          <w:szCs w:val="28"/>
          <w:highlight w:val="none"/>
        </w:rPr>
      </w:pPr>
      <w:bookmarkStart w:id="117" w:name="_Toc24783"/>
      <w:bookmarkStart w:id="118" w:name="_Toc427823747"/>
      <w:bookmarkStart w:id="119" w:name="_Toc432789544"/>
      <w:r>
        <w:rPr>
          <w:rFonts w:ascii="黑体" w:hAnsi="黑体" w:eastAsia="黑体"/>
          <w:color w:val="auto"/>
          <w:sz w:val="28"/>
          <w:szCs w:val="28"/>
          <w:highlight w:val="none"/>
        </w:rPr>
        <w:t>第十章</w:t>
      </w:r>
      <w:r>
        <w:rPr>
          <w:rFonts w:hint="eastAsia" w:ascii="黑体" w:hAnsi="黑体" w:eastAsia="黑体"/>
          <w:color w:val="auto"/>
          <w:sz w:val="28"/>
          <w:szCs w:val="28"/>
          <w:highlight w:val="none"/>
        </w:rPr>
        <w:t xml:space="preserve">  投标文件格式</w:t>
      </w:r>
      <w:bookmarkEnd w:id="117"/>
      <w:bookmarkEnd w:id="118"/>
      <w:bookmarkEnd w:id="119"/>
    </w:p>
    <w:p w14:paraId="4BEF358A">
      <w:pPr>
        <w:spacing w:line="420" w:lineRule="exact"/>
        <w:rPr>
          <w:color w:val="auto"/>
          <w:highlight w:val="none"/>
        </w:rPr>
      </w:pPr>
    </w:p>
    <w:p w14:paraId="34E4497D">
      <w:pPr>
        <w:spacing w:line="420" w:lineRule="exact"/>
        <w:rPr>
          <w:rFonts w:hint="eastAsia" w:ascii="宋体" w:hAnsi="宋体" w:cs="仿宋"/>
          <w:color w:val="auto"/>
          <w:szCs w:val="21"/>
          <w:highlight w:val="none"/>
          <w:lang w:val="zh-CN"/>
        </w:rPr>
      </w:pPr>
    </w:p>
    <w:p w14:paraId="2560C9BD">
      <w:pPr>
        <w:spacing w:line="420" w:lineRule="exact"/>
        <w:rPr>
          <w:rFonts w:ascii="宋体" w:hAnsi="宋体" w:cs="仿宋"/>
          <w:color w:val="auto"/>
          <w:szCs w:val="21"/>
          <w:highlight w:val="none"/>
          <w:lang w:val="zh-CN"/>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2D367CC7">
      <w:pPr>
        <w:widowControl/>
        <w:autoSpaceDE w:val="0"/>
        <w:autoSpaceDN w:val="0"/>
        <w:adjustRightInd w:val="0"/>
        <w:ind w:right="-481"/>
        <w:jc w:val="right"/>
        <w:rPr>
          <w:rFonts w:ascii="Heiti SC Light" w:hAnsi="Arial" w:eastAsia="Heiti SC Light" w:cs="Heiti SC Light"/>
          <w:color w:val="auto"/>
          <w:kern w:val="1"/>
          <w:sz w:val="28"/>
          <w:szCs w:val="28"/>
          <w:highlight w:val="none"/>
        </w:rPr>
      </w:pPr>
      <w:r>
        <w:rPr>
          <w:rFonts w:hint="eastAsia" w:ascii="Heiti SC Light" w:hAnsi="Arial" w:eastAsia="Heiti SC Light" w:cs="Heiti SC Light"/>
          <w:color w:val="auto"/>
          <w:kern w:val="1"/>
          <w:sz w:val="28"/>
          <w:szCs w:val="28"/>
          <w:highlight w:val="none"/>
        </w:rPr>
        <w:t>【正（副）本】</w:t>
      </w:r>
    </w:p>
    <w:p w14:paraId="4E91A8C2">
      <w:pPr>
        <w:widowControl/>
        <w:autoSpaceDE w:val="0"/>
        <w:autoSpaceDN w:val="0"/>
        <w:adjustRightInd w:val="0"/>
        <w:ind w:right="-481"/>
        <w:jc w:val="center"/>
        <w:rPr>
          <w:rFonts w:ascii="宋体" w:hAnsi="宋体"/>
          <w:color w:val="auto"/>
          <w:kern w:val="1"/>
          <w:sz w:val="28"/>
          <w:szCs w:val="28"/>
          <w:highlight w:val="none"/>
        </w:rPr>
      </w:pPr>
    </w:p>
    <w:p w14:paraId="766E0DCF">
      <w:pPr>
        <w:widowControl/>
        <w:autoSpaceDE w:val="0"/>
        <w:autoSpaceDN w:val="0"/>
        <w:adjustRightInd w:val="0"/>
        <w:ind w:right="-481"/>
        <w:jc w:val="center"/>
        <w:rPr>
          <w:rFonts w:ascii="宋体" w:hAnsi="宋体"/>
          <w:color w:val="auto"/>
          <w:kern w:val="1"/>
          <w:sz w:val="28"/>
          <w:szCs w:val="28"/>
          <w:highlight w:val="none"/>
        </w:rPr>
      </w:pPr>
    </w:p>
    <w:p w14:paraId="57E956EE">
      <w:pPr>
        <w:widowControl/>
        <w:autoSpaceDE w:val="0"/>
        <w:autoSpaceDN w:val="0"/>
        <w:adjustRightInd w:val="0"/>
        <w:ind w:right="-481"/>
        <w:jc w:val="center"/>
        <w:rPr>
          <w:rFonts w:ascii="Heiti SC Light" w:eastAsia="Heiti SC Light" w:cs="Heiti SC Light"/>
          <w:b/>
          <w:bCs/>
          <w:color w:val="auto"/>
          <w:kern w:val="1"/>
          <w:sz w:val="72"/>
          <w:szCs w:val="72"/>
          <w:highlight w:val="none"/>
        </w:rPr>
      </w:pPr>
      <w:r>
        <w:rPr>
          <w:rFonts w:hint="eastAsia" w:ascii="Heiti SC Light" w:eastAsia="Heiti SC Light" w:cs="Heiti SC Light"/>
          <w:b/>
          <w:bCs/>
          <w:color w:val="auto"/>
          <w:kern w:val="1"/>
          <w:sz w:val="72"/>
          <w:szCs w:val="72"/>
          <w:highlight w:val="none"/>
        </w:rPr>
        <w:t>投标文件</w:t>
      </w:r>
    </w:p>
    <w:p w14:paraId="1E7B5508">
      <w:pPr>
        <w:widowControl/>
        <w:autoSpaceDE w:val="0"/>
        <w:autoSpaceDN w:val="0"/>
        <w:adjustRightInd w:val="0"/>
        <w:ind w:right="-481"/>
        <w:jc w:val="center"/>
        <w:rPr>
          <w:rFonts w:ascii="宋体" w:hAnsi="宋体"/>
          <w:b/>
          <w:bCs/>
          <w:color w:val="auto"/>
          <w:kern w:val="1"/>
          <w:szCs w:val="21"/>
          <w:highlight w:val="none"/>
        </w:rPr>
      </w:pPr>
    </w:p>
    <w:p w14:paraId="7224142D">
      <w:pPr>
        <w:widowControl/>
        <w:autoSpaceDE w:val="0"/>
        <w:autoSpaceDN w:val="0"/>
        <w:adjustRightInd w:val="0"/>
        <w:ind w:right="-481"/>
        <w:jc w:val="center"/>
        <w:rPr>
          <w:rFonts w:ascii="Heiti SC Light" w:eastAsia="Heiti SC Light" w:cs="Heiti SC Light"/>
          <w:color w:val="auto"/>
          <w:kern w:val="1"/>
          <w:sz w:val="32"/>
          <w:szCs w:val="32"/>
          <w:highlight w:val="none"/>
        </w:rPr>
      </w:pPr>
      <w:r>
        <w:rPr>
          <w:rFonts w:hint="eastAsia" w:ascii="Heiti SC Light" w:eastAsia="Heiti SC Light" w:cs="Heiti SC Light"/>
          <w:color w:val="auto"/>
          <w:kern w:val="1"/>
          <w:sz w:val="32"/>
          <w:szCs w:val="32"/>
          <w:highlight w:val="none"/>
        </w:rPr>
        <w:t>包：第</w:t>
      </w:r>
      <w:r>
        <w:rPr>
          <w:rFonts w:ascii="Heiti SC Light" w:eastAsia="Heiti SC Light" w:cs="Heiti SC Light"/>
          <w:color w:val="auto"/>
          <w:kern w:val="1"/>
          <w:sz w:val="32"/>
          <w:szCs w:val="32"/>
          <w:highlight w:val="none"/>
        </w:rPr>
        <w:t xml:space="preserve">  </w:t>
      </w:r>
      <w:r>
        <w:rPr>
          <w:rFonts w:hint="eastAsia" w:ascii="Heiti SC Light" w:eastAsia="Heiti SC Light" w:cs="Heiti SC Light"/>
          <w:color w:val="auto"/>
          <w:kern w:val="1"/>
          <w:sz w:val="32"/>
          <w:szCs w:val="32"/>
          <w:highlight w:val="none"/>
        </w:rPr>
        <w:t>包</w:t>
      </w:r>
    </w:p>
    <w:p w14:paraId="47665EE0">
      <w:pPr>
        <w:widowControl/>
        <w:autoSpaceDE w:val="0"/>
        <w:autoSpaceDN w:val="0"/>
        <w:adjustRightInd w:val="0"/>
        <w:ind w:right="-481"/>
        <w:jc w:val="center"/>
        <w:rPr>
          <w:rFonts w:ascii="宋体" w:hAnsi="宋体"/>
          <w:b/>
          <w:bCs/>
          <w:color w:val="auto"/>
          <w:kern w:val="1"/>
          <w:sz w:val="28"/>
          <w:szCs w:val="28"/>
          <w:highlight w:val="none"/>
        </w:rPr>
      </w:pPr>
    </w:p>
    <w:p w14:paraId="2E80668B">
      <w:pPr>
        <w:widowControl/>
        <w:autoSpaceDE w:val="0"/>
        <w:autoSpaceDN w:val="0"/>
        <w:adjustRightInd w:val="0"/>
        <w:ind w:right="-481"/>
        <w:jc w:val="center"/>
        <w:rPr>
          <w:rFonts w:ascii="宋体" w:hAnsi="宋体"/>
          <w:b/>
          <w:bCs/>
          <w:color w:val="auto"/>
          <w:kern w:val="1"/>
          <w:sz w:val="28"/>
          <w:szCs w:val="28"/>
          <w:highlight w:val="none"/>
        </w:rPr>
      </w:pPr>
    </w:p>
    <w:p w14:paraId="1931131B">
      <w:pPr>
        <w:widowControl/>
        <w:autoSpaceDE w:val="0"/>
        <w:autoSpaceDN w:val="0"/>
        <w:adjustRightInd w:val="0"/>
        <w:ind w:right="-481"/>
        <w:jc w:val="center"/>
        <w:rPr>
          <w:rFonts w:ascii="宋体" w:hAnsi="宋体"/>
          <w:b/>
          <w:bCs/>
          <w:color w:val="auto"/>
          <w:kern w:val="1"/>
          <w:sz w:val="28"/>
          <w:szCs w:val="28"/>
          <w:highlight w:val="none"/>
        </w:rPr>
      </w:pPr>
    </w:p>
    <w:p w14:paraId="7D250D4F">
      <w:pPr>
        <w:widowControl/>
        <w:autoSpaceDE w:val="0"/>
        <w:autoSpaceDN w:val="0"/>
        <w:adjustRightInd w:val="0"/>
        <w:ind w:right="-481"/>
        <w:jc w:val="center"/>
        <w:rPr>
          <w:rFonts w:ascii="宋体" w:hAnsi="宋体"/>
          <w:b/>
          <w:bCs/>
          <w:color w:val="auto"/>
          <w:kern w:val="1"/>
          <w:sz w:val="28"/>
          <w:szCs w:val="28"/>
          <w:highlight w:val="none"/>
        </w:rPr>
      </w:pPr>
    </w:p>
    <w:p w14:paraId="5D178D7E">
      <w:pPr>
        <w:widowControl/>
        <w:autoSpaceDE w:val="0"/>
        <w:autoSpaceDN w:val="0"/>
        <w:adjustRightInd w:val="0"/>
        <w:spacing w:before="340" w:after="330" w:line="576" w:lineRule="auto"/>
        <w:ind w:right="-481"/>
        <w:jc w:val="center"/>
        <w:rPr>
          <w:rFonts w:hint="eastAsia" w:ascii="宋体" w:hAnsi="宋体"/>
          <w:b/>
          <w:bCs/>
          <w:color w:val="auto"/>
          <w:kern w:val="1"/>
          <w:sz w:val="52"/>
          <w:szCs w:val="52"/>
          <w:highlight w:val="none"/>
        </w:rPr>
      </w:pPr>
      <w:r>
        <w:rPr>
          <w:rFonts w:hint="eastAsia" w:ascii="宋体" w:hAnsi="宋体" w:cs="Heiti SC Light"/>
          <w:b/>
          <w:bCs/>
          <w:color w:val="auto"/>
          <w:kern w:val="1"/>
          <w:sz w:val="52"/>
          <w:szCs w:val="52"/>
          <w:highlight w:val="none"/>
        </w:rPr>
        <w:t>商务文件</w:t>
      </w:r>
    </w:p>
    <w:p w14:paraId="3368A020">
      <w:pPr>
        <w:widowControl/>
        <w:autoSpaceDE w:val="0"/>
        <w:autoSpaceDN w:val="0"/>
        <w:adjustRightInd w:val="0"/>
        <w:ind w:right="-481"/>
        <w:jc w:val="center"/>
        <w:rPr>
          <w:rFonts w:ascii="宋体" w:hAnsi="宋体"/>
          <w:b/>
          <w:bCs/>
          <w:color w:val="auto"/>
          <w:kern w:val="1"/>
          <w:sz w:val="52"/>
          <w:szCs w:val="52"/>
          <w:highlight w:val="none"/>
        </w:rPr>
      </w:pPr>
    </w:p>
    <w:p w14:paraId="131AAC37">
      <w:pPr>
        <w:widowControl/>
        <w:autoSpaceDE w:val="0"/>
        <w:autoSpaceDN w:val="0"/>
        <w:adjustRightInd w:val="0"/>
        <w:ind w:right="-481"/>
        <w:jc w:val="center"/>
        <w:rPr>
          <w:rFonts w:ascii="宋体" w:hAnsi="宋体"/>
          <w:b/>
          <w:bCs/>
          <w:color w:val="auto"/>
          <w:kern w:val="1"/>
          <w:sz w:val="52"/>
          <w:szCs w:val="52"/>
          <w:highlight w:val="none"/>
        </w:rPr>
      </w:pPr>
    </w:p>
    <w:p w14:paraId="4112CFA1">
      <w:pPr>
        <w:widowControl/>
        <w:autoSpaceDE w:val="0"/>
        <w:autoSpaceDN w:val="0"/>
        <w:adjustRightInd w:val="0"/>
        <w:spacing w:line="360" w:lineRule="auto"/>
        <w:ind w:right="-481" w:firstLine="2880"/>
        <w:rPr>
          <w:rFonts w:ascii="仿宋" w:hAnsi="仿宋" w:eastAsia="仿宋" w:cs="仿宋"/>
          <w:color w:val="auto"/>
          <w:kern w:val="1"/>
          <w:sz w:val="28"/>
          <w:szCs w:val="28"/>
          <w:highlight w:val="none"/>
        </w:rPr>
      </w:pPr>
      <w:r>
        <w:rPr>
          <w:rFonts w:hint="eastAsia" w:ascii="仿宋" w:hAnsi="仿宋" w:eastAsia="仿宋" w:cs="仿宋"/>
          <w:color w:val="auto"/>
          <w:kern w:val="1"/>
          <w:sz w:val="32"/>
          <w:szCs w:val="32"/>
          <w:highlight w:val="none"/>
        </w:rPr>
        <w:t>项目名称：</w:t>
      </w:r>
      <w:r>
        <w:rPr>
          <w:rFonts w:ascii="仿宋" w:hAnsi="仿宋" w:eastAsia="仿宋" w:cs="仿宋"/>
          <w:color w:val="auto"/>
          <w:kern w:val="1"/>
          <w:sz w:val="28"/>
          <w:szCs w:val="28"/>
          <w:highlight w:val="none"/>
        </w:rPr>
        <w:t xml:space="preserve"> </w:t>
      </w:r>
    </w:p>
    <w:p w14:paraId="1F8566C0">
      <w:pPr>
        <w:widowControl/>
        <w:autoSpaceDE w:val="0"/>
        <w:autoSpaceDN w:val="0"/>
        <w:adjustRightInd w:val="0"/>
        <w:spacing w:line="360" w:lineRule="auto"/>
        <w:ind w:right="-481" w:firstLine="2880"/>
        <w:rPr>
          <w:rFonts w:ascii="仿宋" w:hAnsi="仿宋" w:eastAsia="仿宋" w:cs="仿宋"/>
          <w:color w:val="auto"/>
          <w:kern w:val="1"/>
          <w:sz w:val="32"/>
          <w:szCs w:val="32"/>
          <w:highlight w:val="none"/>
        </w:rPr>
      </w:pPr>
      <w:r>
        <w:rPr>
          <w:rFonts w:hint="eastAsia" w:ascii="仿宋" w:hAnsi="仿宋" w:eastAsia="仿宋" w:cs="仿宋"/>
          <w:color w:val="auto"/>
          <w:kern w:val="1"/>
          <w:sz w:val="32"/>
          <w:szCs w:val="32"/>
          <w:highlight w:val="none"/>
        </w:rPr>
        <w:t>项目编号：</w:t>
      </w:r>
      <w:r>
        <w:rPr>
          <w:rFonts w:ascii="仿宋" w:hAnsi="仿宋" w:eastAsia="仿宋" w:cs="仿宋"/>
          <w:color w:val="auto"/>
          <w:kern w:val="1"/>
          <w:sz w:val="32"/>
          <w:szCs w:val="32"/>
          <w:highlight w:val="none"/>
        </w:rPr>
        <w:t xml:space="preserve"> </w:t>
      </w:r>
    </w:p>
    <w:p w14:paraId="61988EB0">
      <w:pPr>
        <w:widowControl/>
        <w:autoSpaceDE w:val="0"/>
        <w:autoSpaceDN w:val="0"/>
        <w:adjustRightInd w:val="0"/>
        <w:spacing w:line="360" w:lineRule="auto"/>
        <w:ind w:right="-481" w:firstLine="2880"/>
        <w:rPr>
          <w:rFonts w:ascii="仿宋" w:hAnsi="仿宋" w:eastAsia="仿宋"/>
          <w:color w:val="auto"/>
          <w:kern w:val="1"/>
          <w:sz w:val="32"/>
          <w:szCs w:val="32"/>
          <w:highlight w:val="none"/>
        </w:rPr>
      </w:pPr>
      <w:r>
        <w:rPr>
          <w:rFonts w:hint="eastAsia" w:ascii="仿宋" w:hAnsi="仿宋" w:eastAsia="仿宋" w:cs="仿宋"/>
          <w:color w:val="auto"/>
          <w:kern w:val="1"/>
          <w:sz w:val="32"/>
          <w:szCs w:val="32"/>
          <w:highlight w:val="none"/>
        </w:rPr>
        <w:t>投标单位全称（盖公章）：</w:t>
      </w:r>
    </w:p>
    <w:p w14:paraId="1377A862">
      <w:pPr>
        <w:widowControl/>
        <w:autoSpaceDE w:val="0"/>
        <w:autoSpaceDN w:val="0"/>
        <w:adjustRightInd w:val="0"/>
        <w:spacing w:line="600" w:lineRule="auto"/>
        <w:ind w:right="-481"/>
        <w:jc w:val="center"/>
        <w:rPr>
          <w:rFonts w:ascii="仿宋" w:hAnsi="仿宋" w:eastAsia="仿宋"/>
          <w:color w:val="auto"/>
          <w:kern w:val="1"/>
          <w:sz w:val="32"/>
          <w:szCs w:val="32"/>
          <w:highlight w:val="none"/>
        </w:rPr>
      </w:pPr>
      <w:r>
        <w:rPr>
          <w:rFonts w:hint="eastAsia" w:ascii="仿宋" w:hAnsi="仿宋" w:eastAsia="仿宋" w:cs="仿宋"/>
          <w:color w:val="auto"/>
          <w:kern w:val="1"/>
          <w:sz w:val="32"/>
          <w:szCs w:val="32"/>
          <w:highlight w:val="none"/>
        </w:rPr>
        <w:t>二〇</w:t>
      </w:r>
      <w:r>
        <w:rPr>
          <w:rFonts w:ascii="仿宋" w:hAnsi="仿宋" w:eastAsia="仿宋" w:cs="仿宋"/>
          <w:color w:val="auto"/>
          <w:kern w:val="1"/>
          <w:sz w:val="32"/>
          <w:szCs w:val="32"/>
          <w:highlight w:val="none"/>
        </w:rPr>
        <w:t xml:space="preserve">   </w:t>
      </w:r>
      <w:r>
        <w:rPr>
          <w:rFonts w:hint="eastAsia" w:ascii="仿宋" w:hAnsi="仿宋" w:eastAsia="仿宋" w:cs="仿宋"/>
          <w:color w:val="auto"/>
          <w:kern w:val="1"/>
          <w:sz w:val="32"/>
          <w:szCs w:val="32"/>
          <w:highlight w:val="none"/>
        </w:rPr>
        <w:t>年</w:t>
      </w:r>
      <w:r>
        <w:rPr>
          <w:rFonts w:ascii="仿宋" w:hAnsi="仿宋" w:eastAsia="仿宋" w:cs="仿宋"/>
          <w:color w:val="auto"/>
          <w:kern w:val="1"/>
          <w:sz w:val="32"/>
          <w:szCs w:val="32"/>
          <w:highlight w:val="none"/>
        </w:rPr>
        <w:t xml:space="preserve">  </w:t>
      </w:r>
      <w:r>
        <w:rPr>
          <w:rFonts w:hint="eastAsia" w:ascii="仿宋" w:hAnsi="仿宋" w:eastAsia="仿宋" w:cs="仿宋"/>
          <w:color w:val="auto"/>
          <w:kern w:val="1"/>
          <w:sz w:val="32"/>
          <w:szCs w:val="32"/>
          <w:highlight w:val="none"/>
        </w:rPr>
        <w:t>月</w:t>
      </w:r>
      <w:r>
        <w:rPr>
          <w:rFonts w:ascii="仿宋" w:hAnsi="仿宋" w:eastAsia="仿宋" w:cs="仿宋"/>
          <w:color w:val="auto"/>
          <w:kern w:val="1"/>
          <w:sz w:val="32"/>
          <w:szCs w:val="32"/>
          <w:highlight w:val="none"/>
        </w:rPr>
        <w:t xml:space="preserve">  </w:t>
      </w:r>
      <w:r>
        <w:rPr>
          <w:rFonts w:hint="eastAsia" w:ascii="仿宋" w:hAnsi="仿宋" w:eastAsia="仿宋" w:cs="仿宋"/>
          <w:color w:val="auto"/>
          <w:kern w:val="1"/>
          <w:sz w:val="32"/>
          <w:szCs w:val="32"/>
          <w:highlight w:val="none"/>
        </w:rPr>
        <w:t>日</w:t>
      </w:r>
    </w:p>
    <w:p w14:paraId="47466A01">
      <w:pPr>
        <w:widowControl/>
        <w:autoSpaceDE w:val="0"/>
        <w:autoSpaceDN w:val="0"/>
        <w:adjustRightInd w:val="0"/>
        <w:spacing w:before="260" w:after="260" w:line="408" w:lineRule="auto"/>
        <w:ind w:right="-481"/>
        <w:jc w:val="center"/>
        <w:rPr>
          <w:rFonts w:ascii="宋体" w:hAnsi="宋体"/>
          <w:color w:val="auto"/>
          <w:kern w:val="1"/>
          <w:sz w:val="30"/>
          <w:szCs w:val="30"/>
          <w:highlight w:val="none"/>
        </w:rPr>
      </w:pPr>
      <w:r>
        <w:rPr>
          <w:rFonts w:ascii="宋体" w:hAnsi="宋体" w:cs="宋体"/>
          <w:color w:val="auto"/>
          <w:kern w:val="1"/>
          <w:sz w:val="30"/>
          <w:szCs w:val="30"/>
          <w:highlight w:val="none"/>
        </w:rPr>
        <w:br w:type="page"/>
      </w:r>
      <w:r>
        <w:rPr>
          <w:rFonts w:hint="eastAsia" w:ascii="宋体" w:hAnsi="宋体" w:cs="宋体"/>
          <w:color w:val="auto"/>
          <w:kern w:val="1"/>
          <w:sz w:val="30"/>
          <w:szCs w:val="30"/>
          <w:highlight w:val="none"/>
        </w:rPr>
        <w:t>商务文件目录</w:t>
      </w:r>
    </w:p>
    <w:p w14:paraId="573B5062">
      <w:pPr>
        <w:widowControl/>
        <w:wordWrap w:val="0"/>
        <w:spacing w:line="420" w:lineRule="exact"/>
        <w:ind w:firstLine="480" w:firstLineChars="200"/>
        <w:jc w:val="left"/>
        <w:rPr>
          <w:rFonts w:ascii="宋体" w:hAnsi="宋体" w:cs="Arial"/>
          <w:color w:val="auto"/>
          <w:kern w:val="1"/>
          <w:sz w:val="24"/>
          <w:szCs w:val="24"/>
          <w:highlight w:val="none"/>
        </w:rPr>
      </w:pPr>
      <w:r>
        <w:rPr>
          <w:rFonts w:hint="eastAsia" w:ascii="仿宋" w:hAnsi="仿宋" w:eastAsia="仿宋" w:cs="仿宋"/>
          <w:color w:val="auto"/>
          <w:sz w:val="24"/>
          <w:highlight w:val="none"/>
        </w:rPr>
        <w:t>商务文件</w:t>
      </w:r>
      <w:r>
        <w:rPr>
          <w:rFonts w:hint="eastAsia" w:ascii="仿宋" w:hAnsi="仿宋" w:eastAsia="仿宋" w:cs="仿宋"/>
          <w:color w:val="auto"/>
          <w:sz w:val="24"/>
          <w:highlight w:val="none"/>
          <w:lang w:val="zh-CN"/>
        </w:rPr>
        <w:t>包含但不限于以下内容：</w:t>
      </w:r>
    </w:p>
    <w:p w14:paraId="5907B7C7">
      <w:pPr>
        <w:widowControl/>
        <w:autoSpaceDE w:val="0"/>
        <w:autoSpaceDN w:val="0"/>
        <w:adjustRightInd w:val="0"/>
        <w:spacing w:line="360" w:lineRule="auto"/>
        <w:ind w:right="-482" w:firstLine="480"/>
        <w:rPr>
          <w:rStyle w:val="46"/>
          <w:rFonts w:hint="eastAsia"/>
          <w:color w:val="auto"/>
          <w:sz w:val="24"/>
          <w:szCs w:val="24"/>
          <w:highlight w:val="none"/>
        </w:rPr>
      </w:pPr>
      <w:r>
        <w:rPr>
          <w:rStyle w:val="46"/>
          <w:rFonts w:hint="eastAsia"/>
          <w:color w:val="auto"/>
          <w:sz w:val="24"/>
          <w:szCs w:val="24"/>
          <w:highlight w:val="none"/>
        </w:rPr>
        <w:t>1、投标函</w:t>
      </w:r>
      <w:r>
        <w:rPr>
          <w:rStyle w:val="46"/>
          <w:color w:val="auto"/>
          <w:sz w:val="24"/>
          <w:szCs w:val="24"/>
          <w:highlight w:val="none"/>
        </w:rPr>
        <w:t>(</w:t>
      </w:r>
      <w:r>
        <w:rPr>
          <w:rStyle w:val="46"/>
          <w:rFonts w:hint="eastAsia"/>
          <w:color w:val="auto"/>
          <w:sz w:val="24"/>
          <w:szCs w:val="24"/>
          <w:highlight w:val="none"/>
        </w:rPr>
        <w:t>见附件1</w:t>
      </w:r>
      <w:r>
        <w:rPr>
          <w:rStyle w:val="46"/>
          <w:color w:val="auto"/>
          <w:sz w:val="24"/>
          <w:szCs w:val="24"/>
          <w:highlight w:val="none"/>
        </w:rPr>
        <w:t>)</w:t>
      </w:r>
      <w:r>
        <w:rPr>
          <w:rStyle w:val="46"/>
          <w:rFonts w:hint="eastAsia"/>
          <w:color w:val="auto"/>
          <w:sz w:val="24"/>
          <w:szCs w:val="24"/>
          <w:highlight w:val="none"/>
        </w:rPr>
        <w:t>；</w:t>
      </w:r>
    </w:p>
    <w:p w14:paraId="248A2D6D">
      <w:pPr>
        <w:widowControl/>
        <w:autoSpaceDE w:val="0"/>
        <w:autoSpaceDN w:val="0"/>
        <w:adjustRightInd w:val="0"/>
        <w:spacing w:line="360" w:lineRule="auto"/>
        <w:ind w:right="-482" w:firstLine="480"/>
        <w:rPr>
          <w:rStyle w:val="46"/>
          <w:rFonts w:hint="eastAsia"/>
          <w:color w:val="auto"/>
          <w:sz w:val="24"/>
          <w:szCs w:val="24"/>
          <w:highlight w:val="none"/>
        </w:rPr>
      </w:pPr>
      <w:r>
        <w:rPr>
          <w:rStyle w:val="46"/>
          <w:rFonts w:hint="eastAsia"/>
          <w:color w:val="auto"/>
          <w:sz w:val="24"/>
          <w:szCs w:val="24"/>
          <w:highlight w:val="none"/>
        </w:rPr>
        <w:t>2、声明函</w:t>
      </w:r>
      <w:r>
        <w:rPr>
          <w:rStyle w:val="46"/>
          <w:color w:val="auto"/>
          <w:sz w:val="24"/>
          <w:szCs w:val="24"/>
          <w:highlight w:val="none"/>
        </w:rPr>
        <w:t>(</w:t>
      </w:r>
      <w:r>
        <w:rPr>
          <w:rStyle w:val="46"/>
          <w:rFonts w:hint="eastAsia"/>
          <w:color w:val="auto"/>
          <w:sz w:val="24"/>
          <w:szCs w:val="24"/>
          <w:highlight w:val="none"/>
        </w:rPr>
        <w:t>见附件2</w:t>
      </w:r>
      <w:r>
        <w:rPr>
          <w:rStyle w:val="46"/>
          <w:color w:val="auto"/>
          <w:sz w:val="24"/>
          <w:szCs w:val="24"/>
          <w:highlight w:val="none"/>
        </w:rPr>
        <w:t>)</w:t>
      </w:r>
      <w:r>
        <w:rPr>
          <w:rStyle w:val="46"/>
          <w:rFonts w:hint="eastAsia"/>
          <w:color w:val="auto"/>
          <w:sz w:val="24"/>
          <w:szCs w:val="24"/>
          <w:highlight w:val="none"/>
        </w:rPr>
        <w:t>；</w:t>
      </w:r>
    </w:p>
    <w:p w14:paraId="19B4A762">
      <w:pPr>
        <w:widowControl/>
        <w:autoSpaceDE w:val="0"/>
        <w:autoSpaceDN w:val="0"/>
        <w:adjustRightInd w:val="0"/>
        <w:spacing w:line="360" w:lineRule="auto"/>
        <w:ind w:right="-482" w:firstLine="480"/>
        <w:rPr>
          <w:rStyle w:val="46"/>
          <w:color w:val="auto"/>
          <w:sz w:val="24"/>
          <w:szCs w:val="24"/>
          <w:highlight w:val="none"/>
        </w:rPr>
      </w:pPr>
      <w:r>
        <w:rPr>
          <w:rFonts w:hint="eastAsia" w:ascii="仿宋" w:hAnsi="仿宋" w:eastAsia="仿宋"/>
          <w:color w:val="auto"/>
          <w:kern w:val="1"/>
          <w:sz w:val="24"/>
          <w:szCs w:val="24"/>
          <w:highlight w:val="none"/>
        </w:rPr>
        <w:t>3、</w:t>
      </w:r>
      <w:r>
        <w:rPr>
          <w:rFonts w:ascii="仿宋" w:hAnsi="仿宋" w:eastAsia="仿宋"/>
          <w:color w:val="auto"/>
          <w:kern w:val="1"/>
          <w:sz w:val="24"/>
          <w:szCs w:val="24"/>
          <w:highlight w:val="none"/>
        </w:rPr>
        <w:t>法定代表人身份证明(</w:t>
      </w:r>
      <w:r>
        <w:rPr>
          <w:rFonts w:hint="eastAsia" w:ascii="仿宋" w:hAnsi="仿宋" w:eastAsia="仿宋"/>
          <w:color w:val="auto"/>
          <w:kern w:val="1"/>
          <w:sz w:val="24"/>
          <w:szCs w:val="24"/>
          <w:highlight w:val="none"/>
        </w:rPr>
        <w:t>见附件3</w:t>
      </w:r>
      <w:r>
        <w:rPr>
          <w:rFonts w:ascii="仿宋" w:hAnsi="仿宋" w:eastAsia="仿宋"/>
          <w:color w:val="auto"/>
          <w:kern w:val="1"/>
          <w:sz w:val="24"/>
          <w:szCs w:val="24"/>
          <w:highlight w:val="none"/>
        </w:rPr>
        <w:t>)</w:t>
      </w:r>
      <w:r>
        <w:rPr>
          <w:rFonts w:hint="eastAsia" w:ascii="仿宋" w:hAnsi="仿宋" w:eastAsia="仿宋"/>
          <w:color w:val="auto"/>
          <w:kern w:val="1"/>
          <w:sz w:val="24"/>
          <w:szCs w:val="24"/>
          <w:highlight w:val="none"/>
        </w:rPr>
        <w:t>；</w:t>
      </w:r>
    </w:p>
    <w:p w14:paraId="4E3738DD">
      <w:pPr>
        <w:widowControl/>
        <w:autoSpaceDE w:val="0"/>
        <w:autoSpaceDN w:val="0"/>
        <w:adjustRightInd w:val="0"/>
        <w:spacing w:line="360" w:lineRule="auto"/>
        <w:ind w:right="-482" w:firstLine="480"/>
        <w:rPr>
          <w:rStyle w:val="46"/>
          <w:color w:val="auto"/>
          <w:sz w:val="24"/>
          <w:szCs w:val="24"/>
          <w:highlight w:val="none"/>
        </w:rPr>
      </w:pPr>
      <w:r>
        <w:rPr>
          <w:rStyle w:val="46"/>
          <w:rFonts w:hint="eastAsia"/>
          <w:color w:val="auto"/>
          <w:sz w:val="24"/>
          <w:szCs w:val="24"/>
          <w:highlight w:val="none"/>
        </w:rPr>
        <w:t>4、法定代表人授权委托书</w:t>
      </w:r>
      <w:r>
        <w:rPr>
          <w:rStyle w:val="46"/>
          <w:color w:val="auto"/>
          <w:sz w:val="24"/>
          <w:szCs w:val="24"/>
          <w:highlight w:val="none"/>
        </w:rPr>
        <w:t>(</w:t>
      </w:r>
      <w:r>
        <w:rPr>
          <w:rStyle w:val="46"/>
          <w:rFonts w:hint="eastAsia"/>
          <w:color w:val="auto"/>
          <w:sz w:val="24"/>
          <w:szCs w:val="24"/>
          <w:highlight w:val="none"/>
        </w:rPr>
        <w:t>见附件4</w:t>
      </w:r>
      <w:r>
        <w:rPr>
          <w:rStyle w:val="46"/>
          <w:color w:val="auto"/>
          <w:sz w:val="24"/>
          <w:szCs w:val="24"/>
          <w:highlight w:val="none"/>
        </w:rPr>
        <w:t>)</w:t>
      </w:r>
      <w:r>
        <w:rPr>
          <w:rStyle w:val="46"/>
          <w:rFonts w:hint="eastAsia"/>
          <w:color w:val="auto"/>
          <w:sz w:val="24"/>
          <w:szCs w:val="24"/>
          <w:highlight w:val="none"/>
        </w:rPr>
        <w:t>；</w:t>
      </w:r>
    </w:p>
    <w:p w14:paraId="3B45755D">
      <w:pPr>
        <w:widowControl/>
        <w:autoSpaceDE w:val="0"/>
        <w:autoSpaceDN w:val="0"/>
        <w:adjustRightInd w:val="0"/>
        <w:spacing w:line="360" w:lineRule="auto"/>
        <w:ind w:right="-482" w:firstLine="480"/>
        <w:rPr>
          <w:rStyle w:val="46"/>
          <w:color w:val="auto"/>
          <w:sz w:val="24"/>
          <w:szCs w:val="24"/>
          <w:highlight w:val="none"/>
        </w:rPr>
      </w:pPr>
      <w:r>
        <w:rPr>
          <w:rStyle w:val="46"/>
          <w:rFonts w:hint="eastAsia"/>
          <w:color w:val="auto"/>
          <w:sz w:val="24"/>
          <w:szCs w:val="24"/>
          <w:highlight w:val="none"/>
        </w:rPr>
        <w:t>5、报价一览表</w:t>
      </w:r>
      <w:r>
        <w:rPr>
          <w:rStyle w:val="46"/>
          <w:color w:val="auto"/>
          <w:sz w:val="24"/>
          <w:szCs w:val="24"/>
          <w:highlight w:val="none"/>
        </w:rPr>
        <w:t>(</w:t>
      </w:r>
      <w:r>
        <w:rPr>
          <w:rStyle w:val="46"/>
          <w:rFonts w:hint="eastAsia"/>
          <w:color w:val="auto"/>
          <w:sz w:val="24"/>
          <w:szCs w:val="24"/>
          <w:highlight w:val="none"/>
        </w:rPr>
        <w:t>见附件5</w:t>
      </w:r>
      <w:r>
        <w:rPr>
          <w:rStyle w:val="46"/>
          <w:color w:val="auto"/>
          <w:sz w:val="24"/>
          <w:szCs w:val="24"/>
          <w:highlight w:val="none"/>
        </w:rPr>
        <w:t>)</w:t>
      </w:r>
      <w:r>
        <w:rPr>
          <w:rStyle w:val="46"/>
          <w:rFonts w:hint="eastAsia"/>
          <w:color w:val="auto"/>
          <w:sz w:val="24"/>
          <w:szCs w:val="24"/>
          <w:highlight w:val="none"/>
        </w:rPr>
        <w:t>；</w:t>
      </w:r>
    </w:p>
    <w:p w14:paraId="6FBBA78C">
      <w:pPr>
        <w:pStyle w:val="52"/>
        <w:ind w:firstLine="480" w:firstLineChars="200"/>
        <w:jc w:val="both"/>
        <w:rPr>
          <w:rStyle w:val="46"/>
          <w:color w:val="auto"/>
          <w:sz w:val="24"/>
          <w:szCs w:val="24"/>
          <w:highlight w:val="none"/>
        </w:rPr>
      </w:pPr>
      <w:r>
        <w:rPr>
          <w:rStyle w:val="46"/>
          <w:rFonts w:hint="eastAsia" w:cs="Times New Roman"/>
          <w:color w:val="auto"/>
          <w:sz w:val="24"/>
          <w:szCs w:val="24"/>
          <w:highlight w:val="none"/>
        </w:rPr>
        <w:t>6、分项报价明细表</w:t>
      </w:r>
      <w:r>
        <w:rPr>
          <w:rStyle w:val="46"/>
          <w:color w:val="auto"/>
          <w:sz w:val="24"/>
          <w:szCs w:val="24"/>
          <w:highlight w:val="none"/>
        </w:rPr>
        <w:t>(</w:t>
      </w:r>
      <w:r>
        <w:rPr>
          <w:rStyle w:val="46"/>
          <w:rFonts w:hint="eastAsia"/>
          <w:color w:val="auto"/>
          <w:sz w:val="24"/>
          <w:szCs w:val="24"/>
          <w:highlight w:val="none"/>
        </w:rPr>
        <w:t>见附件6</w:t>
      </w:r>
      <w:r>
        <w:rPr>
          <w:rStyle w:val="46"/>
          <w:color w:val="auto"/>
          <w:sz w:val="24"/>
          <w:szCs w:val="24"/>
          <w:highlight w:val="none"/>
        </w:rPr>
        <w:t>)</w:t>
      </w:r>
      <w:r>
        <w:rPr>
          <w:rStyle w:val="46"/>
          <w:rFonts w:hint="eastAsia"/>
          <w:color w:val="auto"/>
          <w:sz w:val="24"/>
          <w:szCs w:val="24"/>
          <w:highlight w:val="none"/>
        </w:rPr>
        <w:t>；</w:t>
      </w:r>
    </w:p>
    <w:p w14:paraId="4892A488">
      <w:pPr>
        <w:widowControl/>
        <w:autoSpaceDE w:val="0"/>
        <w:autoSpaceDN w:val="0"/>
        <w:adjustRightInd w:val="0"/>
        <w:spacing w:line="360" w:lineRule="auto"/>
        <w:ind w:right="-482" w:firstLine="480"/>
        <w:rPr>
          <w:rStyle w:val="46"/>
          <w:color w:val="auto"/>
          <w:sz w:val="24"/>
          <w:szCs w:val="24"/>
          <w:highlight w:val="none"/>
        </w:rPr>
      </w:pPr>
      <w:r>
        <w:rPr>
          <w:rStyle w:val="46"/>
          <w:rFonts w:hint="eastAsia"/>
          <w:color w:val="auto"/>
          <w:sz w:val="24"/>
          <w:szCs w:val="24"/>
          <w:highlight w:val="none"/>
        </w:rPr>
        <w:t>7、营业执照等证明材料复印件</w:t>
      </w:r>
      <w:r>
        <w:rPr>
          <w:rStyle w:val="46"/>
          <w:rFonts w:hint="eastAsia" w:eastAsia="仿宋"/>
          <w:color w:val="auto"/>
          <w:sz w:val="24"/>
          <w:szCs w:val="24"/>
          <w:highlight w:val="none"/>
          <w:lang w:val="en-US" w:eastAsia="zh-CN"/>
        </w:rPr>
        <w:t>及股东信息情况一览表（见附件7）</w:t>
      </w:r>
      <w:r>
        <w:rPr>
          <w:rStyle w:val="46"/>
          <w:rFonts w:hint="eastAsia"/>
          <w:color w:val="auto"/>
          <w:sz w:val="24"/>
          <w:szCs w:val="24"/>
          <w:highlight w:val="none"/>
        </w:rPr>
        <w:t>；</w:t>
      </w:r>
    </w:p>
    <w:p w14:paraId="1D6F53B8">
      <w:pPr>
        <w:widowControl/>
        <w:autoSpaceDE w:val="0"/>
        <w:autoSpaceDN w:val="0"/>
        <w:adjustRightInd w:val="0"/>
        <w:spacing w:line="360" w:lineRule="auto"/>
        <w:ind w:right="-482" w:firstLine="480" w:firstLineChars="200"/>
        <w:rPr>
          <w:rStyle w:val="46"/>
          <w:color w:val="auto"/>
          <w:sz w:val="24"/>
          <w:szCs w:val="24"/>
          <w:highlight w:val="none"/>
        </w:rPr>
      </w:pPr>
      <w:r>
        <w:rPr>
          <w:rStyle w:val="46"/>
          <w:rFonts w:hint="eastAsia" w:eastAsia="仿宋"/>
          <w:color w:val="auto"/>
          <w:sz w:val="24"/>
          <w:szCs w:val="24"/>
          <w:highlight w:val="none"/>
          <w:lang w:val="en-US" w:eastAsia="zh-CN"/>
        </w:rPr>
        <w:t>8</w:t>
      </w:r>
      <w:r>
        <w:rPr>
          <w:rStyle w:val="46"/>
          <w:rFonts w:hint="eastAsia"/>
          <w:color w:val="auto"/>
          <w:sz w:val="24"/>
          <w:szCs w:val="24"/>
          <w:highlight w:val="none"/>
        </w:rPr>
        <w:t>、投标人情况介绍；</w:t>
      </w:r>
    </w:p>
    <w:p w14:paraId="4065B019">
      <w:pPr>
        <w:widowControl/>
        <w:autoSpaceDE w:val="0"/>
        <w:autoSpaceDN w:val="0"/>
        <w:adjustRightInd w:val="0"/>
        <w:spacing w:line="360" w:lineRule="auto"/>
        <w:ind w:right="-482" w:firstLine="480"/>
        <w:rPr>
          <w:rStyle w:val="46"/>
          <w:color w:val="auto"/>
          <w:sz w:val="24"/>
          <w:szCs w:val="24"/>
          <w:highlight w:val="none"/>
        </w:rPr>
      </w:pPr>
      <w:r>
        <w:rPr>
          <w:rStyle w:val="46"/>
          <w:rFonts w:hint="eastAsia"/>
          <w:color w:val="auto"/>
          <w:sz w:val="24"/>
          <w:szCs w:val="24"/>
          <w:highlight w:val="none"/>
        </w:rPr>
        <w:t>9、投标人同类项目实施情况一览表</w:t>
      </w:r>
      <w:r>
        <w:rPr>
          <w:rStyle w:val="46"/>
          <w:color w:val="auto"/>
          <w:sz w:val="24"/>
          <w:szCs w:val="24"/>
          <w:highlight w:val="none"/>
        </w:rPr>
        <w:t>(</w:t>
      </w:r>
      <w:r>
        <w:rPr>
          <w:rStyle w:val="46"/>
          <w:rFonts w:hint="eastAsia"/>
          <w:color w:val="auto"/>
          <w:sz w:val="24"/>
          <w:szCs w:val="24"/>
          <w:highlight w:val="none"/>
        </w:rPr>
        <w:t>见附件</w:t>
      </w:r>
      <w:r>
        <w:rPr>
          <w:rStyle w:val="46"/>
          <w:rFonts w:hint="eastAsia" w:eastAsia="仿宋"/>
          <w:color w:val="auto"/>
          <w:sz w:val="24"/>
          <w:szCs w:val="24"/>
          <w:highlight w:val="none"/>
          <w:lang w:val="en-US" w:eastAsia="zh-CN"/>
        </w:rPr>
        <w:t>8</w:t>
      </w:r>
      <w:r>
        <w:rPr>
          <w:rStyle w:val="46"/>
          <w:color w:val="auto"/>
          <w:sz w:val="24"/>
          <w:szCs w:val="24"/>
          <w:highlight w:val="none"/>
        </w:rPr>
        <w:t>)</w:t>
      </w:r>
      <w:r>
        <w:rPr>
          <w:rStyle w:val="46"/>
          <w:rFonts w:hint="eastAsia"/>
          <w:color w:val="auto"/>
          <w:sz w:val="24"/>
          <w:szCs w:val="24"/>
          <w:highlight w:val="none"/>
        </w:rPr>
        <w:t>；</w:t>
      </w:r>
    </w:p>
    <w:p w14:paraId="28DB5198">
      <w:pPr>
        <w:widowControl/>
        <w:autoSpaceDE w:val="0"/>
        <w:autoSpaceDN w:val="0"/>
        <w:adjustRightInd w:val="0"/>
        <w:spacing w:line="360" w:lineRule="auto"/>
        <w:ind w:right="-482" w:firstLine="480"/>
        <w:rPr>
          <w:rStyle w:val="46"/>
          <w:rFonts w:hint="eastAsia"/>
          <w:color w:val="auto"/>
          <w:sz w:val="24"/>
          <w:szCs w:val="24"/>
          <w:highlight w:val="none"/>
        </w:rPr>
      </w:pPr>
      <w:r>
        <w:rPr>
          <w:rStyle w:val="46"/>
          <w:rFonts w:hint="eastAsia"/>
          <w:color w:val="auto"/>
          <w:sz w:val="24"/>
          <w:szCs w:val="24"/>
          <w:highlight w:val="none"/>
        </w:rPr>
        <w:t>10、类似成功案例业绩证明（若有）；</w:t>
      </w:r>
    </w:p>
    <w:p w14:paraId="7F20053F">
      <w:pPr>
        <w:widowControl/>
        <w:autoSpaceDE w:val="0"/>
        <w:autoSpaceDN w:val="0"/>
        <w:adjustRightInd w:val="0"/>
        <w:spacing w:line="360" w:lineRule="auto"/>
        <w:ind w:right="-482" w:firstLine="480"/>
        <w:rPr>
          <w:rStyle w:val="46"/>
          <w:color w:val="auto"/>
          <w:sz w:val="24"/>
          <w:szCs w:val="24"/>
          <w:highlight w:val="none"/>
        </w:rPr>
      </w:pPr>
      <w:r>
        <w:rPr>
          <w:rStyle w:val="46"/>
          <w:rFonts w:hint="eastAsia"/>
          <w:color w:val="auto"/>
          <w:sz w:val="24"/>
          <w:szCs w:val="24"/>
          <w:highlight w:val="none"/>
        </w:rPr>
        <w:t>11、商务响应表</w:t>
      </w:r>
      <w:r>
        <w:rPr>
          <w:rStyle w:val="46"/>
          <w:color w:val="auto"/>
          <w:sz w:val="24"/>
          <w:szCs w:val="24"/>
          <w:highlight w:val="none"/>
        </w:rPr>
        <w:t>(</w:t>
      </w:r>
      <w:r>
        <w:rPr>
          <w:rStyle w:val="46"/>
          <w:rFonts w:hint="eastAsia"/>
          <w:color w:val="auto"/>
          <w:sz w:val="24"/>
          <w:szCs w:val="24"/>
          <w:highlight w:val="none"/>
        </w:rPr>
        <w:t>见附件</w:t>
      </w:r>
      <w:r>
        <w:rPr>
          <w:rStyle w:val="46"/>
          <w:rFonts w:hint="eastAsia" w:eastAsia="仿宋"/>
          <w:color w:val="auto"/>
          <w:sz w:val="24"/>
          <w:szCs w:val="24"/>
          <w:highlight w:val="none"/>
          <w:lang w:val="en-US" w:eastAsia="zh-CN"/>
        </w:rPr>
        <w:t>9</w:t>
      </w:r>
      <w:r>
        <w:rPr>
          <w:rStyle w:val="46"/>
          <w:color w:val="auto"/>
          <w:sz w:val="24"/>
          <w:szCs w:val="24"/>
          <w:highlight w:val="none"/>
        </w:rPr>
        <w:t>)</w:t>
      </w:r>
      <w:r>
        <w:rPr>
          <w:rStyle w:val="46"/>
          <w:rFonts w:hint="eastAsia"/>
          <w:color w:val="auto"/>
          <w:sz w:val="24"/>
          <w:szCs w:val="24"/>
          <w:highlight w:val="none"/>
        </w:rPr>
        <w:t>；</w:t>
      </w:r>
    </w:p>
    <w:p w14:paraId="5B89C56D">
      <w:pPr>
        <w:widowControl/>
        <w:autoSpaceDE w:val="0"/>
        <w:autoSpaceDN w:val="0"/>
        <w:adjustRightInd w:val="0"/>
        <w:spacing w:line="360" w:lineRule="auto"/>
        <w:ind w:right="-482" w:firstLine="480"/>
        <w:rPr>
          <w:rStyle w:val="46"/>
          <w:color w:val="auto"/>
          <w:sz w:val="24"/>
          <w:szCs w:val="24"/>
          <w:highlight w:val="none"/>
        </w:rPr>
      </w:pPr>
      <w:r>
        <w:rPr>
          <w:rStyle w:val="46"/>
          <w:rFonts w:hint="eastAsia"/>
          <w:color w:val="auto"/>
          <w:sz w:val="24"/>
          <w:szCs w:val="24"/>
          <w:highlight w:val="none"/>
        </w:rPr>
        <w:t>12、诚信承诺书</w:t>
      </w:r>
      <w:r>
        <w:rPr>
          <w:rStyle w:val="46"/>
          <w:color w:val="auto"/>
          <w:sz w:val="24"/>
          <w:szCs w:val="24"/>
          <w:highlight w:val="none"/>
        </w:rPr>
        <w:t>(</w:t>
      </w:r>
      <w:r>
        <w:rPr>
          <w:rStyle w:val="46"/>
          <w:rFonts w:hint="eastAsia"/>
          <w:color w:val="auto"/>
          <w:sz w:val="24"/>
          <w:szCs w:val="24"/>
          <w:highlight w:val="none"/>
        </w:rPr>
        <w:t>见附件</w:t>
      </w:r>
      <w:r>
        <w:rPr>
          <w:rStyle w:val="46"/>
          <w:rFonts w:hint="eastAsia" w:eastAsia="仿宋"/>
          <w:color w:val="auto"/>
          <w:sz w:val="24"/>
          <w:szCs w:val="24"/>
          <w:highlight w:val="none"/>
          <w:lang w:val="en-US" w:eastAsia="zh-CN"/>
        </w:rPr>
        <w:t>10</w:t>
      </w:r>
      <w:r>
        <w:rPr>
          <w:rStyle w:val="46"/>
          <w:color w:val="auto"/>
          <w:sz w:val="24"/>
          <w:szCs w:val="24"/>
          <w:highlight w:val="none"/>
        </w:rPr>
        <w:t>)</w:t>
      </w:r>
      <w:r>
        <w:rPr>
          <w:rStyle w:val="46"/>
          <w:rFonts w:hint="eastAsia"/>
          <w:color w:val="auto"/>
          <w:sz w:val="24"/>
          <w:szCs w:val="24"/>
          <w:highlight w:val="none"/>
        </w:rPr>
        <w:t>；</w:t>
      </w:r>
    </w:p>
    <w:p w14:paraId="3EEE655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13、残疾人福利性单位声明（见附件10）；</w:t>
      </w:r>
    </w:p>
    <w:p w14:paraId="069AD51B">
      <w:pPr>
        <w:spacing w:line="360" w:lineRule="auto"/>
        <w:ind w:firstLine="480" w:firstLineChars="200"/>
        <w:rPr>
          <w:color w:val="auto"/>
          <w:highlight w:val="none"/>
        </w:rPr>
      </w:pPr>
      <w:r>
        <w:rPr>
          <w:rFonts w:hint="eastAsia" w:ascii="仿宋" w:hAnsi="仿宋" w:eastAsia="仿宋"/>
          <w:color w:val="auto"/>
          <w:sz w:val="24"/>
          <w:szCs w:val="24"/>
          <w:highlight w:val="none"/>
        </w:rPr>
        <w:t>14、中小企业声明函（见附件11）；</w:t>
      </w:r>
    </w:p>
    <w:p w14:paraId="387F0E11">
      <w:pPr>
        <w:spacing w:line="360" w:lineRule="auto"/>
        <w:ind w:firstLine="480" w:firstLineChars="200"/>
        <w:rPr>
          <w:rStyle w:val="46"/>
          <w:rFonts w:hint="eastAsia"/>
          <w:color w:val="auto"/>
          <w:kern w:val="2"/>
          <w:sz w:val="24"/>
          <w:szCs w:val="24"/>
          <w:highlight w:val="none"/>
        </w:rPr>
      </w:pPr>
      <w:r>
        <w:rPr>
          <w:rFonts w:hint="eastAsia" w:ascii="仿宋" w:hAnsi="仿宋" w:eastAsia="仿宋"/>
          <w:color w:val="auto"/>
          <w:sz w:val="24"/>
          <w:szCs w:val="24"/>
          <w:highlight w:val="none"/>
        </w:rPr>
        <w:t>15.招标文件商务评标办法中要求提交的相关证明材料复印件；</w:t>
      </w:r>
    </w:p>
    <w:p w14:paraId="0C683BAF">
      <w:pPr>
        <w:widowControl/>
        <w:autoSpaceDE w:val="0"/>
        <w:autoSpaceDN w:val="0"/>
        <w:adjustRightInd w:val="0"/>
        <w:spacing w:line="360" w:lineRule="auto"/>
        <w:ind w:right="-482" w:firstLine="480"/>
        <w:rPr>
          <w:rStyle w:val="46"/>
          <w:color w:val="auto"/>
          <w:sz w:val="24"/>
          <w:szCs w:val="24"/>
          <w:highlight w:val="none"/>
        </w:rPr>
      </w:pPr>
      <w:r>
        <w:rPr>
          <w:rStyle w:val="46"/>
          <w:rFonts w:hint="eastAsia"/>
          <w:color w:val="auto"/>
          <w:sz w:val="24"/>
          <w:szCs w:val="24"/>
          <w:highlight w:val="none"/>
        </w:rPr>
        <w:t>16、招标文件其它规定或者投标人认为应介绍或者提交的资料、文件和说明。</w:t>
      </w:r>
    </w:p>
    <w:p w14:paraId="2BB1B74B">
      <w:pPr>
        <w:widowControl/>
        <w:autoSpaceDE w:val="0"/>
        <w:autoSpaceDN w:val="0"/>
        <w:adjustRightInd w:val="0"/>
        <w:spacing w:line="360" w:lineRule="auto"/>
        <w:ind w:right="-482" w:firstLine="470"/>
        <w:jc w:val="left"/>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注：以上未提供格式的，格式自拟。</w:t>
      </w:r>
    </w:p>
    <w:p w14:paraId="1B72F908">
      <w:pPr>
        <w:widowControl/>
        <w:autoSpaceDE w:val="0"/>
        <w:autoSpaceDN w:val="0"/>
        <w:adjustRightInd w:val="0"/>
        <w:spacing w:line="360" w:lineRule="auto"/>
        <w:ind w:right="-481"/>
        <w:jc w:val="left"/>
        <w:rPr>
          <w:rFonts w:ascii="宋体" w:hAnsi="宋体"/>
          <w:color w:val="auto"/>
          <w:kern w:val="1"/>
          <w:sz w:val="24"/>
          <w:szCs w:val="24"/>
          <w:highlight w:val="none"/>
        </w:rPr>
      </w:pPr>
    </w:p>
    <w:p w14:paraId="19E77F42">
      <w:pPr>
        <w:widowControl/>
        <w:autoSpaceDE w:val="0"/>
        <w:autoSpaceDN w:val="0"/>
        <w:adjustRightInd w:val="0"/>
        <w:spacing w:line="360" w:lineRule="auto"/>
        <w:ind w:right="-481"/>
        <w:jc w:val="center"/>
        <w:rPr>
          <w:rFonts w:ascii="宋体" w:hAnsi="宋体"/>
          <w:color w:val="auto"/>
          <w:kern w:val="1"/>
          <w:sz w:val="32"/>
          <w:szCs w:val="32"/>
          <w:highlight w:val="none"/>
        </w:rPr>
      </w:pPr>
    </w:p>
    <w:p w14:paraId="1445356A">
      <w:pPr>
        <w:widowControl/>
        <w:autoSpaceDE w:val="0"/>
        <w:autoSpaceDN w:val="0"/>
        <w:adjustRightInd w:val="0"/>
        <w:ind w:right="-481"/>
        <w:jc w:val="left"/>
        <w:rPr>
          <w:rStyle w:val="46"/>
          <w:color w:val="auto"/>
          <w:sz w:val="24"/>
          <w:szCs w:val="24"/>
          <w:highlight w:val="none"/>
        </w:rPr>
      </w:pPr>
      <w:r>
        <w:rPr>
          <w:rFonts w:ascii="宋体" w:hAnsi="宋体"/>
          <w:color w:val="auto"/>
          <w:kern w:val="1"/>
          <w:highlight w:val="none"/>
        </w:rPr>
        <w:br w:type="page"/>
      </w:r>
      <w:r>
        <w:rPr>
          <w:rStyle w:val="46"/>
          <w:rFonts w:hint="eastAsia"/>
          <w:color w:val="auto"/>
          <w:sz w:val="24"/>
          <w:szCs w:val="24"/>
          <w:highlight w:val="none"/>
        </w:rPr>
        <w:t>附件1：</w:t>
      </w:r>
    </w:p>
    <w:p w14:paraId="5EB1CD58">
      <w:pPr>
        <w:widowControl/>
        <w:autoSpaceDE w:val="0"/>
        <w:autoSpaceDN w:val="0"/>
        <w:adjustRightInd w:val="0"/>
        <w:spacing w:before="120" w:after="120" w:line="300" w:lineRule="auto"/>
        <w:ind w:right="-481"/>
        <w:jc w:val="center"/>
        <w:rPr>
          <w:rFonts w:ascii="仿宋" w:hAnsi="仿宋" w:eastAsia="仿宋"/>
          <w:color w:val="auto"/>
          <w:kern w:val="1"/>
          <w:sz w:val="28"/>
          <w:szCs w:val="28"/>
          <w:highlight w:val="none"/>
        </w:rPr>
      </w:pPr>
      <w:r>
        <w:rPr>
          <w:rFonts w:hint="eastAsia" w:ascii="仿宋" w:hAnsi="仿宋" w:eastAsia="仿宋" w:cs="宋体"/>
          <w:color w:val="auto"/>
          <w:kern w:val="1"/>
          <w:sz w:val="28"/>
          <w:szCs w:val="28"/>
          <w:highlight w:val="none"/>
        </w:rPr>
        <w:t>投标函</w:t>
      </w:r>
    </w:p>
    <w:p w14:paraId="4AA90760">
      <w:pPr>
        <w:widowControl/>
        <w:autoSpaceDE w:val="0"/>
        <w:autoSpaceDN w:val="0"/>
        <w:adjustRightInd w:val="0"/>
        <w:spacing w:line="380" w:lineRule="exact"/>
        <w:ind w:right="-481"/>
        <w:rPr>
          <w:rFonts w:ascii="仿宋" w:hAnsi="仿宋" w:eastAsia="仿宋"/>
          <w:color w:val="auto"/>
          <w:kern w:val="1"/>
          <w:sz w:val="24"/>
          <w:szCs w:val="24"/>
          <w:highlight w:val="none"/>
          <w:u w:val="single"/>
        </w:rPr>
      </w:pPr>
    </w:p>
    <w:p w14:paraId="4B76859A">
      <w:pPr>
        <w:widowControl/>
        <w:autoSpaceDE w:val="0"/>
        <w:autoSpaceDN w:val="0"/>
        <w:adjustRightInd w:val="0"/>
        <w:spacing w:line="380" w:lineRule="exact"/>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u w:val="single"/>
        </w:rPr>
        <w:t>（代理机构）</w:t>
      </w:r>
      <w:r>
        <w:rPr>
          <w:rStyle w:val="46"/>
          <w:rFonts w:hint="eastAsia"/>
          <w:color w:val="auto"/>
          <w:sz w:val="24"/>
          <w:szCs w:val="24"/>
          <w:highlight w:val="none"/>
        </w:rPr>
        <w:t>：</w:t>
      </w:r>
    </w:p>
    <w:p w14:paraId="43567B69">
      <w:pPr>
        <w:widowControl/>
        <w:autoSpaceDE w:val="0"/>
        <w:autoSpaceDN w:val="0"/>
        <w:adjustRightInd w:val="0"/>
        <w:spacing w:line="480" w:lineRule="exact"/>
        <w:rPr>
          <w:rFonts w:ascii="仿宋" w:hAnsi="仿宋" w:eastAsia="仿宋"/>
          <w:color w:val="auto"/>
          <w:kern w:val="1"/>
          <w:sz w:val="24"/>
          <w:szCs w:val="24"/>
          <w:highlight w:val="none"/>
        </w:rPr>
      </w:pPr>
    </w:p>
    <w:p w14:paraId="6B1F0484">
      <w:pPr>
        <w:widowControl/>
        <w:autoSpaceDE w:val="0"/>
        <w:autoSpaceDN w:val="0"/>
        <w:adjustRightInd w:val="0"/>
        <w:spacing w:line="460" w:lineRule="exact"/>
        <w:ind w:firstLine="480"/>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u w:val="single"/>
        </w:rPr>
        <w:t>（投标人名称）</w:t>
      </w:r>
      <w:r>
        <w:rPr>
          <w:rStyle w:val="46"/>
          <w:rFonts w:hint="eastAsia"/>
          <w:color w:val="auto"/>
          <w:sz w:val="24"/>
          <w:szCs w:val="24"/>
          <w:highlight w:val="none"/>
        </w:rPr>
        <w:t>系中华人民共和国合法企业，经营地址</w:t>
      </w:r>
      <w:r>
        <w:rPr>
          <w:rFonts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u w:val="single"/>
        </w:rPr>
        <w:t xml:space="preserve">            </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w:t>
      </w:r>
    </w:p>
    <w:p w14:paraId="63A6C1EE">
      <w:pPr>
        <w:widowControl/>
        <w:autoSpaceDE w:val="0"/>
        <w:autoSpaceDN w:val="0"/>
        <w:adjustRightInd w:val="0"/>
        <w:spacing w:line="460" w:lineRule="exact"/>
        <w:ind w:firstLine="480"/>
        <w:rPr>
          <w:rFonts w:ascii="仿宋" w:hAnsi="仿宋" w:eastAsia="仿宋"/>
          <w:color w:val="auto"/>
          <w:kern w:val="1"/>
          <w:sz w:val="24"/>
          <w:szCs w:val="24"/>
          <w:highlight w:val="none"/>
        </w:rPr>
      </w:pPr>
      <w:r>
        <w:rPr>
          <w:rStyle w:val="46"/>
          <w:rFonts w:hint="eastAsia"/>
          <w:color w:val="auto"/>
          <w:sz w:val="24"/>
          <w:szCs w:val="24"/>
          <w:highlight w:val="none"/>
        </w:rPr>
        <w:t>我</w:t>
      </w:r>
      <w:r>
        <w:rPr>
          <w:rFonts w:hint="eastAsia" w:ascii="仿宋" w:hAnsi="仿宋" w:eastAsia="仿宋" w:cs="仿宋"/>
          <w:color w:val="auto"/>
          <w:kern w:val="1"/>
          <w:sz w:val="24"/>
          <w:szCs w:val="24"/>
          <w:highlight w:val="none"/>
          <w:u w:val="single"/>
        </w:rPr>
        <w:t>（姓名）</w:t>
      </w:r>
      <w:r>
        <w:rPr>
          <w:rStyle w:val="46"/>
          <w:rFonts w:hint="eastAsia"/>
          <w:color w:val="auto"/>
          <w:sz w:val="24"/>
          <w:szCs w:val="24"/>
          <w:highlight w:val="none"/>
        </w:rPr>
        <w:t>系</w:t>
      </w:r>
      <w:r>
        <w:rPr>
          <w:rFonts w:hint="eastAsia" w:ascii="仿宋" w:hAnsi="仿宋" w:eastAsia="仿宋" w:cs="仿宋"/>
          <w:color w:val="auto"/>
          <w:kern w:val="1"/>
          <w:sz w:val="24"/>
          <w:szCs w:val="24"/>
          <w:highlight w:val="none"/>
          <w:u w:val="single"/>
        </w:rPr>
        <w:t>（投标人名称）</w:t>
      </w:r>
      <w:r>
        <w:rPr>
          <w:rStyle w:val="46"/>
          <w:rFonts w:hint="eastAsia"/>
          <w:color w:val="auto"/>
          <w:sz w:val="24"/>
          <w:szCs w:val="24"/>
          <w:highlight w:val="none"/>
        </w:rPr>
        <w:t>的法定代表人，我方愿意参加贵方组织的</w:t>
      </w:r>
      <w:r>
        <w:rPr>
          <w:rFonts w:hint="eastAsia" w:ascii="仿宋" w:hAnsi="仿宋" w:eastAsia="仿宋" w:cs="仿宋"/>
          <w:color w:val="auto"/>
          <w:kern w:val="1"/>
          <w:sz w:val="24"/>
          <w:szCs w:val="24"/>
          <w:highlight w:val="none"/>
          <w:u w:val="single"/>
        </w:rPr>
        <w:t>（招标项目名称）（编号为</w:t>
      </w:r>
      <w:r>
        <w:rPr>
          <w:rFonts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u w:val="single"/>
        </w:rPr>
        <w:t>）</w:t>
      </w:r>
      <w:r>
        <w:rPr>
          <w:rStyle w:val="46"/>
          <w:rFonts w:hint="eastAsia"/>
          <w:color w:val="auto"/>
          <w:sz w:val="24"/>
          <w:szCs w:val="24"/>
          <w:highlight w:val="none"/>
        </w:rPr>
        <w:t>的投标，为此，我方就本次投标有关事项郑重声明如下：</w:t>
      </w:r>
    </w:p>
    <w:p w14:paraId="77C63231">
      <w:pPr>
        <w:widowControl/>
        <w:autoSpaceDE w:val="0"/>
        <w:autoSpaceDN w:val="0"/>
        <w:adjustRightInd w:val="0"/>
        <w:spacing w:line="460" w:lineRule="exact"/>
        <w:ind w:firstLine="480"/>
        <w:rPr>
          <w:rStyle w:val="46"/>
          <w:color w:val="auto"/>
          <w:sz w:val="24"/>
          <w:szCs w:val="24"/>
          <w:highlight w:val="none"/>
        </w:rPr>
      </w:pPr>
      <w:r>
        <w:rPr>
          <w:rStyle w:val="46"/>
          <w:color w:val="auto"/>
          <w:sz w:val="24"/>
          <w:szCs w:val="24"/>
          <w:highlight w:val="none"/>
        </w:rPr>
        <w:t>1</w:t>
      </w:r>
      <w:r>
        <w:rPr>
          <w:rStyle w:val="46"/>
          <w:rFonts w:hint="eastAsia"/>
          <w:color w:val="auto"/>
          <w:sz w:val="24"/>
          <w:szCs w:val="24"/>
          <w:highlight w:val="none"/>
        </w:rPr>
        <w:t>、我方已详细审查全部招标文件，同意招标文件的各项要求。</w:t>
      </w:r>
    </w:p>
    <w:p w14:paraId="2906616C">
      <w:pPr>
        <w:widowControl/>
        <w:autoSpaceDE w:val="0"/>
        <w:autoSpaceDN w:val="0"/>
        <w:adjustRightInd w:val="0"/>
        <w:spacing w:line="460" w:lineRule="exact"/>
        <w:ind w:firstLine="480"/>
        <w:rPr>
          <w:rStyle w:val="46"/>
          <w:color w:val="auto"/>
          <w:sz w:val="24"/>
          <w:szCs w:val="24"/>
          <w:highlight w:val="none"/>
        </w:rPr>
      </w:pPr>
      <w:r>
        <w:rPr>
          <w:rStyle w:val="46"/>
          <w:color w:val="auto"/>
          <w:sz w:val="24"/>
          <w:szCs w:val="24"/>
          <w:highlight w:val="none"/>
        </w:rPr>
        <w:t>2</w:t>
      </w:r>
      <w:r>
        <w:rPr>
          <w:rStyle w:val="46"/>
          <w:rFonts w:hint="eastAsia"/>
          <w:color w:val="auto"/>
          <w:sz w:val="24"/>
          <w:szCs w:val="24"/>
          <w:highlight w:val="none"/>
        </w:rPr>
        <w:t>、我方向贵方提交的所有投标文件、资料都是准确的和真实的。</w:t>
      </w:r>
    </w:p>
    <w:p w14:paraId="04E476B9">
      <w:pPr>
        <w:widowControl/>
        <w:autoSpaceDE w:val="0"/>
        <w:autoSpaceDN w:val="0"/>
        <w:adjustRightInd w:val="0"/>
        <w:spacing w:line="460" w:lineRule="exact"/>
        <w:ind w:firstLine="480"/>
        <w:rPr>
          <w:rStyle w:val="46"/>
          <w:color w:val="auto"/>
          <w:sz w:val="24"/>
          <w:szCs w:val="24"/>
          <w:highlight w:val="none"/>
        </w:rPr>
      </w:pPr>
      <w:r>
        <w:rPr>
          <w:rStyle w:val="46"/>
          <w:color w:val="auto"/>
          <w:sz w:val="24"/>
          <w:szCs w:val="24"/>
          <w:highlight w:val="none"/>
        </w:rPr>
        <w:t>3</w:t>
      </w:r>
      <w:r>
        <w:rPr>
          <w:rStyle w:val="46"/>
          <w:rFonts w:hint="eastAsia"/>
          <w:color w:val="auto"/>
          <w:sz w:val="24"/>
          <w:szCs w:val="24"/>
          <w:highlight w:val="none"/>
        </w:rPr>
        <w:t>、若中标，我方将按照招标文件规定履行合同责任和义务。</w:t>
      </w:r>
    </w:p>
    <w:p w14:paraId="0B2AF79B">
      <w:pPr>
        <w:widowControl/>
        <w:autoSpaceDE w:val="0"/>
        <w:autoSpaceDN w:val="0"/>
        <w:adjustRightInd w:val="0"/>
        <w:spacing w:line="460" w:lineRule="exact"/>
        <w:ind w:firstLine="480"/>
        <w:rPr>
          <w:rStyle w:val="46"/>
          <w:color w:val="auto"/>
          <w:sz w:val="24"/>
          <w:szCs w:val="24"/>
          <w:highlight w:val="none"/>
        </w:rPr>
      </w:pPr>
      <w:r>
        <w:rPr>
          <w:rStyle w:val="46"/>
          <w:color w:val="auto"/>
          <w:sz w:val="24"/>
          <w:szCs w:val="24"/>
          <w:highlight w:val="none"/>
        </w:rPr>
        <w:t>4</w:t>
      </w:r>
      <w:r>
        <w:rPr>
          <w:rStyle w:val="46"/>
          <w:rFonts w:hint="eastAsia"/>
          <w:color w:val="auto"/>
          <w:sz w:val="24"/>
          <w:szCs w:val="24"/>
          <w:highlight w:val="none"/>
        </w:rPr>
        <w:t>、我方不是</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的附属机构；在获知本项目采购信息后，与</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聘请的为此项目提供咨询服务的公司以及其附属机构没有任何联系。</w:t>
      </w:r>
    </w:p>
    <w:p w14:paraId="24C79B72">
      <w:pPr>
        <w:widowControl/>
        <w:autoSpaceDE w:val="0"/>
        <w:autoSpaceDN w:val="0"/>
        <w:adjustRightInd w:val="0"/>
        <w:spacing w:line="460" w:lineRule="exact"/>
        <w:ind w:firstLine="480"/>
        <w:rPr>
          <w:rFonts w:ascii="仿宋" w:hAnsi="仿宋" w:eastAsia="仿宋"/>
          <w:color w:val="auto"/>
          <w:kern w:val="1"/>
          <w:sz w:val="24"/>
          <w:szCs w:val="24"/>
          <w:highlight w:val="none"/>
        </w:rPr>
      </w:pPr>
      <w:r>
        <w:rPr>
          <w:rStyle w:val="46"/>
          <w:color w:val="auto"/>
          <w:sz w:val="24"/>
          <w:szCs w:val="24"/>
          <w:highlight w:val="none"/>
        </w:rPr>
        <w:t>5</w:t>
      </w:r>
      <w:r>
        <w:rPr>
          <w:rStyle w:val="46"/>
          <w:rFonts w:hint="eastAsia"/>
          <w:color w:val="auto"/>
          <w:sz w:val="24"/>
          <w:szCs w:val="24"/>
          <w:highlight w:val="none"/>
        </w:rPr>
        <w:t>、投标文件自开标日起有效期为</w:t>
      </w:r>
      <w:r>
        <w:rPr>
          <w:rFonts w:hint="eastAsia" w:ascii="仿宋" w:hAnsi="仿宋" w:eastAsia="仿宋" w:cs="仿宋"/>
          <w:color w:val="auto"/>
          <w:kern w:val="1"/>
          <w:sz w:val="24"/>
          <w:szCs w:val="24"/>
          <w:highlight w:val="none"/>
          <w:u w:val="single"/>
        </w:rPr>
        <w:t>90</w:t>
      </w:r>
      <w:r>
        <w:rPr>
          <w:rStyle w:val="46"/>
          <w:rFonts w:hint="eastAsia"/>
          <w:color w:val="auto"/>
          <w:sz w:val="24"/>
          <w:szCs w:val="24"/>
          <w:highlight w:val="none"/>
        </w:rPr>
        <w:t>日历日。</w:t>
      </w:r>
    </w:p>
    <w:p w14:paraId="03531823">
      <w:pPr>
        <w:widowControl/>
        <w:autoSpaceDE w:val="0"/>
        <w:autoSpaceDN w:val="0"/>
        <w:adjustRightInd w:val="0"/>
        <w:spacing w:line="460" w:lineRule="exact"/>
        <w:ind w:firstLine="480"/>
        <w:rPr>
          <w:rStyle w:val="46"/>
          <w:color w:val="auto"/>
          <w:sz w:val="24"/>
          <w:szCs w:val="24"/>
          <w:highlight w:val="none"/>
        </w:rPr>
      </w:pPr>
      <w:r>
        <w:rPr>
          <w:rStyle w:val="46"/>
          <w:color w:val="auto"/>
          <w:sz w:val="24"/>
          <w:szCs w:val="24"/>
          <w:highlight w:val="none"/>
        </w:rPr>
        <w:t>6.</w:t>
      </w:r>
      <w:r>
        <w:rPr>
          <w:rStyle w:val="46"/>
          <w:rFonts w:hint="eastAsia"/>
          <w:color w:val="auto"/>
          <w:sz w:val="24"/>
          <w:szCs w:val="24"/>
          <w:highlight w:val="none"/>
        </w:rPr>
        <w:t>以上事项如有虚假或者隐瞒，我方愿意承担一切后果。</w:t>
      </w:r>
    </w:p>
    <w:p w14:paraId="1F9DA1C3">
      <w:pPr>
        <w:widowControl/>
        <w:tabs>
          <w:tab w:val="left" w:pos="939"/>
        </w:tabs>
        <w:autoSpaceDE w:val="0"/>
        <w:autoSpaceDN w:val="0"/>
        <w:adjustRightInd w:val="0"/>
        <w:spacing w:line="460" w:lineRule="exact"/>
        <w:ind w:left="773" w:right="-481" w:hanging="458"/>
        <w:rPr>
          <w:rFonts w:ascii="仿宋" w:hAnsi="仿宋" w:eastAsia="仿宋"/>
          <w:color w:val="auto"/>
          <w:kern w:val="1"/>
          <w:sz w:val="24"/>
          <w:szCs w:val="24"/>
          <w:highlight w:val="none"/>
        </w:rPr>
      </w:pPr>
    </w:p>
    <w:p w14:paraId="760328B7">
      <w:pPr>
        <w:widowControl/>
        <w:tabs>
          <w:tab w:val="left" w:pos="939"/>
        </w:tabs>
        <w:autoSpaceDE w:val="0"/>
        <w:autoSpaceDN w:val="0"/>
        <w:adjustRightInd w:val="0"/>
        <w:spacing w:line="460" w:lineRule="exact"/>
        <w:ind w:left="773" w:right="-481" w:hanging="458"/>
        <w:rPr>
          <w:rFonts w:ascii="仿宋" w:hAnsi="仿宋" w:eastAsia="仿宋"/>
          <w:color w:val="auto"/>
          <w:kern w:val="1"/>
          <w:sz w:val="24"/>
          <w:szCs w:val="24"/>
          <w:highlight w:val="none"/>
        </w:rPr>
      </w:pPr>
    </w:p>
    <w:p w14:paraId="0D2B1A35">
      <w:pPr>
        <w:widowControl/>
        <w:tabs>
          <w:tab w:val="left" w:pos="939"/>
        </w:tabs>
        <w:autoSpaceDE w:val="0"/>
        <w:autoSpaceDN w:val="0"/>
        <w:adjustRightInd w:val="0"/>
        <w:spacing w:line="460" w:lineRule="exact"/>
        <w:ind w:left="773" w:right="-481" w:hanging="458"/>
        <w:rPr>
          <w:rFonts w:ascii="仿宋" w:hAnsi="仿宋" w:eastAsia="仿宋"/>
          <w:color w:val="auto"/>
          <w:kern w:val="1"/>
          <w:sz w:val="24"/>
          <w:szCs w:val="24"/>
          <w:highlight w:val="none"/>
        </w:rPr>
      </w:pPr>
    </w:p>
    <w:p w14:paraId="0AD900F0">
      <w:pPr>
        <w:widowControl/>
        <w:autoSpaceDE w:val="0"/>
        <w:autoSpaceDN w:val="0"/>
        <w:adjustRightInd w:val="0"/>
        <w:spacing w:before="120" w:line="460" w:lineRule="exact"/>
        <w:ind w:right="-481" w:firstLine="3676" w:firstLineChars="1532"/>
        <w:rPr>
          <w:rStyle w:val="46"/>
          <w:color w:val="auto"/>
          <w:sz w:val="24"/>
          <w:szCs w:val="24"/>
          <w:highlight w:val="none"/>
        </w:rPr>
      </w:pPr>
      <w:r>
        <w:rPr>
          <w:rStyle w:val="46"/>
          <w:rFonts w:hint="eastAsia"/>
          <w:color w:val="auto"/>
          <w:sz w:val="24"/>
          <w:szCs w:val="24"/>
          <w:highlight w:val="none"/>
        </w:rPr>
        <w:t>投标人全称（公章）：</w:t>
      </w:r>
      <w:r>
        <w:rPr>
          <w:rStyle w:val="46"/>
          <w:color w:val="auto"/>
          <w:sz w:val="24"/>
          <w:szCs w:val="24"/>
          <w:highlight w:val="none"/>
        </w:rPr>
        <w:t xml:space="preserve">               </w:t>
      </w:r>
    </w:p>
    <w:p w14:paraId="1C58EC84">
      <w:pPr>
        <w:widowControl/>
        <w:autoSpaceDE w:val="0"/>
        <w:autoSpaceDN w:val="0"/>
        <w:adjustRightInd w:val="0"/>
        <w:spacing w:before="120" w:after="50" w:line="460" w:lineRule="exact"/>
        <w:ind w:right="119" w:firstLine="3720"/>
        <w:rPr>
          <w:rStyle w:val="46"/>
          <w:color w:val="auto"/>
          <w:sz w:val="24"/>
          <w:szCs w:val="24"/>
          <w:highlight w:val="none"/>
        </w:rPr>
      </w:pPr>
      <w:r>
        <w:rPr>
          <w:rStyle w:val="46"/>
          <w:rFonts w:hint="eastAsia"/>
          <w:color w:val="auto"/>
          <w:sz w:val="24"/>
          <w:szCs w:val="24"/>
          <w:highlight w:val="none"/>
        </w:rPr>
        <w:t>法定代表人（签字或盖章）：</w:t>
      </w:r>
      <w:r>
        <w:rPr>
          <w:rStyle w:val="46"/>
          <w:color w:val="auto"/>
          <w:sz w:val="24"/>
          <w:szCs w:val="24"/>
          <w:highlight w:val="none"/>
        </w:rPr>
        <w:t xml:space="preserve">               </w:t>
      </w:r>
    </w:p>
    <w:p w14:paraId="15512761">
      <w:pPr>
        <w:widowControl/>
        <w:autoSpaceDE w:val="0"/>
        <w:autoSpaceDN w:val="0"/>
        <w:adjustRightInd w:val="0"/>
        <w:spacing w:line="460" w:lineRule="exact"/>
        <w:ind w:firstLine="5160" w:firstLineChars="2150"/>
        <w:rPr>
          <w:rFonts w:ascii="仿宋" w:hAnsi="仿宋" w:eastAsia="仿宋" w:cs="仿宋"/>
          <w:color w:val="auto"/>
          <w:kern w:val="1"/>
          <w:sz w:val="24"/>
          <w:szCs w:val="24"/>
          <w:highlight w:val="none"/>
          <w:u w:val="single"/>
        </w:rPr>
      </w:pPr>
      <w:r>
        <w:rPr>
          <w:rStyle w:val="46"/>
          <w:rFonts w:hint="eastAsia"/>
          <w:color w:val="auto"/>
          <w:sz w:val="24"/>
          <w:szCs w:val="24"/>
          <w:highlight w:val="none"/>
        </w:rPr>
        <w:t>日</w:t>
      </w:r>
      <w:r>
        <w:rPr>
          <w:rStyle w:val="46"/>
          <w:color w:val="auto"/>
          <w:sz w:val="24"/>
          <w:szCs w:val="24"/>
          <w:highlight w:val="none"/>
        </w:rPr>
        <w:t xml:space="preserve"> </w:t>
      </w:r>
      <w:r>
        <w:rPr>
          <w:rStyle w:val="46"/>
          <w:rFonts w:hint="eastAsia"/>
          <w:color w:val="auto"/>
          <w:sz w:val="24"/>
          <w:szCs w:val="24"/>
          <w:highlight w:val="none"/>
        </w:rPr>
        <w:t>期：</w:t>
      </w:r>
      <w:r>
        <w:rPr>
          <w:rFonts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u w:val="single"/>
        </w:rPr>
        <w:t xml:space="preserve">    </w:t>
      </w:r>
      <w:r>
        <w:rPr>
          <w:rFonts w:ascii="仿宋" w:hAnsi="仿宋" w:eastAsia="仿宋" w:cs="仿宋"/>
          <w:color w:val="auto"/>
          <w:kern w:val="1"/>
          <w:sz w:val="24"/>
          <w:szCs w:val="24"/>
          <w:highlight w:val="none"/>
          <w:u w:val="single"/>
        </w:rPr>
        <w:t xml:space="preserve"> </w:t>
      </w:r>
    </w:p>
    <w:p w14:paraId="0AEE9EEF">
      <w:pPr>
        <w:spacing w:before="100" w:beforeAutospacing="1" w:after="100" w:afterAutospacing="1"/>
        <w:jc w:val="left"/>
        <w:rPr>
          <w:rFonts w:hint="eastAsia" w:ascii="仿宋" w:hAnsi="仿宋" w:eastAsia="仿宋" w:cs="仿宋"/>
          <w:color w:val="auto"/>
          <w:kern w:val="1"/>
          <w:sz w:val="24"/>
          <w:szCs w:val="24"/>
          <w:highlight w:val="none"/>
        </w:rPr>
      </w:pPr>
      <w:r>
        <w:rPr>
          <w:rFonts w:ascii="仿宋" w:hAnsi="仿宋" w:eastAsia="仿宋" w:cs="仿宋"/>
          <w:color w:val="auto"/>
          <w:kern w:val="1"/>
          <w:sz w:val="24"/>
          <w:szCs w:val="24"/>
          <w:highlight w:val="none"/>
          <w:u w:val="single"/>
        </w:rPr>
        <w:br w:type="page"/>
      </w:r>
      <w:r>
        <w:rPr>
          <w:rFonts w:hint="eastAsia" w:ascii="仿宋" w:hAnsi="仿宋" w:eastAsia="仿宋" w:cs="仿宋"/>
          <w:color w:val="auto"/>
          <w:kern w:val="1"/>
          <w:sz w:val="24"/>
          <w:szCs w:val="24"/>
          <w:highlight w:val="none"/>
        </w:rPr>
        <w:t>附件2：</w:t>
      </w:r>
    </w:p>
    <w:p w14:paraId="28590118">
      <w:pPr>
        <w:spacing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声明函</w:t>
      </w:r>
    </w:p>
    <w:p w14:paraId="3F9EE91D">
      <w:pPr>
        <w:spacing w:line="440" w:lineRule="exact"/>
        <w:jc w:val="center"/>
        <w:rPr>
          <w:rFonts w:hint="eastAsia" w:ascii="仿宋" w:hAnsi="仿宋" w:eastAsia="仿宋" w:cs="仿宋"/>
          <w:color w:val="auto"/>
          <w:sz w:val="28"/>
          <w:szCs w:val="28"/>
          <w:highlight w:val="none"/>
        </w:rPr>
      </w:pPr>
    </w:p>
    <w:p w14:paraId="4E0D9567">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一、我方在参加 </w:t>
      </w:r>
      <w:r>
        <w:rPr>
          <w:rFonts w:hint="eastAsia" w:ascii="仿宋" w:hAnsi="仿宋" w:eastAsia="仿宋" w:cs="仿宋"/>
          <w:color w:val="auto"/>
          <w:sz w:val="24"/>
          <w:highlight w:val="none"/>
          <w:u w:val="single"/>
        </w:rPr>
        <w:t xml:space="preserve">                     （项目名称）</w:t>
      </w:r>
      <w:r>
        <w:rPr>
          <w:rFonts w:hint="eastAsia" w:ascii="仿宋" w:hAnsi="仿宋" w:eastAsia="仿宋" w:cs="仿宋"/>
          <w:color w:val="auto"/>
          <w:sz w:val="24"/>
          <w:highlight w:val="none"/>
        </w:rPr>
        <w:t>采购活动前3年内，在经营活动中：</w:t>
      </w:r>
    </w:p>
    <w:p w14:paraId="75666EC8">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没有重大违法记录（重大违法记录指</w:t>
      </w:r>
      <w:r>
        <w:rPr>
          <w:rFonts w:hint="eastAsia" w:ascii="仿宋" w:hAnsi="仿宋" w:eastAsia="仿宋" w:cs="仿宋"/>
          <w:color w:val="auto"/>
          <w:kern w:val="0"/>
          <w:sz w:val="24"/>
          <w:highlight w:val="none"/>
        </w:rPr>
        <w:t>供应商因违法经营受到刑事处罚或者责令停产停业、吊销许可证或者执照、较大数额罚款等行政处罚）</w:t>
      </w:r>
      <w:r>
        <w:rPr>
          <w:rFonts w:hint="eastAsia" w:ascii="仿宋" w:hAnsi="仿宋" w:eastAsia="仿宋" w:cs="仿宋"/>
          <w:color w:val="auto"/>
          <w:sz w:val="24"/>
          <w:highlight w:val="none"/>
        </w:rPr>
        <w:t>。</w:t>
      </w:r>
    </w:p>
    <w:p w14:paraId="0A1F1182">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没有行贿犯罪记录（查询内容：①供应商</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、组织机构</w:t>
      </w:r>
      <w:r>
        <w:rPr>
          <w:rFonts w:hint="eastAsia" w:ascii="仿宋" w:hAnsi="仿宋" w:eastAsia="仿宋" w:cs="仿宋"/>
          <w:color w:val="auto"/>
          <w:sz w:val="24"/>
          <w:highlight w:val="none"/>
          <w:lang w:eastAsia="zh-CN"/>
        </w:rPr>
        <w:t>代码</w:t>
      </w:r>
      <w:r>
        <w:rPr>
          <w:rFonts w:hint="eastAsia" w:ascii="仿宋" w:hAnsi="仿宋" w:eastAsia="仿宋" w:cs="仿宋"/>
          <w:color w:val="auto"/>
          <w:sz w:val="24"/>
          <w:highlight w:val="none"/>
        </w:rPr>
        <w:t>或统一社会信用代码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；②法定代表人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；③项目负责人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、身份证号码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19060158">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二、我方在参加本项目活动前一段时间内具有良好的商业信誉和健全的财务会计制度、具有依法缴纳税收和社会保障资金的良好记录。</w:t>
      </w:r>
    </w:p>
    <w:p w14:paraId="7500F95F">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三、</w:t>
      </w:r>
      <w:r>
        <w:rPr>
          <w:rFonts w:hint="eastAsia" w:ascii="仿宋" w:hAnsi="仿宋" w:eastAsia="仿宋" w:cs="仿宋"/>
          <w:color w:val="auto"/>
          <w:sz w:val="24"/>
          <w:highlight w:val="none"/>
        </w:rPr>
        <w:t>我方具有履行合同所必需的设备和专业技术能力，符合《中华人民共和国政府采购法》第二十二条规定的条件。</w:t>
      </w:r>
    </w:p>
    <w:p w14:paraId="3E6EF3AC">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四</w:t>
      </w:r>
      <w:r>
        <w:rPr>
          <w:rFonts w:hint="eastAsia" w:ascii="仿宋" w:hAnsi="仿宋" w:eastAsia="仿宋" w:cs="仿宋"/>
          <w:color w:val="auto"/>
          <w:sz w:val="24"/>
          <w:highlight w:val="none"/>
        </w:rPr>
        <w:t>、我方承诺提交的资格审查材料，均合法、真实、准确、有效，无任何伪造、修改、虚假成分，并对所提供资料的真实性、准确性负责。</w:t>
      </w:r>
    </w:p>
    <w:p w14:paraId="5BD75FC4">
      <w:pPr>
        <w:spacing w:line="440" w:lineRule="exact"/>
        <w:ind w:firstLine="480" w:firstLineChars="200"/>
        <w:rPr>
          <w:rFonts w:hint="eastAsia" w:ascii="仿宋" w:hAnsi="仿宋" w:eastAsia="仿宋" w:cs="仿宋"/>
          <w:color w:val="auto"/>
          <w:sz w:val="24"/>
          <w:highlight w:val="none"/>
        </w:rPr>
      </w:pPr>
    </w:p>
    <w:p w14:paraId="6248D93B">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我方对</w:t>
      </w:r>
      <w:r>
        <w:rPr>
          <w:rFonts w:hint="eastAsia" w:ascii="仿宋" w:hAnsi="仿宋" w:eastAsia="仿宋" w:cs="仿宋"/>
          <w:color w:val="auto"/>
          <w:sz w:val="24"/>
          <w:highlight w:val="none"/>
          <w:lang w:val="en-US" w:eastAsia="zh-CN"/>
        </w:rPr>
        <w:t>上</w:t>
      </w:r>
      <w:r>
        <w:rPr>
          <w:rFonts w:hint="eastAsia" w:ascii="仿宋" w:hAnsi="仿宋" w:eastAsia="仿宋" w:cs="仿宋"/>
          <w:color w:val="auto"/>
          <w:sz w:val="24"/>
          <w:highlight w:val="none"/>
        </w:rPr>
        <w:t>述承诺的真实性负责，如有</w:t>
      </w:r>
      <w:r>
        <w:rPr>
          <w:rFonts w:hint="eastAsia" w:ascii="仿宋" w:hAnsi="仿宋" w:eastAsia="仿宋" w:cs="仿宋"/>
          <w:color w:val="auto"/>
          <w:sz w:val="24"/>
          <w:highlight w:val="none"/>
          <w:lang w:val="en-US" w:eastAsia="zh-CN"/>
        </w:rPr>
        <w:t>不实或</w:t>
      </w:r>
      <w:r>
        <w:rPr>
          <w:rFonts w:hint="eastAsia" w:ascii="仿宋" w:hAnsi="仿宋" w:eastAsia="仿宋" w:cs="仿宋"/>
          <w:color w:val="auto"/>
          <w:sz w:val="24"/>
          <w:highlight w:val="none"/>
        </w:rPr>
        <w:t>虚假，愿依法承担相应责任</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自愿承担一切法律后果。</w:t>
      </w:r>
    </w:p>
    <w:p w14:paraId="0D2F7217">
      <w:pPr>
        <w:spacing w:line="360" w:lineRule="auto"/>
        <w:ind w:firstLine="480" w:firstLineChars="200"/>
        <w:rPr>
          <w:rFonts w:ascii="仿宋" w:hAnsi="仿宋" w:eastAsia="仿宋"/>
          <w:color w:val="auto"/>
          <w:sz w:val="24"/>
          <w:szCs w:val="24"/>
          <w:highlight w:val="none"/>
        </w:rPr>
      </w:pPr>
    </w:p>
    <w:p w14:paraId="154ACB87">
      <w:pPr>
        <w:spacing w:line="360" w:lineRule="auto"/>
        <w:ind w:firstLine="480" w:firstLineChars="200"/>
        <w:rPr>
          <w:rFonts w:ascii="仿宋" w:hAnsi="仿宋" w:eastAsia="仿宋"/>
          <w:color w:val="auto"/>
          <w:sz w:val="24"/>
          <w:szCs w:val="24"/>
          <w:highlight w:val="none"/>
        </w:rPr>
      </w:pPr>
    </w:p>
    <w:p w14:paraId="460D89F2">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 xml:space="preserve">                                 </w:t>
      </w:r>
      <w:r>
        <w:rPr>
          <w:rFonts w:hint="eastAsia" w:ascii="仿宋" w:hAnsi="仿宋" w:eastAsia="仿宋"/>
          <w:color w:val="auto"/>
          <w:sz w:val="24"/>
          <w:szCs w:val="24"/>
          <w:highlight w:val="none"/>
        </w:rPr>
        <w:t>投</w:t>
      </w:r>
      <w:r>
        <w:rPr>
          <w:rFonts w:ascii="仿宋" w:hAnsi="仿宋" w:eastAsia="仿宋"/>
          <w:color w:val="auto"/>
          <w:sz w:val="24"/>
          <w:szCs w:val="24"/>
          <w:highlight w:val="none"/>
        </w:rPr>
        <w:t xml:space="preserve">  </w:t>
      </w:r>
      <w:r>
        <w:rPr>
          <w:rFonts w:hint="eastAsia" w:ascii="仿宋" w:hAnsi="仿宋" w:eastAsia="仿宋"/>
          <w:color w:val="auto"/>
          <w:sz w:val="24"/>
          <w:szCs w:val="24"/>
          <w:highlight w:val="none"/>
        </w:rPr>
        <w:t>标</w:t>
      </w:r>
      <w:r>
        <w:rPr>
          <w:rFonts w:ascii="仿宋" w:hAnsi="仿宋" w:eastAsia="仿宋"/>
          <w:color w:val="auto"/>
          <w:sz w:val="24"/>
          <w:szCs w:val="24"/>
          <w:highlight w:val="none"/>
        </w:rPr>
        <w:t xml:space="preserve">  </w:t>
      </w:r>
      <w:r>
        <w:rPr>
          <w:rFonts w:hint="eastAsia" w:ascii="仿宋" w:hAnsi="仿宋" w:eastAsia="仿宋"/>
          <w:color w:val="auto"/>
          <w:sz w:val="24"/>
          <w:szCs w:val="24"/>
          <w:highlight w:val="none"/>
        </w:rPr>
        <w:t>人：</w:t>
      </w:r>
      <w:r>
        <w:rPr>
          <w:rFonts w:ascii="仿宋" w:hAnsi="仿宋" w:eastAsia="仿宋"/>
          <w:color w:val="auto"/>
          <w:sz w:val="24"/>
          <w:szCs w:val="24"/>
          <w:highlight w:val="none"/>
          <w:u w:val="single"/>
        </w:rPr>
        <w:t xml:space="preserve">  </w:t>
      </w:r>
      <w:r>
        <w:rPr>
          <w:rFonts w:hint="eastAsia" w:ascii="仿宋" w:hAnsi="仿宋" w:eastAsia="仿宋"/>
          <w:color w:val="auto"/>
          <w:sz w:val="24"/>
          <w:szCs w:val="24"/>
          <w:highlight w:val="none"/>
          <w:u w:val="single"/>
        </w:rPr>
        <w:t xml:space="preserve"> </w:t>
      </w:r>
      <w:r>
        <w:rPr>
          <w:rFonts w:ascii="仿宋" w:hAnsi="仿宋" w:eastAsia="仿宋"/>
          <w:color w:val="auto"/>
          <w:sz w:val="24"/>
          <w:szCs w:val="24"/>
          <w:highlight w:val="none"/>
          <w:u w:val="single"/>
        </w:rPr>
        <w:t xml:space="preserve">  </w:t>
      </w:r>
      <w:r>
        <w:rPr>
          <w:rFonts w:hint="eastAsia" w:ascii="仿宋" w:hAnsi="仿宋" w:eastAsia="仿宋"/>
          <w:color w:val="auto"/>
          <w:sz w:val="24"/>
          <w:szCs w:val="24"/>
          <w:highlight w:val="none"/>
          <w:u w:val="single"/>
        </w:rPr>
        <w:t xml:space="preserve">（公章）    </w:t>
      </w:r>
      <w:r>
        <w:rPr>
          <w:rFonts w:ascii="仿宋" w:hAnsi="仿宋" w:eastAsia="仿宋"/>
          <w:color w:val="auto"/>
          <w:sz w:val="24"/>
          <w:szCs w:val="24"/>
          <w:highlight w:val="none"/>
          <w:u w:val="single"/>
        </w:rPr>
        <w:t xml:space="preserve"> </w:t>
      </w:r>
    </w:p>
    <w:p w14:paraId="19FBBD06">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 xml:space="preserve">                                 </w:t>
      </w:r>
      <w:r>
        <w:rPr>
          <w:rFonts w:hint="eastAsia" w:ascii="仿宋" w:hAnsi="仿宋" w:eastAsia="仿宋"/>
          <w:color w:val="auto"/>
          <w:sz w:val="24"/>
          <w:szCs w:val="24"/>
          <w:highlight w:val="none"/>
        </w:rPr>
        <w:t>日</w:t>
      </w:r>
      <w:r>
        <w:rPr>
          <w:rFonts w:ascii="仿宋" w:hAnsi="仿宋" w:eastAsia="仿宋"/>
          <w:color w:val="auto"/>
          <w:sz w:val="24"/>
          <w:szCs w:val="24"/>
          <w:highlight w:val="none"/>
        </w:rPr>
        <w:t xml:space="preserve">      </w:t>
      </w:r>
      <w:r>
        <w:rPr>
          <w:rFonts w:hint="eastAsia" w:ascii="仿宋" w:hAnsi="仿宋" w:eastAsia="仿宋"/>
          <w:color w:val="auto"/>
          <w:sz w:val="24"/>
          <w:szCs w:val="24"/>
          <w:highlight w:val="none"/>
        </w:rPr>
        <w:t>期：</w:t>
      </w:r>
      <w:r>
        <w:rPr>
          <w:rFonts w:ascii="仿宋" w:hAnsi="仿宋" w:eastAsia="仿宋"/>
          <w:color w:val="auto"/>
          <w:sz w:val="24"/>
          <w:szCs w:val="24"/>
          <w:highlight w:val="none"/>
          <w:u w:val="single"/>
        </w:rPr>
        <w:t xml:space="preserve">      </w:t>
      </w:r>
      <w:r>
        <w:rPr>
          <w:rFonts w:hint="eastAsia" w:ascii="仿宋" w:hAnsi="仿宋" w:eastAsia="仿宋"/>
          <w:color w:val="auto"/>
          <w:sz w:val="24"/>
          <w:szCs w:val="24"/>
          <w:highlight w:val="none"/>
        </w:rPr>
        <w:t>年</w:t>
      </w:r>
      <w:r>
        <w:rPr>
          <w:rFonts w:ascii="仿宋" w:hAnsi="仿宋" w:eastAsia="仿宋"/>
          <w:color w:val="auto"/>
          <w:sz w:val="24"/>
          <w:szCs w:val="24"/>
          <w:highlight w:val="none"/>
          <w:u w:val="single"/>
        </w:rPr>
        <w:t xml:space="preserve">   </w:t>
      </w:r>
      <w:r>
        <w:rPr>
          <w:rFonts w:hint="eastAsia" w:ascii="仿宋" w:hAnsi="仿宋" w:eastAsia="仿宋"/>
          <w:color w:val="auto"/>
          <w:sz w:val="24"/>
          <w:szCs w:val="24"/>
          <w:highlight w:val="none"/>
        </w:rPr>
        <w:t>月</w:t>
      </w:r>
      <w:r>
        <w:rPr>
          <w:rFonts w:ascii="仿宋" w:hAnsi="仿宋" w:eastAsia="仿宋"/>
          <w:color w:val="auto"/>
          <w:sz w:val="24"/>
          <w:szCs w:val="24"/>
          <w:highlight w:val="none"/>
          <w:u w:val="single"/>
        </w:rPr>
        <w:t xml:space="preserve">   </w:t>
      </w:r>
      <w:r>
        <w:rPr>
          <w:rFonts w:hint="eastAsia" w:ascii="仿宋" w:hAnsi="仿宋" w:eastAsia="仿宋"/>
          <w:color w:val="auto"/>
          <w:sz w:val="24"/>
          <w:szCs w:val="24"/>
          <w:highlight w:val="none"/>
        </w:rPr>
        <w:t>日</w:t>
      </w:r>
    </w:p>
    <w:p w14:paraId="1EE6FEA9">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 xml:space="preserve">    </w:t>
      </w:r>
    </w:p>
    <w:p w14:paraId="19969BBF">
      <w:pPr>
        <w:spacing w:line="360" w:lineRule="auto"/>
        <w:ind w:firstLine="480"/>
        <w:rPr>
          <w:rFonts w:ascii="仿宋" w:hAnsi="仿宋" w:eastAsia="仿宋"/>
          <w:color w:val="auto"/>
          <w:sz w:val="24"/>
          <w:szCs w:val="24"/>
          <w:highlight w:val="none"/>
        </w:rPr>
      </w:pPr>
      <w:r>
        <w:rPr>
          <w:rFonts w:hint="eastAsia" w:ascii="仿宋" w:hAnsi="仿宋" w:eastAsia="仿宋"/>
          <w:color w:val="auto"/>
          <w:sz w:val="24"/>
          <w:szCs w:val="24"/>
          <w:highlight w:val="none"/>
        </w:rPr>
        <w:t>备注：1.投标人没有被公开披露或查处违法违规行为的，注明“无”即可。</w:t>
      </w:r>
    </w:p>
    <w:p w14:paraId="118E1E54">
      <w:pPr>
        <w:spacing w:line="360" w:lineRule="auto"/>
        <w:ind w:firstLine="480" w:firstLineChars="200"/>
        <w:rPr>
          <w:rFonts w:hint="eastAsia" w:ascii="仿宋" w:hAnsi="仿宋" w:eastAsia="仿宋"/>
          <w:color w:val="auto"/>
          <w:sz w:val="24"/>
          <w:szCs w:val="24"/>
          <w:highlight w:val="none"/>
          <w:u w:val="single"/>
        </w:rPr>
      </w:pPr>
      <w:r>
        <w:rPr>
          <w:rFonts w:hint="eastAsia" w:ascii="仿宋" w:hAnsi="仿宋" w:eastAsia="仿宋"/>
          <w:color w:val="auto"/>
          <w:sz w:val="24"/>
          <w:szCs w:val="24"/>
          <w:highlight w:val="none"/>
        </w:rPr>
        <w:t xml:space="preserve">      2.招标文件未要求项目负责人的，项目负责人一栏可删除。</w:t>
      </w:r>
    </w:p>
    <w:p w14:paraId="0F6F77DC">
      <w:pPr>
        <w:widowControl/>
        <w:autoSpaceDE w:val="0"/>
        <w:autoSpaceDN w:val="0"/>
        <w:adjustRightInd w:val="0"/>
        <w:spacing w:line="460" w:lineRule="exact"/>
        <w:rPr>
          <w:rFonts w:hint="eastAsia" w:ascii="仿宋" w:hAnsi="仿宋" w:eastAsia="仿宋"/>
          <w:color w:val="auto"/>
          <w:kern w:val="1"/>
          <w:sz w:val="24"/>
          <w:szCs w:val="24"/>
          <w:highlight w:val="none"/>
        </w:rPr>
      </w:pPr>
      <w:r>
        <w:rPr>
          <w:rFonts w:ascii="仿宋" w:hAnsi="仿宋" w:eastAsia="仿宋"/>
          <w:color w:val="auto"/>
          <w:kern w:val="1"/>
          <w:sz w:val="24"/>
          <w:szCs w:val="24"/>
          <w:highlight w:val="none"/>
        </w:rPr>
        <w:br w:type="page"/>
      </w:r>
      <w:r>
        <w:rPr>
          <w:rFonts w:hint="eastAsia" w:ascii="仿宋" w:hAnsi="仿宋" w:eastAsia="仿宋"/>
          <w:color w:val="auto"/>
          <w:kern w:val="1"/>
          <w:sz w:val="24"/>
          <w:szCs w:val="24"/>
          <w:highlight w:val="none"/>
        </w:rPr>
        <w:t>附件3：</w:t>
      </w:r>
    </w:p>
    <w:p w14:paraId="5F0138CA">
      <w:pPr>
        <w:spacing w:line="440" w:lineRule="exact"/>
        <w:jc w:val="center"/>
        <w:rPr>
          <w:rFonts w:ascii="宋体" w:hAnsi="宋体"/>
          <w:color w:val="auto"/>
          <w:sz w:val="28"/>
          <w:szCs w:val="28"/>
          <w:highlight w:val="none"/>
        </w:rPr>
      </w:pPr>
      <w:r>
        <w:rPr>
          <w:rFonts w:ascii="宋体" w:hAnsi="宋体"/>
          <w:color w:val="auto"/>
          <w:sz w:val="28"/>
          <w:szCs w:val="28"/>
          <w:highlight w:val="none"/>
        </w:rPr>
        <w:t>法定代表人身份证明</w:t>
      </w:r>
    </w:p>
    <w:p w14:paraId="33567BCD">
      <w:pPr>
        <w:spacing w:line="440" w:lineRule="exact"/>
        <w:rPr>
          <w:color w:val="auto"/>
          <w:sz w:val="20"/>
          <w:highlight w:val="none"/>
        </w:rPr>
      </w:pPr>
    </w:p>
    <w:p w14:paraId="7778B78A">
      <w:pPr>
        <w:spacing w:line="440" w:lineRule="exact"/>
        <w:rPr>
          <w:rFonts w:ascii="仿宋" w:hAnsi="仿宋" w:eastAsia="仿宋"/>
          <w:color w:val="auto"/>
          <w:sz w:val="24"/>
          <w:szCs w:val="24"/>
          <w:highlight w:val="none"/>
        </w:rPr>
      </w:pPr>
    </w:p>
    <w:p w14:paraId="35692CC1">
      <w:pPr>
        <w:spacing w:line="440" w:lineRule="exact"/>
        <w:rPr>
          <w:rFonts w:ascii="仿宋" w:hAnsi="仿宋" w:eastAsia="仿宋"/>
          <w:color w:val="auto"/>
          <w:sz w:val="24"/>
          <w:szCs w:val="24"/>
          <w:highlight w:val="none"/>
        </w:rPr>
      </w:pPr>
      <w:r>
        <w:rPr>
          <w:rFonts w:ascii="仿宋" w:hAnsi="仿宋" w:eastAsia="仿宋"/>
          <w:color w:val="auto"/>
          <w:sz w:val="24"/>
          <w:szCs w:val="24"/>
          <w:highlight w:val="none"/>
        </w:rPr>
        <w:t>投标人名称：</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 xml:space="preserve"> </w:t>
      </w:r>
    </w:p>
    <w:p w14:paraId="23C748B5">
      <w:pPr>
        <w:spacing w:line="440" w:lineRule="exact"/>
        <w:rPr>
          <w:rFonts w:ascii="仿宋" w:hAnsi="仿宋" w:eastAsia="仿宋"/>
          <w:color w:val="auto"/>
          <w:sz w:val="24"/>
          <w:szCs w:val="24"/>
          <w:highlight w:val="none"/>
        </w:rPr>
      </w:pPr>
      <w:r>
        <w:rPr>
          <w:rFonts w:ascii="仿宋" w:hAnsi="仿宋" w:eastAsia="仿宋"/>
          <w:color w:val="auto"/>
          <w:sz w:val="24"/>
          <w:szCs w:val="24"/>
          <w:highlight w:val="none"/>
        </w:rPr>
        <w:t>单位性质：</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 xml:space="preserve"> </w:t>
      </w:r>
    </w:p>
    <w:p w14:paraId="3FF90E78">
      <w:pPr>
        <w:spacing w:line="440" w:lineRule="exact"/>
        <w:rPr>
          <w:rFonts w:ascii="仿宋" w:hAnsi="仿宋" w:eastAsia="仿宋"/>
          <w:color w:val="auto"/>
          <w:sz w:val="24"/>
          <w:szCs w:val="24"/>
          <w:highlight w:val="none"/>
        </w:rPr>
      </w:pPr>
      <w:r>
        <w:rPr>
          <w:rFonts w:ascii="仿宋" w:hAnsi="仿宋" w:eastAsia="仿宋"/>
          <w:color w:val="auto"/>
          <w:sz w:val="24"/>
          <w:szCs w:val="24"/>
          <w:highlight w:val="none"/>
        </w:rPr>
        <w:t>地址：</w:t>
      </w:r>
      <w:r>
        <w:rPr>
          <w:rFonts w:ascii="仿宋" w:hAnsi="仿宋" w:eastAsia="仿宋"/>
          <w:color w:val="auto"/>
          <w:sz w:val="24"/>
          <w:szCs w:val="24"/>
          <w:highlight w:val="none"/>
          <w:u w:val="single"/>
        </w:rPr>
        <w:t xml:space="preserve">                                   </w:t>
      </w:r>
    </w:p>
    <w:p w14:paraId="023A007A">
      <w:pPr>
        <w:spacing w:line="440" w:lineRule="exact"/>
        <w:rPr>
          <w:rFonts w:ascii="仿宋" w:hAnsi="仿宋" w:eastAsia="仿宋"/>
          <w:color w:val="auto"/>
          <w:sz w:val="24"/>
          <w:szCs w:val="24"/>
          <w:highlight w:val="none"/>
        </w:rPr>
      </w:pPr>
      <w:r>
        <w:rPr>
          <w:rFonts w:ascii="仿宋" w:hAnsi="仿宋" w:eastAsia="仿宋"/>
          <w:color w:val="auto"/>
          <w:sz w:val="24"/>
          <w:szCs w:val="24"/>
          <w:highlight w:val="none"/>
        </w:rPr>
        <w:t>成立时间：</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年</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月</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日</w:t>
      </w:r>
    </w:p>
    <w:p w14:paraId="3B6777A3">
      <w:pPr>
        <w:spacing w:line="440" w:lineRule="exact"/>
        <w:rPr>
          <w:rFonts w:ascii="仿宋" w:hAnsi="仿宋" w:eastAsia="仿宋"/>
          <w:color w:val="auto"/>
          <w:sz w:val="24"/>
          <w:szCs w:val="24"/>
          <w:highlight w:val="none"/>
        </w:rPr>
      </w:pPr>
      <w:r>
        <w:rPr>
          <w:rFonts w:ascii="仿宋" w:hAnsi="仿宋" w:eastAsia="仿宋"/>
          <w:color w:val="auto"/>
          <w:sz w:val="24"/>
          <w:szCs w:val="24"/>
          <w:highlight w:val="none"/>
        </w:rPr>
        <w:t>经营期限：</w:t>
      </w:r>
      <w:r>
        <w:rPr>
          <w:rFonts w:ascii="仿宋" w:hAnsi="仿宋" w:eastAsia="仿宋"/>
          <w:color w:val="auto"/>
          <w:sz w:val="24"/>
          <w:szCs w:val="24"/>
          <w:highlight w:val="none"/>
          <w:u w:val="single"/>
        </w:rPr>
        <w:t xml:space="preserve">                               </w:t>
      </w:r>
    </w:p>
    <w:p w14:paraId="379CB00E">
      <w:pPr>
        <w:spacing w:line="440" w:lineRule="exact"/>
        <w:rPr>
          <w:rFonts w:hint="eastAsia" w:ascii="仿宋" w:hAnsi="仿宋" w:eastAsia="仿宋"/>
          <w:color w:val="auto"/>
          <w:sz w:val="24"/>
          <w:szCs w:val="24"/>
          <w:highlight w:val="none"/>
        </w:rPr>
      </w:pPr>
    </w:p>
    <w:p w14:paraId="5169C8D7">
      <w:pPr>
        <w:spacing w:line="440" w:lineRule="exact"/>
        <w:rPr>
          <w:rFonts w:ascii="仿宋" w:hAnsi="仿宋" w:eastAsia="仿宋"/>
          <w:color w:val="auto"/>
          <w:sz w:val="24"/>
          <w:szCs w:val="24"/>
          <w:highlight w:val="none"/>
        </w:rPr>
      </w:pPr>
      <w:r>
        <w:rPr>
          <w:rFonts w:ascii="仿宋" w:hAnsi="仿宋" w:eastAsia="仿宋"/>
          <w:color w:val="auto"/>
          <w:sz w:val="24"/>
          <w:szCs w:val="24"/>
          <w:highlight w:val="none"/>
        </w:rPr>
        <w:t>姓名：</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 xml:space="preserve"> 性别：</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 xml:space="preserve"> 年龄：</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职务：</w:t>
      </w:r>
      <w:r>
        <w:rPr>
          <w:rFonts w:ascii="仿宋" w:hAnsi="仿宋" w:eastAsia="仿宋"/>
          <w:color w:val="auto"/>
          <w:sz w:val="24"/>
          <w:szCs w:val="24"/>
          <w:highlight w:val="none"/>
          <w:u w:val="single"/>
        </w:rPr>
        <w:t xml:space="preserve">        </w:t>
      </w:r>
    </w:p>
    <w:p w14:paraId="5894CE68">
      <w:pPr>
        <w:spacing w:line="440" w:lineRule="exact"/>
        <w:rPr>
          <w:rFonts w:ascii="仿宋" w:hAnsi="仿宋" w:eastAsia="仿宋"/>
          <w:color w:val="auto"/>
          <w:sz w:val="24"/>
          <w:szCs w:val="24"/>
          <w:highlight w:val="none"/>
        </w:rPr>
      </w:pPr>
      <w:r>
        <w:rPr>
          <w:rFonts w:ascii="仿宋" w:hAnsi="仿宋" w:eastAsia="仿宋"/>
          <w:color w:val="auto"/>
          <w:sz w:val="24"/>
          <w:szCs w:val="24"/>
          <w:highlight w:val="none"/>
        </w:rPr>
        <w:t>系</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 xml:space="preserve"> </w:t>
      </w:r>
      <w:r>
        <w:rPr>
          <w:rFonts w:hint="eastAsia" w:ascii="仿宋" w:hAnsi="仿宋" w:eastAsia="仿宋"/>
          <w:color w:val="auto"/>
          <w:sz w:val="24"/>
          <w:szCs w:val="24"/>
          <w:highlight w:val="none"/>
        </w:rPr>
        <w:t>（</w:t>
      </w:r>
      <w:r>
        <w:rPr>
          <w:rFonts w:ascii="仿宋" w:hAnsi="仿宋" w:eastAsia="仿宋"/>
          <w:color w:val="auto"/>
          <w:sz w:val="24"/>
          <w:szCs w:val="24"/>
          <w:highlight w:val="none"/>
        </w:rPr>
        <w:t>投标人名称</w:t>
      </w:r>
      <w:r>
        <w:rPr>
          <w:rFonts w:hint="eastAsia" w:ascii="仿宋" w:hAnsi="仿宋" w:eastAsia="仿宋"/>
          <w:color w:val="auto"/>
          <w:sz w:val="24"/>
          <w:szCs w:val="24"/>
          <w:highlight w:val="none"/>
        </w:rPr>
        <w:t>）</w:t>
      </w:r>
      <w:r>
        <w:rPr>
          <w:rFonts w:ascii="仿宋" w:hAnsi="仿宋" w:eastAsia="仿宋"/>
          <w:color w:val="auto"/>
          <w:sz w:val="24"/>
          <w:szCs w:val="24"/>
          <w:highlight w:val="none"/>
        </w:rPr>
        <w:t>的法定代表人。</w:t>
      </w:r>
    </w:p>
    <w:p w14:paraId="42F83F56">
      <w:pPr>
        <w:spacing w:line="440" w:lineRule="exact"/>
        <w:ind w:firstLine="480" w:firstLineChars="200"/>
        <w:rPr>
          <w:rFonts w:ascii="仿宋" w:hAnsi="仿宋" w:eastAsia="仿宋"/>
          <w:color w:val="auto"/>
          <w:sz w:val="24"/>
          <w:szCs w:val="24"/>
          <w:highlight w:val="none"/>
        </w:rPr>
      </w:pPr>
      <w:r>
        <w:rPr>
          <w:rFonts w:ascii="仿宋" w:hAnsi="仿宋" w:eastAsia="仿宋"/>
          <w:color w:val="auto"/>
          <w:sz w:val="24"/>
          <w:szCs w:val="24"/>
          <w:highlight w:val="none"/>
        </w:rPr>
        <w:t>特此证明。</w:t>
      </w:r>
    </w:p>
    <w:p w14:paraId="4AB40887">
      <w:pPr>
        <w:spacing w:line="440" w:lineRule="exact"/>
        <w:rPr>
          <w:rFonts w:ascii="仿宋" w:hAnsi="仿宋" w:eastAsia="仿宋"/>
          <w:color w:val="auto"/>
          <w:sz w:val="24"/>
          <w:szCs w:val="24"/>
          <w:highlight w:val="none"/>
        </w:rPr>
      </w:pPr>
    </w:p>
    <w:p w14:paraId="47271B6E">
      <w:pPr>
        <w:spacing w:line="440" w:lineRule="exact"/>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附：法定代表人身份证复印件。</w:t>
      </w:r>
    </w:p>
    <w:p w14:paraId="48B5D0CB">
      <w:pPr>
        <w:spacing w:line="440" w:lineRule="exact"/>
        <w:rPr>
          <w:rFonts w:hint="eastAsia" w:ascii="仿宋" w:hAnsi="仿宋" w:eastAsia="仿宋"/>
          <w:color w:val="auto"/>
          <w:sz w:val="24"/>
          <w:szCs w:val="24"/>
          <w:highlight w:val="none"/>
        </w:rPr>
      </w:pPr>
    </w:p>
    <w:p w14:paraId="425A2100">
      <w:pPr>
        <w:spacing w:line="440" w:lineRule="exact"/>
        <w:rPr>
          <w:rFonts w:hint="eastAsia" w:ascii="仿宋" w:hAnsi="仿宋" w:eastAsia="仿宋"/>
          <w:color w:val="auto"/>
          <w:sz w:val="24"/>
          <w:szCs w:val="24"/>
          <w:highlight w:val="none"/>
        </w:rPr>
      </w:pPr>
    </w:p>
    <w:p w14:paraId="49200FBB">
      <w:pPr>
        <w:spacing w:line="440" w:lineRule="exact"/>
        <w:rPr>
          <w:rFonts w:hint="eastAsia" w:ascii="仿宋" w:hAnsi="仿宋" w:eastAsia="仿宋"/>
          <w:color w:val="auto"/>
          <w:sz w:val="24"/>
          <w:szCs w:val="24"/>
          <w:highlight w:val="none"/>
        </w:rPr>
      </w:pPr>
    </w:p>
    <w:p w14:paraId="798E80EE">
      <w:pPr>
        <w:spacing w:line="440" w:lineRule="exact"/>
        <w:rPr>
          <w:rFonts w:hint="eastAsia" w:ascii="仿宋" w:hAnsi="仿宋" w:eastAsia="仿宋"/>
          <w:color w:val="auto"/>
          <w:sz w:val="24"/>
          <w:szCs w:val="24"/>
          <w:highlight w:val="none"/>
        </w:rPr>
      </w:pPr>
    </w:p>
    <w:p w14:paraId="4E60677D">
      <w:pPr>
        <w:spacing w:line="440" w:lineRule="exact"/>
        <w:rPr>
          <w:rFonts w:hint="eastAsia" w:ascii="仿宋" w:hAnsi="仿宋" w:eastAsia="仿宋"/>
          <w:color w:val="auto"/>
          <w:sz w:val="24"/>
          <w:szCs w:val="24"/>
          <w:highlight w:val="none"/>
        </w:rPr>
      </w:pPr>
    </w:p>
    <w:p w14:paraId="539885A9">
      <w:pPr>
        <w:spacing w:line="440" w:lineRule="exact"/>
        <w:rPr>
          <w:rFonts w:hint="eastAsia" w:ascii="仿宋" w:hAnsi="仿宋" w:eastAsia="仿宋"/>
          <w:color w:val="auto"/>
          <w:sz w:val="24"/>
          <w:szCs w:val="24"/>
          <w:highlight w:val="none"/>
        </w:rPr>
      </w:pPr>
    </w:p>
    <w:p w14:paraId="18354456">
      <w:pPr>
        <w:spacing w:line="440" w:lineRule="exact"/>
        <w:rPr>
          <w:rFonts w:hint="eastAsia" w:ascii="仿宋" w:hAnsi="仿宋" w:eastAsia="仿宋"/>
          <w:color w:val="auto"/>
          <w:sz w:val="24"/>
          <w:szCs w:val="24"/>
          <w:highlight w:val="none"/>
        </w:rPr>
      </w:pPr>
    </w:p>
    <w:p w14:paraId="58F72196">
      <w:pPr>
        <w:spacing w:line="440" w:lineRule="exact"/>
        <w:rPr>
          <w:rFonts w:hint="eastAsia" w:ascii="仿宋" w:hAnsi="仿宋" w:eastAsia="仿宋"/>
          <w:color w:val="auto"/>
          <w:sz w:val="24"/>
          <w:szCs w:val="24"/>
          <w:highlight w:val="none"/>
        </w:rPr>
      </w:pPr>
    </w:p>
    <w:p w14:paraId="22A24A3B">
      <w:pPr>
        <w:spacing w:line="440" w:lineRule="exact"/>
        <w:rPr>
          <w:rFonts w:hint="eastAsia" w:ascii="仿宋" w:hAnsi="仿宋" w:eastAsia="仿宋"/>
          <w:color w:val="auto"/>
          <w:sz w:val="24"/>
          <w:szCs w:val="24"/>
          <w:highlight w:val="none"/>
        </w:rPr>
      </w:pPr>
    </w:p>
    <w:p w14:paraId="38183DA2">
      <w:pPr>
        <w:spacing w:line="440" w:lineRule="exact"/>
        <w:rPr>
          <w:rFonts w:ascii="仿宋" w:hAnsi="仿宋" w:eastAsia="仿宋"/>
          <w:color w:val="auto"/>
          <w:sz w:val="24"/>
          <w:szCs w:val="24"/>
          <w:highlight w:val="none"/>
        </w:rPr>
      </w:pPr>
      <w:r>
        <w:rPr>
          <w:rFonts w:ascii="仿宋" w:hAnsi="仿宋" w:eastAsia="仿宋"/>
          <w:color w:val="auto"/>
          <w:sz w:val="24"/>
          <w:szCs w:val="24"/>
          <w:highlight w:val="none"/>
        </w:rPr>
        <w:t xml:space="preserve">                          投标人：</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w:t>
      </w:r>
      <w:r>
        <w:rPr>
          <w:rFonts w:hint="eastAsia" w:ascii="仿宋" w:hAnsi="仿宋" w:eastAsia="仿宋"/>
          <w:color w:val="auto"/>
          <w:sz w:val="24"/>
          <w:szCs w:val="24"/>
          <w:highlight w:val="none"/>
        </w:rPr>
        <w:t>公章</w:t>
      </w:r>
      <w:r>
        <w:rPr>
          <w:rFonts w:ascii="仿宋" w:hAnsi="仿宋" w:eastAsia="仿宋"/>
          <w:color w:val="auto"/>
          <w:sz w:val="24"/>
          <w:szCs w:val="24"/>
          <w:highlight w:val="none"/>
        </w:rPr>
        <w:t>）</w:t>
      </w:r>
    </w:p>
    <w:p w14:paraId="5A1D27BC">
      <w:pPr>
        <w:widowControl/>
        <w:autoSpaceDE w:val="0"/>
        <w:autoSpaceDN w:val="0"/>
        <w:adjustRightInd w:val="0"/>
        <w:spacing w:line="460" w:lineRule="exact"/>
        <w:rPr>
          <w:rFonts w:hint="eastAsia" w:ascii="仿宋" w:hAnsi="仿宋" w:eastAsia="仿宋"/>
          <w:color w:val="auto"/>
          <w:kern w:val="1"/>
          <w:sz w:val="24"/>
          <w:szCs w:val="24"/>
          <w:highlight w:val="none"/>
        </w:rPr>
      </w:pPr>
      <w:r>
        <w:rPr>
          <w:rFonts w:ascii="仿宋" w:hAnsi="仿宋" w:eastAsia="仿宋"/>
          <w:color w:val="auto"/>
          <w:sz w:val="24"/>
          <w:szCs w:val="24"/>
          <w:highlight w:val="none"/>
        </w:rPr>
        <w:t xml:space="preserve">                                </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年</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月</w:t>
      </w:r>
      <w:r>
        <w:rPr>
          <w:rFonts w:ascii="仿宋" w:hAnsi="仿宋" w:eastAsia="仿宋"/>
          <w:color w:val="auto"/>
          <w:sz w:val="24"/>
          <w:szCs w:val="24"/>
          <w:highlight w:val="none"/>
          <w:u w:val="single"/>
        </w:rPr>
        <w:t xml:space="preserve">   </w:t>
      </w:r>
      <w:r>
        <w:rPr>
          <w:rFonts w:ascii="仿宋" w:hAnsi="仿宋" w:eastAsia="仿宋"/>
          <w:color w:val="auto"/>
          <w:sz w:val="24"/>
          <w:szCs w:val="24"/>
          <w:highlight w:val="none"/>
        </w:rPr>
        <w:t xml:space="preserve"> 日</w:t>
      </w:r>
    </w:p>
    <w:p w14:paraId="32785199">
      <w:pPr>
        <w:widowControl/>
        <w:autoSpaceDE w:val="0"/>
        <w:autoSpaceDN w:val="0"/>
        <w:adjustRightInd w:val="0"/>
        <w:spacing w:line="460" w:lineRule="exact"/>
        <w:rPr>
          <w:rStyle w:val="46"/>
          <w:color w:val="auto"/>
          <w:sz w:val="24"/>
          <w:szCs w:val="24"/>
          <w:highlight w:val="none"/>
        </w:rPr>
      </w:pPr>
      <w:r>
        <w:rPr>
          <w:rStyle w:val="46"/>
          <w:color w:val="auto"/>
          <w:sz w:val="24"/>
          <w:szCs w:val="24"/>
          <w:highlight w:val="none"/>
        </w:rPr>
        <w:br w:type="page"/>
      </w:r>
      <w:r>
        <w:rPr>
          <w:rStyle w:val="46"/>
          <w:rFonts w:hint="eastAsia"/>
          <w:color w:val="auto"/>
          <w:sz w:val="24"/>
          <w:szCs w:val="24"/>
          <w:highlight w:val="none"/>
        </w:rPr>
        <w:t>附件4：</w:t>
      </w:r>
      <w:r>
        <w:rPr>
          <w:rStyle w:val="46"/>
          <w:color w:val="auto"/>
          <w:sz w:val="24"/>
          <w:szCs w:val="24"/>
          <w:highlight w:val="none"/>
        </w:rPr>
        <w:t xml:space="preserve">    </w:t>
      </w:r>
    </w:p>
    <w:p w14:paraId="5598AB57">
      <w:pPr>
        <w:widowControl/>
        <w:autoSpaceDE w:val="0"/>
        <w:autoSpaceDN w:val="0"/>
        <w:adjustRightInd w:val="0"/>
        <w:spacing w:line="360" w:lineRule="auto"/>
        <w:jc w:val="center"/>
        <w:rPr>
          <w:color w:val="auto"/>
          <w:sz w:val="28"/>
          <w:szCs w:val="28"/>
          <w:highlight w:val="none"/>
        </w:rPr>
      </w:pPr>
      <w:r>
        <w:rPr>
          <w:rFonts w:hint="eastAsia" w:ascii="仿宋" w:hAnsi="仿宋" w:eastAsia="仿宋" w:cs="宋体"/>
          <w:color w:val="auto"/>
          <w:sz w:val="28"/>
          <w:szCs w:val="28"/>
          <w:highlight w:val="none"/>
        </w:rPr>
        <w:t>法定代表人授权委托书</w:t>
      </w:r>
    </w:p>
    <w:p w14:paraId="3E45BF4B">
      <w:pPr>
        <w:widowControl/>
        <w:autoSpaceDE w:val="0"/>
        <w:autoSpaceDN w:val="0"/>
        <w:adjustRightInd w:val="0"/>
        <w:spacing w:line="360" w:lineRule="auto"/>
        <w:rPr>
          <w:rFonts w:hint="eastAsia" w:ascii="仿宋" w:hAnsi="仿宋" w:eastAsia="仿宋"/>
          <w:color w:val="auto"/>
          <w:sz w:val="24"/>
          <w:szCs w:val="24"/>
          <w:highlight w:val="none"/>
        </w:rPr>
      </w:pPr>
    </w:p>
    <w:p w14:paraId="1871AC60">
      <w:pPr>
        <w:widowControl/>
        <w:autoSpaceDE w:val="0"/>
        <w:autoSpaceDN w:val="0"/>
        <w:adjustRightInd w:val="0"/>
        <w:spacing w:line="360" w:lineRule="auto"/>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u w:val="single"/>
        </w:rPr>
        <w:t xml:space="preserve">   （采购人）  </w:t>
      </w:r>
      <w:r>
        <w:rPr>
          <w:rStyle w:val="46"/>
          <w:color w:val="auto"/>
          <w:sz w:val="24"/>
          <w:szCs w:val="24"/>
          <w:highlight w:val="none"/>
        </w:rPr>
        <w:t>：</w:t>
      </w:r>
    </w:p>
    <w:p w14:paraId="0B896CEE">
      <w:pPr>
        <w:widowControl/>
        <w:autoSpaceDE w:val="0"/>
        <w:autoSpaceDN w:val="0"/>
        <w:adjustRightInd w:val="0"/>
        <w:spacing w:line="360" w:lineRule="auto"/>
        <w:ind w:firstLine="480"/>
        <w:rPr>
          <w:rFonts w:hint="eastAsia" w:ascii="仿宋" w:hAnsi="仿宋" w:eastAsia="仿宋"/>
          <w:color w:val="auto"/>
          <w:sz w:val="24"/>
          <w:szCs w:val="24"/>
          <w:highlight w:val="none"/>
        </w:rPr>
      </w:pPr>
      <w:r>
        <w:rPr>
          <w:rStyle w:val="46"/>
          <w:color w:val="auto"/>
          <w:sz w:val="24"/>
          <w:szCs w:val="24"/>
          <w:highlight w:val="none"/>
        </w:rPr>
        <w:t>我</w:t>
      </w:r>
      <w:r>
        <w:rPr>
          <w:rFonts w:hint="eastAsia" w:ascii="仿宋" w:hAnsi="仿宋" w:eastAsia="仿宋" w:cs="仿宋"/>
          <w:color w:val="auto"/>
          <w:sz w:val="24"/>
          <w:szCs w:val="24"/>
          <w:highlight w:val="none"/>
          <w:u w:val="single"/>
        </w:rPr>
        <w:t xml:space="preserve">   （姓名） </w:t>
      </w:r>
      <w:r>
        <w:rPr>
          <w:rStyle w:val="46"/>
          <w:color w:val="auto"/>
          <w:sz w:val="24"/>
          <w:szCs w:val="24"/>
          <w:highlight w:val="none"/>
        </w:rPr>
        <w:t>系</w:t>
      </w:r>
      <w:r>
        <w:rPr>
          <w:rFonts w:hint="eastAsia" w:ascii="仿宋" w:hAnsi="仿宋" w:eastAsia="仿宋" w:cs="仿宋"/>
          <w:color w:val="auto"/>
          <w:sz w:val="24"/>
          <w:szCs w:val="24"/>
          <w:highlight w:val="none"/>
          <w:u w:val="single"/>
        </w:rPr>
        <w:t xml:space="preserve">    （供应商名称）</w:t>
      </w:r>
      <w:r>
        <w:rPr>
          <w:rStyle w:val="46"/>
          <w:color w:val="auto"/>
          <w:sz w:val="24"/>
          <w:szCs w:val="24"/>
          <w:highlight w:val="none"/>
        </w:rPr>
        <w:t>法定代表人，现授权委托我公司的</w:t>
      </w:r>
      <w:r>
        <w:rPr>
          <w:rFonts w:hint="eastAsia" w:ascii="仿宋" w:hAnsi="仿宋" w:eastAsia="仿宋" w:cs="仿宋"/>
          <w:color w:val="auto"/>
          <w:sz w:val="24"/>
          <w:szCs w:val="24"/>
          <w:highlight w:val="none"/>
          <w:u w:val="single"/>
        </w:rPr>
        <w:t xml:space="preserve">  （姓名、职务或者职称）</w:t>
      </w:r>
      <w:r>
        <w:rPr>
          <w:rStyle w:val="46"/>
          <w:color w:val="auto"/>
          <w:sz w:val="24"/>
          <w:szCs w:val="24"/>
          <w:highlight w:val="none"/>
        </w:rPr>
        <w:t>为我公司本次</w:t>
      </w:r>
      <w:r>
        <w:rPr>
          <w:rFonts w:hint="eastAsia" w:ascii="仿宋" w:hAnsi="仿宋" w:eastAsia="仿宋" w:cs="仿宋"/>
          <w:color w:val="auto"/>
          <w:sz w:val="24"/>
          <w:szCs w:val="24"/>
          <w:highlight w:val="none"/>
          <w:u w:val="single"/>
        </w:rPr>
        <w:t xml:space="preserve">             </w:t>
      </w:r>
      <w:r>
        <w:rPr>
          <w:rStyle w:val="46"/>
          <w:color w:val="auto"/>
          <w:sz w:val="24"/>
          <w:szCs w:val="24"/>
          <w:highlight w:val="none"/>
        </w:rPr>
        <w:t>项目的授权代表，代表我方办理本次报价、签约等相关事宜，签署全部有关的文件、协议、合同并具有法律效力。</w:t>
      </w:r>
    </w:p>
    <w:p w14:paraId="461B39D0">
      <w:pPr>
        <w:widowControl/>
        <w:autoSpaceDE w:val="0"/>
        <w:autoSpaceDN w:val="0"/>
        <w:adjustRightInd w:val="0"/>
        <w:spacing w:line="360" w:lineRule="auto"/>
        <w:ind w:firstLine="480"/>
        <w:rPr>
          <w:rStyle w:val="46"/>
          <w:rFonts w:hint="eastAsia"/>
          <w:color w:val="auto"/>
          <w:sz w:val="24"/>
          <w:szCs w:val="24"/>
          <w:highlight w:val="none"/>
        </w:rPr>
      </w:pPr>
      <w:r>
        <w:rPr>
          <w:rStyle w:val="46"/>
          <w:color w:val="auto"/>
          <w:sz w:val="24"/>
          <w:szCs w:val="24"/>
          <w:highlight w:val="none"/>
        </w:rPr>
        <w:t>在我方未发出撤销授权委托书的书面通知以前，本授权委托书一直有效。被授权人签署的所有文件（在授权书有效期内签署的）不因授权撤销而失效。</w:t>
      </w:r>
    </w:p>
    <w:p w14:paraId="5C88732F">
      <w:pPr>
        <w:widowControl/>
        <w:autoSpaceDE w:val="0"/>
        <w:autoSpaceDN w:val="0"/>
        <w:adjustRightInd w:val="0"/>
        <w:spacing w:line="360" w:lineRule="auto"/>
        <w:ind w:firstLine="480"/>
        <w:rPr>
          <w:rStyle w:val="46"/>
          <w:color w:val="auto"/>
          <w:sz w:val="24"/>
          <w:szCs w:val="24"/>
          <w:highlight w:val="none"/>
        </w:rPr>
      </w:pPr>
      <w:r>
        <w:rPr>
          <w:rStyle w:val="46"/>
          <w:color w:val="auto"/>
          <w:sz w:val="24"/>
          <w:szCs w:val="24"/>
          <w:highlight w:val="none"/>
        </w:rPr>
        <w:t>被授权代表无权转让委托权。特此授权。</w:t>
      </w:r>
    </w:p>
    <w:p w14:paraId="64F0C2C4">
      <w:pPr>
        <w:widowControl/>
        <w:autoSpaceDE w:val="0"/>
        <w:autoSpaceDN w:val="0"/>
        <w:adjustRightInd w:val="0"/>
        <w:spacing w:line="360" w:lineRule="auto"/>
        <w:ind w:firstLine="480"/>
        <w:rPr>
          <w:color w:val="auto"/>
          <w:highlight w:val="none"/>
        </w:rPr>
      </w:pPr>
      <w:r>
        <w:rPr>
          <w:rStyle w:val="46"/>
          <w:color w:val="auto"/>
          <w:sz w:val="24"/>
          <w:szCs w:val="24"/>
          <w:highlight w:val="none"/>
        </w:rPr>
        <w:t>本授权委托书于</w:t>
      </w:r>
      <w:r>
        <w:rPr>
          <w:rFonts w:hint="eastAsia" w:ascii="仿宋" w:hAnsi="仿宋" w:eastAsia="仿宋" w:cs="仿宋"/>
          <w:color w:val="auto"/>
          <w:sz w:val="24"/>
          <w:szCs w:val="24"/>
          <w:highlight w:val="none"/>
          <w:u w:val="single"/>
        </w:rPr>
        <w:t xml:space="preserve">        </w:t>
      </w:r>
      <w:r>
        <w:rPr>
          <w:rStyle w:val="46"/>
          <w:color w:val="auto"/>
          <w:sz w:val="24"/>
          <w:szCs w:val="24"/>
          <w:highlight w:val="none"/>
        </w:rPr>
        <w:t>年</w:t>
      </w:r>
      <w:r>
        <w:rPr>
          <w:rFonts w:hint="eastAsia" w:ascii="仿宋" w:hAnsi="仿宋" w:eastAsia="仿宋" w:cs="仿宋"/>
          <w:color w:val="auto"/>
          <w:sz w:val="24"/>
          <w:szCs w:val="24"/>
          <w:highlight w:val="none"/>
          <w:u w:val="single"/>
        </w:rPr>
        <w:t xml:space="preserve">        </w:t>
      </w:r>
      <w:r>
        <w:rPr>
          <w:rStyle w:val="46"/>
          <w:color w:val="auto"/>
          <w:sz w:val="24"/>
          <w:szCs w:val="24"/>
          <w:highlight w:val="none"/>
        </w:rPr>
        <w:t>月</w:t>
      </w:r>
      <w:r>
        <w:rPr>
          <w:rFonts w:hint="eastAsia" w:ascii="仿宋" w:hAnsi="仿宋" w:eastAsia="仿宋" w:cs="仿宋"/>
          <w:color w:val="auto"/>
          <w:sz w:val="24"/>
          <w:szCs w:val="24"/>
          <w:highlight w:val="none"/>
          <w:u w:val="single"/>
        </w:rPr>
        <w:t xml:space="preserve">        </w:t>
      </w:r>
      <w:r>
        <w:rPr>
          <w:rStyle w:val="46"/>
          <w:color w:val="auto"/>
          <w:sz w:val="24"/>
          <w:szCs w:val="24"/>
          <w:highlight w:val="none"/>
        </w:rPr>
        <w:t>日生效,特此声明。</w:t>
      </w:r>
    </w:p>
    <w:p w14:paraId="28CD71C2">
      <w:pPr>
        <w:widowControl/>
        <w:autoSpaceDE w:val="0"/>
        <w:autoSpaceDN w:val="0"/>
        <w:adjustRightInd w:val="0"/>
        <w:spacing w:line="360" w:lineRule="auto"/>
        <w:ind w:right="-481"/>
        <w:jc w:val="left"/>
        <w:rPr>
          <w:rFonts w:hint="eastAsia" w:ascii="仿宋" w:hAnsi="仿宋" w:eastAsia="仿宋" w:cs="仿宋"/>
          <w:b/>
          <w:bCs/>
          <w:color w:val="auto"/>
          <w:sz w:val="24"/>
          <w:szCs w:val="24"/>
          <w:highlight w:val="none"/>
        </w:rPr>
      </w:pPr>
    </w:p>
    <w:p w14:paraId="21B01C9D">
      <w:pPr>
        <w:widowControl/>
        <w:autoSpaceDE w:val="0"/>
        <w:autoSpaceDN w:val="0"/>
        <w:adjustRightInd w:val="0"/>
        <w:spacing w:line="360" w:lineRule="auto"/>
        <w:ind w:right="-481"/>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(附法人代表身份证</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被授权代表身份证</w:t>
      </w:r>
      <w:r>
        <w:rPr>
          <w:rFonts w:hint="eastAsia" w:ascii="仿宋" w:hAnsi="仿宋" w:eastAsia="仿宋" w:cs="仿宋"/>
          <w:b/>
          <w:bCs/>
          <w:color w:val="auto"/>
          <w:sz w:val="24"/>
          <w:szCs w:val="24"/>
          <w:highlight w:val="none"/>
          <w:lang w:val="en-US" w:eastAsia="zh-CN"/>
        </w:rPr>
        <w:t>以及被授权代表在本单位缴纳社保的证明材料</w:t>
      </w:r>
      <w:r>
        <w:rPr>
          <w:rFonts w:hint="eastAsia" w:ascii="仿宋" w:hAnsi="仿宋" w:eastAsia="仿宋" w:cs="仿宋"/>
          <w:b/>
          <w:bCs/>
          <w:color w:val="auto"/>
          <w:sz w:val="24"/>
          <w:szCs w:val="24"/>
          <w:highlight w:val="none"/>
        </w:rPr>
        <w:t>复印件)</w:t>
      </w:r>
    </w:p>
    <w:p w14:paraId="0C6A7111">
      <w:pPr>
        <w:widowControl/>
        <w:autoSpaceDE w:val="0"/>
        <w:autoSpaceDN w:val="0"/>
        <w:adjustRightInd w:val="0"/>
        <w:spacing w:line="360" w:lineRule="auto"/>
        <w:ind w:right="-481"/>
        <w:jc w:val="left"/>
        <w:rPr>
          <w:rFonts w:hint="eastAsia" w:ascii="仿宋" w:hAnsi="仿宋" w:eastAsia="仿宋" w:cs="仿宋"/>
          <w:b/>
          <w:bCs/>
          <w:color w:val="auto"/>
          <w:sz w:val="24"/>
          <w:szCs w:val="24"/>
          <w:highlight w:val="none"/>
        </w:rPr>
      </w:pPr>
    </w:p>
    <w:p w14:paraId="11B55771">
      <w:pPr>
        <w:widowControl/>
        <w:autoSpaceDE w:val="0"/>
        <w:autoSpaceDN w:val="0"/>
        <w:adjustRightInd w:val="0"/>
        <w:spacing w:line="360" w:lineRule="auto"/>
        <w:ind w:right="-481"/>
        <w:jc w:val="center"/>
        <w:rPr>
          <w:rFonts w:hint="eastAsia" w:ascii="仿宋" w:hAnsi="仿宋" w:eastAsia="仿宋"/>
          <w:color w:val="auto"/>
          <w:sz w:val="24"/>
          <w:szCs w:val="24"/>
          <w:highlight w:val="none"/>
        </w:rPr>
      </w:pPr>
    </w:p>
    <w:p w14:paraId="564D97AD">
      <w:pPr>
        <w:widowControl/>
        <w:autoSpaceDE w:val="0"/>
        <w:autoSpaceDN w:val="0"/>
        <w:adjustRightInd w:val="0"/>
        <w:spacing w:line="360" w:lineRule="auto"/>
        <w:ind w:right="-481"/>
        <w:rPr>
          <w:rStyle w:val="46"/>
          <w:rFonts w:hint="eastAsia"/>
          <w:color w:val="auto"/>
          <w:sz w:val="24"/>
          <w:szCs w:val="24"/>
          <w:highlight w:val="none"/>
        </w:rPr>
      </w:pPr>
      <w:r>
        <w:rPr>
          <w:rStyle w:val="46"/>
          <w:color w:val="auto"/>
          <w:sz w:val="24"/>
          <w:szCs w:val="24"/>
          <w:highlight w:val="none"/>
        </w:rPr>
        <w:t>被授权代表姓名：             性 别：              年 龄：</w:t>
      </w:r>
    </w:p>
    <w:p w14:paraId="506D0ADD">
      <w:pPr>
        <w:widowControl/>
        <w:autoSpaceDE w:val="0"/>
        <w:autoSpaceDN w:val="0"/>
        <w:adjustRightInd w:val="0"/>
        <w:spacing w:line="360" w:lineRule="auto"/>
        <w:ind w:right="-481"/>
        <w:rPr>
          <w:rStyle w:val="46"/>
          <w:color w:val="auto"/>
          <w:sz w:val="24"/>
          <w:szCs w:val="24"/>
          <w:highlight w:val="none"/>
        </w:rPr>
      </w:pPr>
      <w:r>
        <w:rPr>
          <w:rStyle w:val="46"/>
          <w:color w:val="auto"/>
          <w:sz w:val="24"/>
          <w:szCs w:val="24"/>
          <w:highlight w:val="none"/>
        </w:rPr>
        <w:t>单  位：                     部 门：              职 务：</w:t>
      </w:r>
    </w:p>
    <w:p w14:paraId="1EFA027B">
      <w:pPr>
        <w:widowControl/>
        <w:autoSpaceDE w:val="0"/>
        <w:autoSpaceDN w:val="0"/>
        <w:adjustRightInd w:val="0"/>
        <w:spacing w:line="360" w:lineRule="auto"/>
        <w:ind w:right="-481" w:firstLine="4320"/>
        <w:rPr>
          <w:rStyle w:val="46"/>
          <w:rFonts w:hint="eastAsia"/>
          <w:color w:val="auto"/>
          <w:sz w:val="24"/>
          <w:szCs w:val="24"/>
          <w:highlight w:val="none"/>
        </w:rPr>
      </w:pPr>
      <w:r>
        <w:rPr>
          <w:rStyle w:val="46"/>
          <w:rFonts w:hint="eastAsia" w:eastAsia="仿宋"/>
          <w:color w:val="auto"/>
          <w:sz w:val="24"/>
          <w:szCs w:val="24"/>
          <w:highlight w:val="none"/>
          <w:lang w:val="en-US" w:eastAsia="zh-CN"/>
        </w:rPr>
        <w:t>投标人</w:t>
      </w:r>
      <w:r>
        <w:rPr>
          <w:rStyle w:val="46"/>
          <w:color w:val="auto"/>
          <w:sz w:val="24"/>
          <w:szCs w:val="24"/>
          <w:highlight w:val="none"/>
        </w:rPr>
        <w:t>（公章）：</w:t>
      </w:r>
    </w:p>
    <w:p w14:paraId="74C49A7F">
      <w:pPr>
        <w:widowControl/>
        <w:autoSpaceDE w:val="0"/>
        <w:autoSpaceDN w:val="0"/>
        <w:adjustRightInd w:val="0"/>
        <w:spacing w:line="360" w:lineRule="auto"/>
        <w:ind w:right="-481" w:firstLine="4320"/>
        <w:rPr>
          <w:rStyle w:val="46"/>
          <w:color w:val="auto"/>
          <w:sz w:val="24"/>
          <w:szCs w:val="24"/>
          <w:highlight w:val="none"/>
        </w:rPr>
      </w:pPr>
      <w:r>
        <w:rPr>
          <w:rStyle w:val="46"/>
          <w:color w:val="auto"/>
          <w:sz w:val="24"/>
          <w:szCs w:val="24"/>
          <w:highlight w:val="none"/>
        </w:rPr>
        <w:t>法定代表人（</w:t>
      </w:r>
      <w:r>
        <w:rPr>
          <w:rStyle w:val="46"/>
          <w:rFonts w:hint="eastAsia"/>
          <w:color w:val="auto"/>
          <w:sz w:val="24"/>
          <w:szCs w:val="24"/>
          <w:highlight w:val="none"/>
        </w:rPr>
        <w:t>签字或盖章</w:t>
      </w:r>
      <w:r>
        <w:rPr>
          <w:rStyle w:val="46"/>
          <w:color w:val="auto"/>
          <w:sz w:val="24"/>
          <w:szCs w:val="24"/>
          <w:highlight w:val="none"/>
        </w:rPr>
        <w:t>）：</w:t>
      </w:r>
    </w:p>
    <w:p w14:paraId="12893B70">
      <w:pPr>
        <w:widowControl/>
        <w:autoSpaceDE w:val="0"/>
        <w:autoSpaceDN w:val="0"/>
        <w:adjustRightInd w:val="0"/>
        <w:spacing w:line="360" w:lineRule="auto"/>
        <w:ind w:right="-481" w:firstLine="5400"/>
        <w:rPr>
          <w:rStyle w:val="46"/>
          <w:color w:val="auto"/>
          <w:sz w:val="24"/>
          <w:szCs w:val="24"/>
          <w:highlight w:val="none"/>
        </w:rPr>
      </w:pPr>
      <w:r>
        <w:rPr>
          <w:rStyle w:val="46"/>
          <w:color w:val="auto"/>
          <w:sz w:val="24"/>
          <w:szCs w:val="24"/>
          <w:highlight w:val="none"/>
        </w:rPr>
        <w:t>日 期：      年   月   日</w:t>
      </w:r>
    </w:p>
    <w:p w14:paraId="114A90AF">
      <w:pPr>
        <w:spacing w:line="360" w:lineRule="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w:t>
      </w:r>
    </w:p>
    <w:p w14:paraId="6D8C8EC3">
      <w:pPr>
        <w:spacing w:line="360" w:lineRule="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kern w:val="1"/>
          <w:sz w:val="24"/>
          <w:szCs w:val="24"/>
          <w:highlight w:val="none"/>
          <w:lang w:val="en-US" w:eastAsia="zh-CN"/>
        </w:rPr>
        <w:t>1.社保证明材料须提供自开标之日起前三个月内任意一月的社保证明，社保证明须体现授权委托人姓名、缴纳单位名称、缴纳月份等信息。若社保为第三方代缴还须提供投标人与第三方签订的代缴社保合同或协议复印件加盖投标人公章。</w:t>
      </w:r>
    </w:p>
    <w:p w14:paraId="75E0524E">
      <w:pPr>
        <w:spacing w:line="360" w:lineRule="auto"/>
        <w:rPr>
          <w:rFonts w:hint="eastAsia" w:eastAsia="宋体"/>
          <w:color w:val="auto"/>
          <w:highlight w:val="none"/>
          <w:lang w:val="en-US" w:eastAsia="zh-CN"/>
        </w:rPr>
      </w:pPr>
      <w:r>
        <w:rPr>
          <w:rFonts w:hint="eastAsia" w:ascii="仿宋" w:hAnsi="仿宋" w:eastAsia="仿宋" w:cs="仿宋"/>
          <w:b/>
          <w:bCs/>
          <w:color w:val="auto"/>
          <w:sz w:val="24"/>
          <w:szCs w:val="24"/>
          <w:highlight w:val="none"/>
          <w:lang w:val="en-US" w:eastAsia="zh-CN"/>
        </w:rPr>
        <w:t>★2.未按要求提供法人代表身份证、被授权代表身份证复印件以及被授权代表</w:t>
      </w:r>
      <w:r>
        <w:rPr>
          <w:rFonts w:hint="eastAsia" w:ascii="仿宋" w:hAnsi="仿宋" w:eastAsia="仿宋" w:cs="仿宋"/>
          <w:b/>
          <w:bCs/>
          <w:color w:val="auto"/>
          <w:kern w:val="1"/>
          <w:sz w:val="24"/>
          <w:szCs w:val="24"/>
          <w:highlight w:val="none"/>
          <w:lang w:val="en-US" w:eastAsia="zh-CN"/>
        </w:rPr>
        <w:t>自开启之日起前三个月内任意一月的社保证明</w:t>
      </w:r>
      <w:r>
        <w:rPr>
          <w:rFonts w:hint="eastAsia" w:ascii="仿宋" w:hAnsi="仿宋" w:eastAsia="仿宋" w:cs="仿宋"/>
          <w:b/>
          <w:bCs/>
          <w:color w:val="auto"/>
          <w:sz w:val="24"/>
          <w:szCs w:val="24"/>
          <w:highlight w:val="none"/>
          <w:lang w:val="en-US" w:eastAsia="zh-CN"/>
        </w:rPr>
        <w:t>，投标无效。</w:t>
      </w:r>
    </w:p>
    <w:p w14:paraId="34C79391">
      <w:pPr>
        <w:widowControl/>
        <w:autoSpaceDE w:val="0"/>
        <w:autoSpaceDN w:val="0"/>
        <w:adjustRightInd w:val="0"/>
        <w:spacing w:line="480" w:lineRule="auto"/>
        <w:ind w:right="-481"/>
        <w:rPr>
          <w:rStyle w:val="46"/>
          <w:rFonts w:hint="eastAsia"/>
          <w:color w:val="auto"/>
          <w:sz w:val="24"/>
          <w:szCs w:val="24"/>
          <w:highlight w:val="none"/>
        </w:rPr>
      </w:pPr>
      <w:r>
        <w:rPr>
          <w:rFonts w:ascii="仿宋" w:hAnsi="仿宋" w:eastAsia="仿宋" w:cs="仿宋"/>
          <w:color w:val="auto"/>
          <w:szCs w:val="21"/>
          <w:highlight w:val="none"/>
        </w:rPr>
        <w:br w:type="page"/>
      </w:r>
      <w:r>
        <w:rPr>
          <w:rStyle w:val="46"/>
          <w:rFonts w:hint="eastAsia"/>
          <w:color w:val="auto"/>
          <w:sz w:val="24"/>
          <w:szCs w:val="24"/>
          <w:highlight w:val="none"/>
        </w:rPr>
        <w:t xml:space="preserve">附件5：                          </w:t>
      </w:r>
    </w:p>
    <w:p w14:paraId="247BBEB3">
      <w:pPr>
        <w:widowControl/>
        <w:autoSpaceDE w:val="0"/>
        <w:autoSpaceDN w:val="0"/>
        <w:adjustRightInd w:val="0"/>
        <w:spacing w:line="480" w:lineRule="auto"/>
        <w:ind w:right="-481"/>
        <w:jc w:val="center"/>
        <w:rPr>
          <w:rFonts w:ascii="仿宋" w:hAnsi="仿宋" w:eastAsia="仿宋"/>
          <w:color w:val="auto"/>
          <w:sz w:val="28"/>
          <w:szCs w:val="28"/>
          <w:highlight w:val="none"/>
          <w:lang w:val="zh-CN"/>
        </w:rPr>
      </w:pPr>
      <w:r>
        <w:rPr>
          <w:rFonts w:hint="eastAsia" w:ascii="仿宋" w:hAnsi="仿宋" w:eastAsia="仿宋" w:cs="仿宋"/>
          <w:color w:val="auto"/>
          <w:kern w:val="1"/>
          <w:sz w:val="28"/>
          <w:szCs w:val="28"/>
          <w:highlight w:val="none"/>
        </w:rPr>
        <w:t>报价</w:t>
      </w:r>
      <w:r>
        <w:rPr>
          <w:rFonts w:hint="eastAsia" w:ascii="仿宋" w:hAnsi="仿宋" w:eastAsia="仿宋" w:cs="宋体"/>
          <w:color w:val="auto"/>
          <w:sz w:val="28"/>
          <w:szCs w:val="28"/>
          <w:highlight w:val="none"/>
          <w:lang w:val="zh-CN"/>
        </w:rPr>
        <w:t>一览表</w:t>
      </w:r>
    </w:p>
    <w:p w14:paraId="49E377DF">
      <w:pPr>
        <w:pStyle w:val="64"/>
        <w:rPr>
          <w:color w:val="auto"/>
          <w:szCs w:val="24"/>
          <w:highlight w:val="none"/>
        </w:rPr>
      </w:pPr>
    </w:p>
    <w:p w14:paraId="186B415D">
      <w:pPr>
        <w:autoSpaceDE w:val="0"/>
        <w:autoSpaceDN w:val="0"/>
        <w:adjustRightInd w:val="0"/>
        <w:spacing w:line="360" w:lineRule="auto"/>
        <w:rPr>
          <w:rFonts w:ascii="仿宋" w:hAnsi="仿宋" w:eastAsia="仿宋"/>
          <w:b/>
          <w:bCs/>
          <w:color w:val="auto"/>
          <w:sz w:val="24"/>
          <w:szCs w:val="24"/>
          <w:highlight w:val="none"/>
          <w:lang w:val="zh-CN"/>
        </w:rPr>
      </w:pPr>
      <w:r>
        <w:rPr>
          <w:rFonts w:hint="eastAsia" w:ascii="仿宋" w:hAnsi="仿宋" w:eastAsia="仿宋" w:cs="仿宋"/>
          <w:color w:val="auto"/>
          <w:sz w:val="24"/>
          <w:szCs w:val="24"/>
          <w:highlight w:val="none"/>
          <w:lang w:val="zh-CN"/>
        </w:rPr>
        <w:t>投标包：第</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包</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包名称：</w:t>
      </w:r>
      <w:r>
        <w:rPr>
          <w:rFonts w:ascii="仿宋" w:hAnsi="仿宋" w:eastAsia="仿宋" w:cs="仿宋"/>
          <w:color w:val="auto"/>
          <w:sz w:val="24"/>
          <w:szCs w:val="24"/>
          <w:highlight w:val="none"/>
          <w:u w:val="single"/>
          <w:lang w:val="zh-CN"/>
        </w:rPr>
        <w:t xml:space="preserve">           </w:t>
      </w:r>
      <w:r>
        <w:rPr>
          <w:rFonts w:ascii="仿宋" w:hAnsi="仿宋" w:eastAsia="仿宋" w:cs="仿宋"/>
          <w:color w:val="auto"/>
          <w:sz w:val="24"/>
          <w:szCs w:val="24"/>
          <w:highlight w:val="none"/>
          <w:lang w:val="zh-CN"/>
        </w:rPr>
        <w:t xml:space="preserve"> </w:t>
      </w:r>
    </w:p>
    <w:tbl>
      <w:tblPr>
        <w:tblStyle w:val="23"/>
        <w:tblW w:w="0" w:type="auto"/>
        <w:tblInd w:w="93" w:type="dxa"/>
        <w:tblLayout w:type="fixed"/>
        <w:tblCellMar>
          <w:top w:w="0" w:type="dxa"/>
          <w:left w:w="108" w:type="dxa"/>
          <w:bottom w:w="0" w:type="dxa"/>
          <w:right w:w="108" w:type="dxa"/>
        </w:tblCellMar>
      </w:tblPr>
      <w:tblGrid>
        <w:gridCol w:w="1080"/>
        <w:gridCol w:w="2621"/>
        <w:gridCol w:w="5314"/>
      </w:tblGrid>
      <w:tr w14:paraId="4E6088B3">
        <w:tblPrEx>
          <w:tblCellMar>
            <w:top w:w="0" w:type="dxa"/>
            <w:left w:w="108" w:type="dxa"/>
            <w:bottom w:w="0" w:type="dxa"/>
            <w:right w:w="108" w:type="dxa"/>
          </w:tblCellMar>
        </w:tblPrEx>
        <w:trPr>
          <w:trHeight w:val="936" w:hRule="atLeast"/>
        </w:trPr>
        <w:tc>
          <w:tcPr>
            <w:tcW w:w="1080" w:type="dxa"/>
            <w:tcBorders>
              <w:top w:val="single" w:color="auto" w:sz="8" w:space="0"/>
              <w:left w:val="single" w:color="auto" w:sz="8" w:space="0"/>
              <w:bottom w:val="single" w:color="auto" w:sz="8" w:space="0"/>
              <w:right w:val="single" w:color="auto" w:sz="8" w:space="0"/>
            </w:tcBorders>
            <w:noWrap w:val="0"/>
            <w:vAlign w:val="center"/>
          </w:tcPr>
          <w:p w14:paraId="10027F3E">
            <w:pPr>
              <w:autoSpaceDE w:val="0"/>
              <w:autoSpaceDN w:val="0"/>
              <w:adjustRightInd w:val="0"/>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序号</w:t>
            </w:r>
          </w:p>
        </w:tc>
        <w:tc>
          <w:tcPr>
            <w:tcW w:w="2621" w:type="dxa"/>
            <w:tcBorders>
              <w:top w:val="single" w:color="auto" w:sz="8" w:space="0"/>
              <w:left w:val="nil"/>
              <w:bottom w:val="single" w:color="auto" w:sz="8" w:space="0"/>
              <w:right w:val="single" w:color="auto" w:sz="8" w:space="0"/>
            </w:tcBorders>
            <w:noWrap w:val="0"/>
            <w:vAlign w:val="center"/>
          </w:tcPr>
          <w:p w14:paraId="6DAD0A4D">
            <w:pPr>
              <w:autoSpaceDE w:val="0"/>
              <w:autoSpaceDN w:val="0"/>
              <w:adjustRightInd w:val="0"/>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费用名称</w:t>
            </w:r>
          </w:p>
        </w:tc>
        <w:tc>
          <w:tcPr>
            <w:tcW w:w="5314" w:type="dxa"/>
            <w:tcBorders>
              <w:top w:val="single" w:color="auto" w:sz="8" w:space="0"/>
              <w:left w:val="nil"/>
              <w:bottom w:val="single" w:color="auto" w:sz="8" w:space="0"/>
              <w:right w:val="single" w:color="auto" w:sz="8" w:space="0"/>
            </w:tcBorders>
            <w:noWrap w:val="0"/>
            <w:vAlign w:val="center"/>
          </w:tcPr>
          <w:p w14:paraId="4812A9DC">
            <w:pPr>
              <w:autoSpaceDE w:val="0"/>
              <w:autoSpaceDN w:val="0"/>
              <w:adjustRightInd w:val="0"/>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含税总报价（元）</w:t>
            </w:r>
          </w:p>
        </w:tc>
      </w:tr>
      <w:tr w14:paraId="09D270DC">
        <w:tblPrEx>
          <w:tblCellMar>
            <w:top w:w="0" w:type="dxa"/>
            <w:left w:w="108" w:type="dxa"/>
            <w:bottom w:w="0" w:type="dxa"/>
            <w:right w:w="108" w:type="dxa"/>
          </w:tblCellMar>
        </w:tblPrEx>
        <w:trPr>
          <w:trHeight w:val="680" w:hRule="atLeast"/>
        </w:trPr>
        <w:tc>
          <w:tcPr>
            <w:tcW w:w="1080" w:type="dxa"/>
            <w:tcBorders>
              <w:top w:val="single" w:color="auto" w:sz="8" w:space="0"/>
              <w:left w:val="single" w:color="auto" w:sz="8" w:space="0"/>
              <w:bottom w:val="single" w:color="auto" w:sz="8" w:space="0"/>
              <w:right w:val="single" w:color="auto" w:sz="8" w:space="0"/>
            </w:tcBorders>
            <w:noWrap w:val="0"/>
            <w:vAlign w:val="center"/>
          </w:tcPr>
          <w:p w14:paraId="69A5CFBD">
            <w:pPr>
              <w:autoSpaceDE w:val="0"/>
              <w:autoSpaceDN w:val="0"/>
              <w:adjustRightInd w:val="0"/>
              <w:spacing w:line="360" w:lineRule="auto"/>
              <w:jc w:val="center"/>
              <w:rPr>
                <w:rFonts w:ascii="仿宋" w:hAnsi="仿宋" w:eastAsia="仿宋" w:cs="仿宋"/>
                <w:color w:val="auto"/>
                <w:sz w:val="24"/>
                <w:szCs w:val="24"/>
                <w:highlight w:val="none"/>
              </w:rPr>
            </w:pPr>
            <w:r>
              <w:rPr>
                <w:rFonts w:ascii="仿宋" w:hAnsi="仿宋" w:eastAsia="仿宋" w:cs="仿宋"/>
                <w:color w:val="auto"/>
                <w:sz w:val="24"/>
                <w:szCs w:val="24"/>
                <w:highlight w:val="none"/>
              </w:rPr>
              <w:t>1</w:t>
            </w:r>
          </w:p>
        </w:tc>
        <w:tc>
          <w:tcPr>
            <w:tcW w:w="2621" w:type="dxa"/>
            <w:tcBorders>
              <w:top w:val="single" w:color="auto" w:sz="8" w:space="0"/>
              <w:left w:val="nil"/>
              <w:bottom w:val="single" w:color="auto" w:sz="8" w:space="0"/>
              <w:right w:val="single" w:color="auto" w:sz="8" w:space="0"/>
            </w:tcBorders>
            <w:noWrap w:val="0"/>
            <w:vAlign w:val="center"/>
          </w:tcPr>
          <w:p w14:paraId="21B8D232">
            <w:pPr>
              <w:autoSpaceDE w:val="0"/>
              <w:autoSpaceDN w:val="0"/>
              <w:adjustRightInd w:val="0"/>
              <w:spacing w:line="360" w:lineRule="auto"/>
              <w:jc w:val="center"/>
              <w:rPr>
                <w:rFonts w:ascii="仿宋" w:hAnsi="仿宋" w:eastAsia="仿宋"/>
                <w:color w:val="auto"/>
                <w:sz w:val="24"/>
                <w:szCs w:val="24"/>
                <w:highlight w:val="none"/>
              </w:rPr>
            </w:pPr>
          </w:p>
        </w:tc>
        <w:tc>
          <w:tcPr>
            <w:tcW w:w="5314" w:type="dxa"/>
            <w:tcBorders>
              <w:top w:val="single" w:color="auto" w:sz="8" w:space="0"/>
              <w:left w:val="nil"/>
              <w:bottom w:val="single" w:color="auto" w:sz="8" w:space="0"/>
              <w:right w:val="single" w:color="auto" w:sz="8" w:space="0"/>
            </w:tcBorders>
            <w:noWrap w:val="0"/>
            <w:vAlign w:val="top"/>
          </w:tcPr>
          <w:p w14:paraId="30CDE2CC">
            <w:pPr>
              <w:autoSpaceDE w:val="0"/>
              <w:autoSpaceDN w:val="0"/>
              <w:adjustRightInd w:val="0"/>
              <w:spacing w:line="360" w:lineRule="auto"/>
              <w:rPr>
                <w:rFonts w:ascii="仿宋" w:hAnsi="仿宋" w:eastAsia="仿宋"/>
                <w:color w:val="auto"/>
                <w:sz w:val="24"/>
                <w:szCs w:val="24"/>
                <w:highlight w:val="none"/>
              </w:rPr>
            </w:pPr>
          </w:p>
        </w:tc>
      </w:tr>
      <w:tr w14:paraId="4D0E1ED6">
        <w:tblPrEx>
          <w:tblCellMar>
            <w:top w:w="0" w:type="dxa"/>
            <w:left w:w="108" w:type="dxa"/>
            <w:bottom w:w="0" w:type="dxa"/>
            <w:right w:w="108" w:type="dxa"/>
          </w:tblCellMar>
        </w:tblPrEx>
        <w:trPr>
          <w:trHeight w:val="680" w:hRule="atLeast"/>
        </w:trPr>
        <w:tc>
          <w:tcPr>
            <w:tcW w:w="1080" w:type="dxa"/>
            <w:tcBorders>
              <w:top w:val="single" w:color="auto" w:sz="8" w:space="0"/>
              <w:left w:val="single" w:color="auto" w:sz="8" w:space="0"/>
              <w:bottom w:val="single" w:color="auto" w:sz="8" w:space="0"/>
              <w:right w:val="single" w:color="auto" w:sz="8" w:space="0"/>
            </w:tcBorders>
            <w:noWrap w:val="0"/>
            <w:vAlign w:val="center"/>
          </w:tcPr>
          <w:p w14:paraId="5D297EB0">
            <w:pPr>
              <w:autoSpaceDE w:val="0"/>
              <w:autoSpaceDN w:val="0"/>
              <w:adjustRightInd w:val="0"/>
              <w:spacing w:line="360" w:lineRule="auto"/>
              <w:jc w:val="center"/>
              <w:rPr>
                <w:rFonts w:ascii="仿宋" w:hAnsi="仿宋" w:eastAsia="仿宋" w:cs="仿宋"/>
                <w:color w:val="auto"/>
                <w:sz w:val="24"/>
                <w:szCs w:val="24"/>
                <w:highlight w:val="none"/>
              </w:rPr>
            </w:pPr>
            <w:r>
              <w:rPr>
                <w:rFonts w:ascii="仿宋" w:hAnsi="仿宋" w:eastAsia="仿宋" w:cs="仿宋"/>
                <w:color w:val="auto"/>
                <w:sz w:val="24"/>
                <w:szCs w:val="24"/>
                <w:highlight w:val="none"/>
              </w:rPr>
              <w:t>2</w:t>
            </w:r>
          </w:p>
        </w:tc>
        <w:tc>
          <w:tcPr>
            <w:tcW w:w="2621" w:type="dxa"/>
            <w:tcBorders>
              <w:top w:val="single" w:color="auto" w:sz="8" w:space="0"/>
              <w:left w:val="nil"/>
              <w:bottom w:val="single" w:color="auto" w:sz="8" w:space="0"/>
              <w:right w:val="single" w:color="auto" w:sz="8" w:space="0"/>
            </w:tcBorders>
            <w:noWrap w:val="0"/>
            <w:vAlign w:val="center"/>
          </w:tcPr>
          <w:p w14:paraId="26750861">
            <w:pPr>
              <w:autoSpaceDE w:val="0"/>
              <w:autoSpaceDN w:val="0"/>
              <w:adjustRightInd w:val="0"/>
              <w:spacing w:line="360" w:lineRule="auto"/>
              <w:jc w:val="center"/>
              <w:rPr>
                <w:rFonts w:ascii="仿宋" w:hAnsi="仿宋" w:eastAsia="仿宋"/>
                <w:color w:val="auto"/>
                <w:sz w:val="24"/>
                <w:szCs w:val="24"/>
                <w:highlight w:val="none"/>
              </w:rPr>
            </w:pPr>
          </w:p>
        </w:tc>
        <w:tc>
          <w:tcPr>
            <w:tcW w:w="5314" w:type="dxa"/>
            <w:tcBorders>
              <w:top w:val="single" w:color="auto" w:sz="8" w:space="0"/>
              <w:left w:val="nil"/>
              <w:bottom w:val="single" w:color="auto" w:sz="8" w:space="0"/>
              <w:right w:val="single" w:color="auto" w:sz="8" w:space="0"/>
            </w:tcBorders>
            <w:noWrap w:val="0"/>
            <w:vAlign w:val="top"/>
          </w:tcPr>
          <w:p w14:paraId="4D6A39A8">
            <w:pPr>
              <w:autoSpaceDE w:val="0"/>
              <w:autoSpaceDN w:val="0"/>
              <w:adjustRightInd w:val="0"/>
              <w:spacing w:line="360" w:lineRule="auto"/>
              <w:rPr>
                <w:rFonts w:ascii="仿宋" w:hAnsi="仿宋" w:eastAsia="仿宋"/>
                <w:color w:val="auto"/>
                <w:sz w:val="24"/>
                <w:szCs w:val="24"/>
                <w:highlight w:val="none"/>
              </w:rPr>
            </w:pPr>
          </w:p>
        </w:tc>
      </w:tr>
      <w:tr w14:paraId="1B61645D">
        <w:tblPrEx>
          <w:tblCellMar>
            <w:top w:w="0" w:type="dxa"/>
            <w:left w:w="108" w:type="dxa"/>
            <w:bottom w:w="0" w:type="dxa"/>
            <w:right w:w="108" w:type="dxa"/>
          </w:tblCellMar>
        </w:tblPrEx>
        <w:trPr>
          <w:trHeight w:val="680" w:hRule="atLeast"/>
        </w:trPr>
        <w:tc>
          <w:tcPr>
            <w:tcW w:w="1080" w:type="dxa"/>
            <w:tcBorders>
              <w:top w:val="single" w:color="auto" w:sz="8" w:space="0"/>
              <w:left w:val="single" w:color="auto" w:sz="8" w:space="0"/>
              <w:bottom w:val="single" w:color="auto" w:sz="8" w:space="0"/>
              <w:right w:val="single" w:color="auto" w:sz="8" w:space="0"/>
            </w:tcBorders>
            <w:noWrap w:val="0"/>
            <w:vAlign w:val="center"/>
          </w:tcPr>
          <w:p w14:paraId="5F79898B">
            <w:pPr>
              <w:autoSpaceDE w:val="0"/>
              <w:autoSpaceDN w:val="0"/>
              <w:adjustRightIn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2621" w:type="dxa"/>
            <w:tcBorders>
              <w:top w:val="single" w:color="auto" w:sz="8" w:space="0"/>
              <w:left w:val="nil"/>
              <w:bottom w:val="single" w:color="auto" w:sz="8" w:space="0"/>
              <w:right w:val="single" w:color="auto" w:sz="8" w:space="0"/>
            </w:tcBorders>
            <w:noWrap w:val="0"/>
            <w:vAlign w:val="center"/>
          </w:tcPr>
          <w:p w14:paraId="76FEAB0F">
            <w:pPr>
              <w:autoSpaceDE w:val="0"/>
              <w:autoSpaceDN w:val="0"/>
              <w:adjustRightInd w:val="0"/>
              <w:spacing w:line="360" w:lineRule="auto"/>
              <w:jc w:val="center"/>
              <w:rPr>
                <w:rFonts w:ascii="仿宋" w:hAnsi="仿宋" w:eastAsia="仿宋" w:cs="仿宋"/>
                <w:color w:val="auto"/>
                <w:sz w:val="24"/>
                <w:szCs w:val="24"/>
                <w:highlight w:val="none"/>
                <w:lang w:val="zh-CN"/>
              </w:rPr>
            </w:pPr>
          </w:p>
        </w:tc>
        <w:tc>
          <w:tcPr>
            <w:tcW w:w="5314" w:type="dxa"/>
            <w:tcBorders>
              <w:top w:val="single" w:color="auto" w:sz="8" w:space="0"/>
              <w:left w:val="nil"/>
              <w:bottom w:val="single" w:color="auto" w:sz="8" w:space="0"/>
              <w:right w:val="single" w:color="auto" w:sz="8" w:space="0"/>
            </w:tcBorders>
            <w:noWrap w:val="0"/>
            <w:vAlign w:val="top"/>
          </w:tcPr>
          <w:p w14:paraId="3D41A6DC">
            <w:pPr>
              <w:autoSpaceDE w:val="0"/>
              <w:autoSpaceDN w:val="0"/>
              <w:adjustRightInd w:val="0"/>
              <w:spacing w:line="360" w:lineRule="auto"/>
              <w:rPr>
                <w:rFonts w:ascii="仿宋" w:hAnsi="仿宋" w:eastAsia="仿宋"/>
                <w:color w:val="auto"/>
                <w:sz w:val="24"/>
                <w:szCs w:val="24"/>
                <w:highlight w:val="none"/>
              </w:rPr>
            </w:pPr>
          </w:p>
        </w:tc>
      </w:tr>
      <w:tr w14:paraId="0FE3FC3B">
        <w:tblPrEx>
          <w:tblCellMar>
            <w:top w:w="0" w:type="dxa"/>
            <w:left w:w="108" w:type="dxa"/>
            <w:bottom w:w="0" w:type="dxa"/>
            <w:right w:w="108" w:type="dxa"/>
          </w:tblCellMar>
        </w:tblPrEx>
        <w:trPr>
          <w:trHeight w:val="680" w:hRule="atLeast"/>
        </w:trPr>
        <w:tc>
          <w:tcPr>
            <w:tcW w:w="1080" w:type="dxa"/>
            <w:tcBorders>
              <w:top w:val="single" w:color="auto" w:sz="8" w:space="0"/>
              <w:left w:val="single" w:color="auto" w:sz="8" w:space="0"/>
              <w:bottom w:val="single" w:color="auto" w:sz="8" w:space="0"/>
              <w:right w:val="single" w:color="auto" w:sz="8" w:space="0"/>
            </w:tcBorders>
            <w:noWrap w:val="0"/>
            <w:vAlign w:val="center"/>
          </w:tcPr>
          <w:p w14:paraId="14FDA20C">
            <w:pPr>
              <w:autoSpaceDE w:val="0"/>
              <w:autoSpaceDN w:val="0"/>
              <w:adjustRightIn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2621" w:type="dxa"/>
            <w:tcBorders>
              <w:top w:val="single" w:color="auto" w:sz="8" w:space="0"/>
              <w:left w:val="nil"/>
              <w:bottom w:val="single" w:color="auto" w:sz="8" w:space="0"/>
              <w:right w:val="single" w:color="auto" w:sz="8" w:space="0"/>
            </w:tcBorders>
            <w:noWrap w:val="0"/>
            <w:vAlign w:val="center"/>
          </w:tcPr>
          <w:p w14:paraId="61C44850">
            <w:pPr>
              <w:autoSpaceDE w:val="0"/>
              <w:autoSpaceDN w:val="0"/>
              <w:adjustRightInd w:val="0"/>
              <w:spacing w:line="360" w:lineRule="auto"/>
              <w:jc w:val="center"/>
              <w:rPr>
                <w:rFonts w:ascii="仿宋" w:hAnsi="仿宋" w:eastAsia="仿宋" w:cs="仿宋"/>
                <w:color w:val="auto"/>
                <w:sz w:val="24"/>
                <w:szCs w:val="24"/>
                <w:highlight w:val="none"/>
                <w:lang w:val="zh-CN"/>
              </w:rPr>
            </w:pPr>
          </w:p>
        </w:tc>
        <w:tc>
          <w:tcPr>
            <w:tcW w:w="5314" w:type="dxa"/>
            <w:tcBorders>
              <w:top w:val="single" w:color="auto" w:sz="8" w:space="0"/>
              <w:left w:val="nil"/>
              <w:bottom w:val="single" w:color="auto" w:sz="8" w:space="0"/>
              <w:right w:val="single" w:color="auto" w:sz="8" w:space="0"/>
            </w:tcBorders>
            <w:noWrap w:val="0"/>
            <w:vAlign w:val="top"/>
          </w:tcPr>
          <w:p w14:paraId="6CF1EE52">
            <w:pPr>
              <w:autoSpaceDE w:val="0"/>
              <w:autoSpaceDN w:val="0"/>
              <w:adjustRightInd w:val="0"/>
              <w:spacing w:line="360" w:lineRule="auto"/>
              <w:rPr>
                <w:rFonts w:ascii="仿宋" w:hAnsi="仿宋" w:eastAsia="仿宋"/>
                <w:color w:val="auto"/>
                <w:sz w:val="24"/>
                <w:szCs w:val="24"/>
                <w:highlight w:val="none"/>
              </w:rPr>
            </w:pPr>
          </w:p>
        </w:tc>
      </w:tr>
      <w:tr w14:paraId="260F60E8">
        <w:tblPrEx>
          <w:tblCellMar>
            <w:top w:w="0" w:type="dxa"/>
            <w:left w:w="108" w:type="dxa"/>
            <w:bottom w:w="0" w:type="dxa"/>
            <w:right w:w="108" w:type="dxa"/>
          </w:tblCellMar>
        </w:tblPrEx>
        <w:trPr>
          <w:trHeight w:val="680" w:hRule="atLeast"/>
        </w:trPr>
        <w:tc>
          <w:tcPr>
            <w:tcW w:w="1080" w:type="dxa"/>
            <w:tcBorders>
              <w:top w:val="single" w:color="auto" w:sz="8" w:space="0"/>
              <w:left w:val="single" w:color="auto" w:sz="8" w:space="0"/>
              <w:bottom w:val="single" w:color="auto" w:sz="8" w:space="0"/>
              <w:right w:val="single" w:color="auto" w:sz="8" w:space="0"/>
            </w:tcBorders>
            <w:noWrap w:val="0"/>
            <w:vAlign w:val="center"/>
          </w:tcPr>
          <w:p w14:paraId="4131355C">
            <w:pPr>
              <w:autoSpaceDE w:val="0"/>
              <w:autoSpaceDN w:val="0"/>
              <w:adjustRightIn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2621" w:type="dxa"/>
            <w:tcBorders>
              <w:top w:val="single" w:color="auto" w:sz="8" w:space="0"/>
              <w:left w:val="nil"/>
              <w:bottom w:val="single" w:color="auto" w:sz="8" w:space="0"/>
              <w:right w:val="single" w:color="auto" w:sz="8" w:space="0"/>
            </w:tcBorders>
            <w:noWrap w:val="0"/>
            <w:vAlign w:val="center"/>
          </w:tcPr>
          <w:p w14:paraId="42212C95">
            <w:pPr>
              <w:autoSpaceDE w:val="0"/>
              <w:autoSpaceDN w:val="0"/>
              <w:adjustRightInd w:val="0"/>
              <w:spacing w:line="360" w:lineRule="auto"/>
              <w:jc w:val="center"/>
              <w:rPr>
                <w:rFonts w:ascii="仿宋" w:hAnsi="仿宋" w:eastAsia="仿宋"/>
                <w:color w:val="auto"/>
                <w:sz w:val="24"/>
                <w:szCs w:val="24"/>
                <w:highlight w:val="none"/>
              </w:rPr>
            </w:pPr>
          </w:p>
        </w:tc>
        <w:tc>
          <w:tcPr>
            <w:tcW w:w="5314" w:type="dxa"/>
            <w:tcBorders>
              <w:top w:val="single" w:color="auto" w:sz="8" w:space="0"/>
              <w:left w:val="nil"/>
              <w:bottom w:val="single" w:color="auto" w:sz="8" w:space="0"/>
              <w:right w:val="single" w:color="auto" w:sz="8" w:space="0"/>
            </w:tcBorders>
            <w:noWrap w:val="0"/>
            <w:vAlign w:val="top"/>
          </w:tcPr>
          <w:p w14:paraId="62DFD758">
            <w:pPr>
              <w:autoSpaceDE w:val="0"/>
              <w:autoSpaceDN w:val="0"/>
              <w:adjustRightInd w:val="0"/>
              <w:spacing w:line="360" w:lineRule="auto"/>
              <w:rPr>
                <w:rFonts w:ascii="仿宋" w:hAnsi="仿宋" w:eastAsia="仿宋"/>
                <w:color w:val="auto"/>
                <w:sz w:val="24"/>
                <w:szCs w:val="24"/>
                <w:highlight w:val="none"/>
              </w:rPr>
            </w:pPr>
          </w:p>
        </w:tc>
      </w:tr>
      <w:tr w14:paraId="33856521">
        <w:tblPrEx>
          <w:tblCellMar>
            <w:top w:w="0" w:type="dxa"/>
            <w:left w:w="108" w:type="dxa"/>
            <w:bottom w:w="0" w:type="dxa"/>
            <w:right w:w="108" w:type="dxa"/>
          </w:tblCellMar>
        </w:tblPrEx>
        <w:trPr>
          <w:trHeight w:val="851" w:hRule="atLeast"/>
        </w:trPr>
        <w:tc>
          <w:tcPr>
            <w:tcW w:w="3701" w:type="dxa"/>
            <w:gridSpan w:val="2"/>
            <w:vMerge w:val="restart"/>
            <w:tcBorders>
              <w:top w:val="single" w:color="auto" w:sz="8" w:space="0"/>
              <w:left w:val="single" w:color="auto" w:sz="8" w:space="0"/>
              <w:right w:val="single" w:color="auto" w:sz="8" w:space="0"/>
            </w:tcBorders>
            <w:noWrap w:val="0"/>
            <w:vAlign w:val="center"/>
          </w:tcPr>
          <w:p w14:paraId="7FC022EF">
            <w:pPr>
              <w:autoSpaceDE w:val="0"/>
              <w:autoSpaceDN w:val="0"/>
              <w:adjustRightInd w:val="0"/>
              <w:spacing w:line="360" w:lineRule="auto"/>
              <w:jc w:val="center"/>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总计</w:t>
            </w:r>
          </w:p>
        </w:tc>
        <w:tc>
          <w:tcPr>
            <w:tcW w:w="5314" w:type="dxa"/>
            <w:tcBorders>
              <w:top w:val="single" w:color="auto" w:sz="8" w:space="0"/>
              <w:left w:val="nil"/>
              <w:bottom w:val="single" w:color="auto" w:sz="8" w:space="0"/>
              <w:right w:val="single" w:color="auto" w:sz="8" w:space="0"/>
            </w:tcBorders>
            <w:noWrap w:val="0"/>
            <w:vAlign w:val="center"/>
          </w:tcPr>
          <w:p w14:paraId="1418F567">
            <w:pPr>
              <w:pStyle w:val="64"/>
              <w:rPr>
                <w:color w:val="auto"/>
                <w:szCs w:val="24"/>
                <w:highlight w:val="none"/>
              </w:rPr>
            </w:pPr>
            <w:r>
              <w:rPr>
                <w:rFonts w:hint="eastAsia"/>
                <w:color w:val="auto"/>
                <w:szCs w:val="24"/>
                <w:highlight w:val="none"/>
              </w:rPr>
              <w:t>小写：</w:t>
            </w:r>
          </w:p>
        </w:tc>
      </w:tr>
      <w:tr w14:paraId="6DF5B59A">
        <w:tblPrEx>
          <w:tblCellMar>
            <w:top w:w="0" w:type="dxa"/>
            <w:left w:w="108" w:type="dxa"/>
            <w:bottom w:w="0" w:type="dxa"/>
            <w:right w:w="108" w:type="dxa"/>
          </w:tblCellMar>
        </w:tblPrEx>
        <w:trPr>
          <w:trHeight w:val="851" w:hRule="atLeast"/>
        </w:trPr>
        <w:tc>
          <w:tcPr>
            <w:tcW w:w="3701" w:type="dxa"/>
            <w:gridSpan w:val="2"/>
            <w:vMerge w:val="continue"/>
            <w:tcBorders>
              <w:left w:val="single" w:color="auto" w:sz="8" w:space="0"/>
              <w:bottom w:val="single" w:color="auto" w:sz="8" w:space="0"/>
              <w:right w:val="single" w:color="auto" w:sz="8" w:space="0"/>
            </w:tcBorders>
            <w:noWrap w:val="0"/>
            <w:vAlign w:val="center"/>
          </w:tcPr>
          <w:p w14:paraId="2C048816">
            <w:pPr>
              <w:autoSpaceDE w:val="0"/>
              <w:autoSpaceDN w:val="0"/>
              <w:adjustRightInd w:val="0"/>
              <w:spacing w:line="360" w:lineRule="auto"/>
              <w:jc w:val="center"/>
              <w:rPr>
                <w:rFonts w:ascii="仿宋" w:hAnsi="仿宋" w:eastAsia="仿宋"/>
                <w:color w:val="auto"/>
                <w:sz w:val="24"/>
                <w:szCs w:val="24"/>
                <w:highlight w:val="none"/>
              </w:rPr>
            </w:pPr>
          </w:p>
        </w:tc>
        <w:tc>
          <w:tcPr>
            <w:tcW w:w="5314" w:type="dxa"/>
            <w:tcBorders>
              <w:top w:val="single" w:color="auto" w:sz="8" w:space="0"/>
              <w:left w:val="nil"/>
              <w:bottom w:val="single" w:color="auto" w:sz="8" w:space="0"/>
              <w:right w:val="single" w:color="auto" w:sz="8" w:space="0"/>
            </w:tcBorders>
            <w:noWrap w:val="0"/>
            <w:vAlign w:val="center"/>
          </w:tcPr>
          <w:p w14:paraId="49089913">
            <w:pPr>
              <w:pStyle w:val="64"/>
              <w:rPr>
                <w:color w:val="auto"/>
                <w:szCs w:val="24"/>
                <w:highlight w:val="none"/>
              </w:rPr>
            </w:pPr>
            <w:r>
              <w:rPr>
                <w:rFonts w:hint="eastAsia"/>
                <w:color w:val="auto"/>
                <w:szCs w:val="24"/>
                <w:highlight w:val="none"/>
              </w:rPr>
              <w:t>大写：</w:t>
            </w:r>
          </w:p>
        </w:tc>
      </w:tr>
    </w:tbl>
    <w:p w14:paraId="35074297">
      <w:pPr>
        <w:pStyle w:val="64"/>
        <w:rPr>
          <w:rFonts w:hint="eastAsia"/>
          <w:color w:val="auto"/>
          <w:szCs w:val="24"/>
          <w:highlight w:val="none"/>
        </w:rPr>
      </w:pPr>
      <w:r>
        <w:rPr>
          <w:rFonts w:hint="eastAsia"/>
          <w:color w:val="auto"/>
          <w:szCs w:val="24"/>
          <w:highlight w:val="none"/>
        </w:rPr>
        <w:t>注：</w:t>
      </w:r>
    </w:p>
    <w:p w14:paraId="6FF6EEE5">
      <w:pPr>
        <w:pStyle w:val="64"/>
        <w:ind w:firstLine="480" w:firstLineChars="200"/>
        <w:rPr>
          <w:rFonts w:hint="eastAsia"/>
          <w:color w:val="auto"/>
          <w:szCs w:val="24"/>
          <w:highlight w:val="none"/>
        </w:rPr>
      </w:pPr>
      <w:r>
        <w:rPr>
          <w:rFonts w:hint="eastAsia"/>
          <w:color w:val="auto"/>
          <w:szCs w:val="24"/>
          <w:highlight w:val="none"/>
        </w:rPr>
        <w:t>招标代理服务费由中标人支付，投标人在报价时综合考虑，投标报价中不单独列项。</w:t>
      </w:r>
    </w:p>
    <w:p w14:paraId="5C6CD25D">
      <w:pPr>
        <w:pStyle w:val="64"/>
        <w:rPr>
          <w:rFonts w:hint="eastAsia"/>
          <w:color w:val="auto"/>
          <w:szCs w:val="24"/>
          <w:highlight w:val="none"/>
          <w:lang w:val="zh-CN"/>
        </w:rPr>
      </w:pPr>
    </w:p>
    <w:p w14:paraId="37ACDBF9">
      <w:pPr>
        <w:pStyle w:val="64"/>
        <w:rPr>
          <w:rFonts w:hint="eastAsia"/>
          <w:color w:val="auto"/>
          <w:szCs w:val="24"/>
          <w:highlight w:val="none"/>
          <w:lang w:val="zh-CN"/>
        </w:rPr>
      </w:pPr>
    </w:p>
    <w:p w14:paraId="76E3AB7F">
      <w:pPr>
        <w:pStyle w:val="64"/>
        <w:rPr>
          <w:color w:val="auto"/>
          <w:szCs w:val="24"/>
          <w:highlight w:val="none"/>
          <w:lang w:val="zh-CN"/>
        </w:rPr>
      </w:pPr>
      <w:r>
        <w:rPr>
          <w:rFonts w:hint="eastAsia"/>
          <w:color w:val="auto"/>
          <w:szCs w:val="24"/>
          <w:highlight w:val="none"/>
          <w:lang w:val="zh-CN"/>
        </w:rPr>
        <w:t>投标人名称（盖公章）：</w:t>
      </w:r>
    </w:p>
    <w:p w14:paraId="280DA6A0">
      <w:pPr>
        <w:pStyle w:val="64"/>
        <w:rPr>
          <w:color w:val="auto"/>
          <w:szCs w:val="24"/>
          <w:highlight w:val="none"/>
          <w:lang w:val="zh-CN"/>
        </w:rPr>
      </w:pPr>
    </w:p>
    <w:p w14:paraId="5A425A80">
      <w:pPr>
        <w:pStyle w:val="64"/>
        <w:rPr>
          <w:color w:val="auto"/>
          <w:szCs w:val="24"/>
          <w:highlight w:val="none"/>
          <w:lang w:val="zh-CN"/>
        </w:rPr>
      </w:pPr>
      <w:r>
        <w:rPr>
          <w:rFonts w:hint="eastAsia"/>
          <w:color w:val="auto"/>
          <w:szCs w:val="24"/>
          <w:highlight w:val="none"/>
          <w:lang w:val="zh-CN"/>
        </w:rPr>
        <w:t>投标人法定代表人或者被授权代表（签字或盖章）：</w:t>
      </w:r>
    </w:p>
    <w:p w14:paraId="238047C2">
      <w:pPr>
        <w:autoSpaceDE w:val="0"/>
        <w:autoSpaceDN w:val="0"/>
        <w:adjustRightInd w:val="0"/>
        <w:spacing w:line="360" w:lineRule="auto"/>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时间：</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年</w:t>
      </w:r>
      <w:r>
        <w:rPr>
          <w:rFonts w:ascii="仿宋" w:hAnsi="仿宋" w:eastAsia="仿宋" w:cs="仿宋"/>
          <w:color w:val="auto"/>
          <w:sz w:val="24"/>
          <w:szCs w:val="24"/>
          <w:highlight w:val="none"/>
          <w:u w:val="single"/>
          <w:lang w:val="zh-CN"/>
        </w:rPr>
        <w:t xml:space="preserve">     </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月</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日</w:t>
      </w:r>
    </w:p>
    <w:p w14:paraId="6E2D05B3">
      <w:pPr>
        <w:pStyle w:val="52"/>
        <w:jc w:val="both"/>
        <w:rPr>
          <w:rFonts w:hint="eastAsia" w:ascii="仿宋" w:hAnsi="仿宋" w:eastAsia="仿宋"/>
          <w:color w:val="auto"/>
          <w:highlight w:val="none"/>
          <w:lang w:val="zh-CN"/>
        </w:rPr>
      </w:pPr>
      <w:r>
        <w:rPr>
          <w:rFonts w:ascii="仿宋" w:hAnsi="仿宋" w:eastAsia="仿宋" w:cs="仿宋"/>
          <w:color w:val="auto"/>
          <w:szCs w:val="21"/>
          <w:highlight w:val="none"/>
          <w:lang w:val="zh-CN"/>
        </w:rPr>
        <w:br w:type="page"/>
      </w:r>
      <w:r>
        <w:rPr>
          <w:rFonts w:hint="eastAsia" w:ascii="仿宋" w:hAnsi="仿宋" w:eastAsia="仿宋"/>
          <w:color w:val="auto"/>
          <w:sz w:val="24"/>
          <w:szCs w:val="24"/>
          <w:highlight w:val="none"/>
          <w:lang w:val="zh-CN"/>
        </w:rPr>
        <w:t>附件6：</w:t>
      </w:r>
    </w:p>
    <w:p w14:paraId="28E2A8EE">
      <w:pPr>
        <w:pStyle w:val="52"/>
        <w:rPr>
          <w:rFonts w:ascii="仿宋" w:hAnsi="仿宋" w:eastAsia="仿宋"/>
          <w:color w:val="auto"/>
          <w:highlight w:val="none"/>
          <w:lang w:val="zh-CN"/>
        </w:rPr>
      </w:pPr>
      <w:r>
        <w:rPr>
          <w:rFonts w:hint="eastAsia" w:ascii="仿宋" w:hAnsi="仿宋" w:eastAsia="仿宋"/>
          <w:color w:val="auto"/>
          <w:highlight w:val="none"/>
          <w:lang w:val="zh-CN"/>
        </w:rPr>
        <w:t>分项报价明细表</w:t>
      </w:r>
    </w:p>
    <w:p w14:paraId="2A1BF1A1">
      <w:pPr>
        <w:autoSpaceDE w:val="0"/>
        <w:autoSpaceDN w:val="0"/>
        <w:adjustRightInd w:val="0"/>
        <w:spacing w:line="360" w:lineRule="auto"/>
        <w:rPr>
          <w:rFonts w:ascii="仿宋" w:hAnsi="仿宋" w:eastAsia="仿宋"/>
          <w:b/>
          <w:bCs/>
          <w:color w:val="auto"/>
          <w:sz w:val="24"/>
          <w:szCs w:val="24"/>
          <w:highlight w:val="none"/>
          <w:lang w:val="zh-CN"/>
        </w:rPr>
      </w:pPr>
      <w:r>
        <w:rPr>
          <w:rFonts w:hint="eastAsia" w:ascii="仿宋" w:hAnsi="仿宋" w:eastAsia="仿宋" w:cs="仿宋"/>
          <w:color w:val="auto"/>
          <w:sz w:val="24"/>
          <w:szCs w:val="24"/>
          <w:highlight w:val="none"/>
          <w:lang w:val="zh-CN"/>
        </w:rPr>
        <w:t>投标包：第</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包</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包名称：</w:t>
      </w:r>
      <w:r>
        <w:rPr>
          <w:rFonts w:ascii="仿宋" w:hAnsi="仿宋" w:eastAsia="仿宋" w:cs="仿宋"/>
          <w:color w:val="auto"/>
          <w:sz w:val="24"/>
          <w:szCs w:val="24"/>
          <w:highlight w:val="none"/>
          <w:u w:val="single"/>
          <w:lang w:val="zh-CN"/>
        </w:rPr>
        <w:t xml:space="preserve">           </w:t>
      </w:r>
      <w:r>
        <w:rPr>
          <w:rFonts w:ascii="仿宋" w:hAnsi="仿宋" w:eastAsia="仿宋" w:cs="仿宋"/>
          <w:color w:val="auto"/>
          <w:sz w:val="24"/>
          <w:szCs w:val="24"/>
          <w:highlight w:val="none"/>
          <w:lang w:val="zh-CN"/>
        </w:rPr>
        <w:t xml:space="preserve"> </w:t>
      </w:r>
    </w:p>
    <w:tbl>
      <w:tblPr>
        <w:tblStyle w:val="23"/>
        <w:tblW w:w="9997" w:type="dxa"/>
        <w:tblInd w:w="-17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480"/>
        <w:gridCol w:w="976"/>
        <w:gridCol w:w="858"/>
        <w:gridCol w:w="1830"/>
        <w:gridCol w:w="1096"/>
        <w:gridCol w:w="1545"/>
        <w:gridCol w:w="1384"/>
      </w:tblGrid>
      <w:tr w14:paraId="60464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28" w:type="dxa"/>
            <w:noWrap w:val="0"/>
            <w:vAlign w:val="center"/>
          </w:tcPr>
          <w:p w14:paraId="184B5C6E">
            <w:pPr>
              <w:tabs>
                <w:tab w:val="left" w:pos="1418"/>
              </w:tabs>
              <w:autoSpaceDE w:val="0"/>
              <w:autoSpaceDN w:val="0"/>
              <w:adjustRightInd w:val="0"/>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序号</w:t>
            </w:r>
          </w:p>
        </w:tc>
        <w:tc>
          <w:tcPr>
            <w:tcW w:w="1480" w:type="dxa"/>
            <w:noWrap w:val="0"/>
            <w:vAlign w:val="center"/>
          </w:tcPr>
          <w:p w14:paraId="2C3292B4">
            <w:pPr>
              <w:tabs>
                <w:tab w:val="left" w:pos="1418"/>
              </w:tabs>
              <w:autoSpaceDE w:val="0"/>
              <w:autoSpaceDN w:val="0"/>
              <w:adjustRightInd w:val="0"/>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货物名称</w:t>
            </w:r>
          </w:p>
        </w:tc>
        <w:tc>
          <w:tcPr>
            <w:tcW w:w="976" w:type="dxa"/>
            <w:noWrap w:val="0"/>
            <w:vAlign w:val="center"/>
          </w:tcPr>
          <w:p w14:paraId="7E28A221">
            <w:pPr>
              <w:tabs>
                <w:tab w:val="left" w:pos="1418"/>
              </w:tabs>
              <w:autoSpaceDE w:val="0"/>
              <w:autoSpaceDN w:val="0"/>
              <w:adjustRightInd w:val="0"/>
              <w:spacing w:line="360" w:lineRule="auto"/>
              <w:jc w:val="center"/>
              <w:rPr>
                <w:rFonts w:ascii="仿宋" w:hAnsi="仿宋" w:eastAsia="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品牌</w:t>
            </w:r>
          </w:p>
        </w:tc>
        <w:tc>
          <w:tcPr>
            <w:tcW w:w="858" w:type="dxa"/>
            <w:noWrap w:val="0"/>
            <w:vAlign w:val="center"/>
          </w:tcPr>
          <w:p w14:paraId="2472C11A">
            <w:pPr>
              <w:tabs>
                <w:tab w:val="left" w:pos="1418"/>
              </w:tabs>
              <w:autoSpaceDE w:val="0"/>
              <w:autoSpaceDN w:val="0"/>
              <w:adjustRightInd w:val="0"/>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产地</w:t>
            </w:r>
          </w:p>
        </w:tc>
        <w:tc>
          <w:tcPr>
            <w:tcW w:w="1830" w:type="dxa"/>
            <w:noWrap w:val="0"/>
            <w:vAlign w:val="center"/>
          </w:tcPr>
          <w:p w14:paraId="17251A20">
            <w:pPr>
              <w:tabs>
                <w:tab w:val="left" w:pos="1418"/>
              </w:tabs>
              <w:autoSpaceDE w:val="0"/>
              <w:autoSpaceDN w:val="0"/>
              <w:adjustRightInd w:val="0"/>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规格型号</w:t>
            </w:r>
          </w:p>
        </w:tc>
        <w:tc>
          <w:tcPr>
            <w:tcW w:w="1096" w:type="dxa"/>
            <w:noWrap w:val="0"/>
            <w:vAlign w:val="center"/>
          </w:tcPr>
          <w:p w14:paraId="35BA52A6">
            <w:pPr>
              <w:tabs>
                <w:tab w:val="left" w:pos="1418"/>
              </w:tabs>
              <w:autoSpaceDE w:val="0"/>
              <w:autoSpaceDN w:val="0"/>
              <w:adjustRightInd w:val="0"/>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数量及单位</w:t>
            </w:r>
          </w:p>
        </w:tc>
        <w:tc>
          <w:tcPr>
            <w:tcW w:w="1545" w:type="dxa"/>
            <w:noWrap w:val="0"/>
            <w:vAlign w:val="center"/>
          </w:tcPr>
          <w:p w14:paraId="3EBBBF79">
            <w:pPr>
              <w:tabs>
                <w:tab w:val="left" w:pos="1418"/>
              </w:tabs>
              <w:autoSpaceDE w:val="0"/>
              <w:autoSpaceDN w:val="0"/>
              <w:adjustRightInd w:val="0"/>
              <w:spacing w:line="360" w:lineRule="auto"/>
              <w:jc w:val="center"/>
              <w:rPr>
                <w:rFonts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单价（元）</w:t>
            </w:r>
          </w:p>
        </w:tc>
        <w:tc>
          <w:tcPr>
            <w:tcW w:w="1384" w:type="dxa"/>
            <w:noWrap w:val="0"/>
            <w:vAlign w:val="center"/>
          </w:tcPr>
          <w:p w14:paraId="5D7AC53E">
            <w:pPr>
              <w:tabs>
                <w:tab w:val="left" w:pos="1418"/>
              </w:tabs>
              <w:autoSpaceDE w:val="0"/>
              <w:autoSpaceDN w:val="0"/>
              <w:adjustRightInd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总价</w:t>
            </w:r>
            <w:r>
              <w:rPr>
                <w:rFonts w:hint="eastAsia" w:ascii="仿宋" w:hAnsi="仿宋" w:eastAsia="仿宋" w:cs="仿宋"/>
                <w:color w:val="auto"/>
                <w:sz w:val="24"/>
                <w:szCs w:val="24"/>
                <w:highlight w:val="none"/>
                <w:lang w:val="zh-CN"/>
              </w:rPr>
              <w:t>（元）</w:t>
            </w:r>
          </w:p>
        </w:tc>
      </w:tr>
      <w:tr w14:paraId="2EB20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6" w:hRule="atLeast"/>
        </w:trPr>
        <w:tc>
          <w:tcPr>
            <w:tcW w:w="828" w:type="dxa"/>
            <w:noWrap w:val="0"/>
            <w:vAlign w:val="center"/>
          </w:tcPr>
          <w:p w14:paraId="2EE8A3EC">
            <w:pPr>
              <w:autoSpaceDE w:val="0"/>
              <w:autoSpaceDN w:val="0"/>
              <w:adjustRightInd w:val="0"/>
              <w:spacing w:line="360" w:lineRule="auto"/>
              <w:jc w:val="center"/>
              <w:rPr>
                <w:rFonts w:ascii="仿宋" w:hAnsi="仿宋" w:eastAsia="仿宋"/>
                <w:color w:val="auto"/>
                <w:sz w:val="24"/>
                <w:szCs w:val="24"/>
                <w:highlight w:val="none"/>
              </w:rPr>
            </w:pPr>
            <w:r>
              <w:rPr>
                <w:rFonts w:ascii="仿宋" w:hAnsi="仿宋" w:eastAsia="仿宋" w:cs="仿宋"/>
                <w:color w:val="auto"/>
                <w:sz w:val="24"/>
                <w:szCs w:val="24"/>
                <w:highlight w:val="none"/>
              </w:rPr>
              <w:t>1</w:t>
            </w:r>
          </w:p>
        </w:tc>
        <w:tc>
          <w:tcPr>
            <w:tcW w:w="1480" w:type="dxa"/>
            <w:noWrap w:val="0"/>
            <w:vAlign w:val="top"/>
          </w:tcPr>
          <w:p w14:paraId="7178F946">
            <w:pPr>
              <w:autoSpaceDE w:val="0"/>
              <w:autoSpaceDN w:val="0"/>
              <w:adjustRightInd w:val="0"/>
              <w:spacing w:line="360" w:lineRule="auto"/>
              <w:rPr>
                <w:rFonts w:ascii="仿宋" w:hAnsi="仿宋" w:eastAsia="仿宋"/>
                <w:color w:val="auto"/>
                <w:sz w:val="24"/>
                <w:szCs w:val="24"/>
                <w:highlight w:val="none"/>
              </w:rPr>
            </w:pPr>
          </w:p>
        </w:tc>
        <w:tc>
          <w:tcPr>
            <w:tcW w:w="976" w:type="dxa"/>
            <w:noWrap w:val="0"/>
            <w:vAlign w:val="top"/>
          </w:tcPr>
          <w:p w14:paraId="1AFC83ED">
            <w:pPr>
              <w:autoSpaceDE w:val="0"/>
              <w:autoSpaceDN w:val="0"/>
              <w:adjustRightInd w:val="0"/>
              <w:spacing w:line="360" w:lineRule="auto"/>
              <w:rPr>
                <w:rFonts w:ascii="仿宋" w:hAnsi="仿宋" w:eastAsia="仿宋"/>
                <w:color w:val="auto"/>
                <w:sz w:val="24"/>
                <w:szCs w:val="24"/>
                <w:highlight w:val="none"/>
              </w:rPr>
            </w:pPr>
          </w:p>
        </w:tc>
        <w:tc>
          <w:tcPr>
            <w:tcW w:w="858" w:type="dxa"/>
            <w:noWrap w:val="0"/>
            <w:vAlign w:val="top"/>
          </w:tcPr>
          <w:p w14:paraId="1966A9A8">
            <w:pPr>
              <w:autoSpaceDE w:val="0"/>
              <w:autoSpaceDN w:val="0"/>
              <w:adjustRightInd w:val="0"/>
              <w:spacing w:line="360" w:lineRule="auto"/>
              <w:rPr>
                <w:rFonts w:ascii="仿宋" w:hAnsi="仿宋" w:eastAsia="仿宋"/>
                <w:color w:val="auto"/>
                <w:sz w:val="24"/>
                <w:szCs w:val="24"/>
                <w:highlight w:val="none"/>
              </w:rPr>
            </w:pPr>
          </w:p>
        </w:tc>
        <w:tc>
          <w:tcPr>
            <w:tcW w:w="1830" w:type="dxa"/>
            <w:noWrap w:val="0"/>
            <w:vAlign w:val="top"/>
          </w:tcPr>
          <w:p w14:paraId="4C54867B">
            <w:pPr>
              <w:autoSpaceDE w:val="0"/>
              <w:autoSpaceDN w:val="0"/>
              <w:adjustRightInd w:val="0"/>
              <w:spacing w:line="360" w:lineRule="auto"/>
              <w:rPr>
                <w:rFonts w:ascii="仿宋" w:hAnsi="仿宋" w:eastAsia="仿宋"/>
                <w:color w:val="auto"/>
                <w:sz w:val="24"/>
                <w:szCs w:val="24"/>
                <w:highlight w:val="none"/>
              </w:rPr>
            </w:pPr>
          </w:p>
        </w:tc>
        <w:tc>
          <w:tcPr>
            <w:tcW w:w="1096" w:type="dxa"/>
            <w:noWrap w:val="0"/>
            <w:vAlign w:val="top"/>
          </w:tcPr>
          <w:p w14:paraId="7C50B95C">
            <w:pPr>
              <w:autoSpaceDE w:val="0"/>
              <w:autoSpaceDN w:val="0"/>
              <w:adjustRightInd w:val="0"/>
              <w:spacing w:line="360" w:lineRule="auto"/>
              <w:rPr>
                <w:rFonts w:ascii="仿宋" w:hAnsi="仿宋" w:eastAsia="仿宋"/>
                <w:color w:val="auto"/>
                <w:sz w:val="24"/>
                <w:szCs w:val="24"/>
                <w:highlight w:val="none"/>
              </w:rPr>
            </w:pPr>
          </w:p>
        </w:tc>
        <w:tc>
          <w:tcPr>
            <w:tcW w:w="1545" w:type="dxa"/>
            <w:noWrap w:val="0"/>
            <w:vAlign w:val="top"/>
          </w:tcPr>
          <w:p w14:paraId="655F179B">
            <w:pPr>
              <w:autoSpaceDE w:val="0"/>
              <w:autoSpaceDN w:val="0"/>
              <w:adjustRightInd w:val="0"/>
              <w:spacing w:line="360" w:lineRule="auto"/>
              <w:rPr>
                <w:rFonts w:ascii="仿宋" w:hAnsi="仿宋" w:eastAsia="仿宋"/>
                <w:color w:val="auto"/>
                <w:sz w:val="24"/>
                <w:szCs w:val="24"/>
                <w:highlight w:val="none"/>
              </w:rPr>
            </w:pPr>
          </w:p>
        </w:tc>
        <w:tc>
          <w:tcPr>
            <w:tcW w:w="1384" w:type="dxa"/>
            <w:noWrap w:val="0"/>
            <w:vAlign w:val="top"/>
          </w:tcPr>
          <w:p w14:paraId="31FB4D52">
            <w:pPr>
              <w:autoSpaceDE w:val="0"/>
              <w:autoSpaceDN w:val="0"/>
              <w:adjustRightInd w:val="0"/>
              <w:spacing w:line="360" w:lineRule="auto"/>
              <w:rPr>
                <w:rFonts w:ascii="仿宋" w:hAnsi="仿宋" w:eastAsia="仿宋"/>
                <w:color w:val="auto"/>
                <w:sz w:val="24"/>
                <w:szCs w:val="24"/>
                <w:highlight w:val="none"/>
              </w:rPr>
            </w:pPr>
          </w:p>
        </w:tc>
      </w:tr>
      <w:tr w14:paraId="0F0EC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2" w:hRule="atLeast"/>
        </w:trPr>
        <w:tc>
          <w:tcPr>
            <w:tcW w:w="828" w:type="dxa"/>
            <w:noWrap w:val="0"/>
            <w:vAlign w:val="center"/>
          </w:tcPr>
          <w:p w14:paraId="28CFBE4C">
            <w:pPr>
              <w:autoSpaceDE w:val="0"/>
              <w:autoSpaceDN w:val="0"/>
              <w:adjustRightInd w:val="0"/>
              <w:spacing w:line="360" w:lineRule="auto"/>
              <w:jc w:val="center"/>
              <w:rPr>
                <w:rFonts w:ascii="仿宋" w:hAnsi="仿宋" w:eastAsia="仿宋"/>
                <w:color w:val="auto"/>
                <w:sz w:val="24"/>
                <w:szCs w:val="24"/>
                <w:highlight w:val="none"/>
              </w:rPr>
            </w:pPr>
            <w:r>
              <w:rPr>
                <w:rFonts w:ascii="仿宋" w:hAnsi="仿宋" w:eastAsia="仿宋" w:cs="仿宋"/>
                <w:color w:val="auto"/>
                <w:sz w:val="24"/>
                <w:szCs w:val="24"/>
                <w:highlight w:val="none"/>
              </w:rPr>
              <w:t>2</w:t>
            </w:r>
          </w:p>
        </w:tc>
        <w:tc>
          <w:tcPr>
            <w:tcW w:w="1480" w:type="dxa"/>
            <w:noWrap w:val="0"/>
            <w:vAlign w:val="top"/>
          </w:tcPr>
          <w:p w14:paraId="2DCB7C30">
            <w:pPr>
              <w:autoSpaceDE w:val="0"/>
              <w:autoSpaceDN w:val="0"/>
              <w:adjustRightInd w:val="0"/>
              <w:spacing w:line="360" w:lineRule="auto"/>
              <w:rPr>
                <w:rFonts w:ascii="仿宋" w:hAnsi="仿宋" w:eastAsia="仿宋"/>
                <w:color w:val="auto"/>
                <w:sz w:val="24"/>
                <w:szCs w:val="24"/>
                <w:highlight w:val="none"/>
              </w:rPr>
            </w:pPr>
          </w:p>
        </w:tc>
        <w:tc>
          <w:tcPr>
            <w:tcW w:w="976" w:type="dxa"/>
            <w:noWrap w:val="0"/>
            <w:vAlign w:val="top"/>
          </w:tcPr>
          <w:p w14:paraId="543C40B1">
            <w:pPr>
              <w:autoSpaceDE w:val="0"/>
              <w:autoSpaceDN w:val="0"/>
              <w:adjustRightInd w:val="0"/>
              <w:spacing w:line="360" w:lineRule="auto"/>
              <w:rPr>
                <w:rFonts w:ascii="仿宋" w:hAnsi="仿宋" w:eastAsia="仿宋"/>
                <w:color w:val="auto"/>
                <w:sz w:val="24"/>
                <w:szCs w:val="24"/>
                <w:highlight w:val="none"/>
              </w:rPr>
            </w:pPr>
          </w:p>
        </w:tc>
        <w:tc>
          <w:tcPr>
            <w:tcW w:w="858" w:type="dxa"/>
            <w:noWrap w:val="0"/>
            <w:vAlign w:val="top"/>
          </w:tcPr>
          <w:p w14:paraId="1873F6E7">
            <w:pPr>
              <w:autoSpaceDE w:val="0"/>
              <w:autoSpaceDN w:val="0"/>
              <w:adjustRightInd w:val="0"/>
              <w:spacing w:line="360" w:lineRule="auto"/>
              <w:rPr>
                <w:rFonts w:ascii="仿宋" w:hAnsi="仿宋" w:eastAsia="仿宋"/>
                <w:color w:val="auto"/>
                <w:sz w:val="24"/>
                <w:szCs w:val="24"/>
                <w:highlight w:val="none"/>
              </w:rPr>
            </w:pPr>
          </w:p>
        </w:tc>
        <w:tc>
          <w:tcPr>
            <w:tcW w:w="1830" w:type="dxa"/>
            <w:noWrap w:val="0"/>
            <w:vAlign w:val="top"/>
          </w:tcPr>
          <w:p w14:paraId="5C09FAA9">
            <w:pPr>
              <w:autoSpaceDE w:val="0"/>
              <w:autoSpaceDN w:val="0"/>
              <w:adjustRightInd w:val="0"/>
              <w:spacing w:line="360" w:lineRule="auto"/>
              <w:rPr>
                <w:rFonts w:ascii="仿宋" w:hAnsi="仿宋" w:eastAsia="仿宋"/>
                <w:color w:val="auto"/>
                <w:sz w:val="24"/>
                <w:szCs w:val="24"/>
                <w:highlight w:val="none"/>
              </w:rPr>
            </w:pPr>
          </w:p>
        </w:tc>
        <w:tc>
          <w:tcPr>
            <w:tcW w:w="1096" w:type="dxa"/>
            <w:noWrap w:val="0"/>
            <w:vAlign w:val="top"/>
          </w:tcPr>
          <w:p w14:paraId="7D8744F2">
            <w:pPr>
              <w:autoSpaceDE w:val="0"/>
              <w:autoSpaceDN w:val="0"/>
              <w:adjustRightInd w:val="0"/>
              <w:spacing w:line="360" w:lineRule="auto"/>
              <w:rPr>
                <w:rFonts w:ascii="仿宋" w:hAnsi="仿宋" w:eastAsia="仿宋"/>
                <w:color w:val="auto"/>
                <w:sz w:val="24"/>
                <w:szCs w:val="24"/>
                <w:highlight w:val="none"/>
              </w:rPr>
            </w:pPr>
          </w:p>
        </w:tc>
        <w:tc>
          <w:tcPr>
            <w:tcW w:w="1545" w:type="dxa"/>
            <w:noWrap w:val="0"/>
            <w:vAlign w:val="top"/>
          </w:tcPr>
          <w:p w14:paraId="7F42B9E2">
            <w:pPr>
              <w:autoSpaceDE w:val="0"/>
              <w:autoSpaceDN w:val="0"/>
              <w:adjustRightInd w:val="0"/>
              <w:spacing w:line="360" w:lineRule="auto"/>
              <w:rPr>
                <w:rFonts w:ascii="仿宋" w:hAnsi="仿宋" w:eastAsia="仿宋"/>
                <w:color w:val="auto"/>
                <w:sz w:val="24"/>
                <w:szCs w:val="24"/>
                <w:highlight w:val="none"/>
              </w:rPr>
            </w:pPr>
          </w:p>
        </w:tc>
        <w:tc>
          <w:tcPr>
            <w:tcW w:w="1384" w:type="dxa"/>
            <w:noWrap w:val="0"/>
            <w:vAlign w:val="top"/>
          </w:tcPr>
          <w:p w14:paraId="63655113">
            <w:pPr>
              <w:autoSpaceDE w:val="0"/>
              <w:autoSpaceDN w:val="0"/>
              <w:adjustRightInd w:val="0"/>
              <w:spacing w:line="360" w:lineRule="auto"/>
              <w:rPr>
                <w:rFonts w:ascii="仿宋" w:hAnsi="仿宋" w:eastAsia="仿宋"/>
                <w:color w:val="auto"/>
                <w:sz w:val="24"/>
                <w:szCs w:val="24"/>
                <w:highlight w:val="none"/>
              </w:rPr>
            </w:pPr>
          </w:p>
        </w:tc>
      </w:tr>
      <w:tr w14:paraId="0354E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7" w:hRule="atLeast"/>
        </w:trPr>
        <w:tc>
          <w:tcPr>
            <w:tcW w:w="828" w:type="dxa"/>
            <w:noWrap w:val="0"/>
            <w:vAlign w:val="center"/>
          </w:tcPr>
          <w:p w14:paraId="47434BDA">
            <w:pPr>
              <w:autoSpaceDE w:val="0"/>
              <w:autoSpaceDN w:val="0"/>
              <w:adjustRightInd w:val="0"/>
              <w:spacing w:line="360" w:lineRule="auto"/>
              <w:jc w:val="center"/>
              <w:rPr>
                <w:rFonts w:ascii="仿宋" w:hAnsi="仿宋" w:eastAsia="仿宋"/>
                <w:color w:val="auto"/>
                <w:sz w:val="24"/>
                <w:szCs w:val="24"/>
                <w:highlight w:val="none"/>
              </w:rPr>
            </w:pPr>
            <w:r>
              <w:rPr>
                <w:rFonts w:ascii="仿宋" w:hAnsi="仿宋" w:eastAsia="仿宋" w:cs="仿宋"/>
                <w:color w:val="auto"/>
                <w:sz w:val="24"/>
                <w:szCs w:val="24"/>
                <w:highlight w:val="none"/>
              </w:rPr>
              <w:t>3</w:t>
            </w:r>
          </w:p>
        </w:tc>
        <w:tc>
          <w:tcPr>
            <w:tcW w:w="1480" w:type="dxa"/>
            <w:noWrap w:val="0"/>
            <w:vAlign w:val="top"/>
          </w:tcPr>
          <w:p w14:paraId="227E27C6">
            <w:pPr>
              <w:autoSpaceDE w:val="0"/>
              <w:autoSpaceDN w:val="0"/>
              <w:adjustRightInd w:val="0"/>
              <w:spacing w:line="360" w:lineRule="auto"/>
              <w:rPr>
                <w:rFonts w:ascii="仿宋" w:hAnsi="仿宋" w:eastAsia="仿宋"/>
                <w:color w:val="auto"/>
                <w:sz w:val="24"/>
                <w:szCs w:val="24"/>
                <w:highlight w:val="none"/>
              </w:rPr>
            </w:pPr>
          </w:p>
        </w:tc>
        <w:tc>
          <w:tcPr>
            <w:tcW w:w="976" w:type="dxa"/>
            <w:noWrap w:val="0"/>
            <w:vAlign w:val="top"/>
          </w:tcPr>
          <w:p w14:paraId="1AF50BD4">
            <w:pPr>
              <w:autoSpaceDE w:val="0"/>
              <w:autoSpaceDN w:val="0"/>
              <w:adjustRightInd w:val="0"/>
              <w:spacing w:line="360" w:lineRule="auto"/>
              <w:rPr>
                <w:rFonts w:ascii="仿宋" w:hAnsi="仿宋" w:eastAsia="仿宋"/>
                <w:color w:val="auto"/>
                <w:sz w:val="24"/>
                <w:szCs w:val="24"/>
                <w:highlight w:val="none"/>
              </w:rPr>
            </w:pPr>
          </w:p>
        </w:tc>
        <w:tc>
          <w:tcPr>
            <w:tcW w:w="858" w:type="dxa"/>
            <w:noWrap w:val="0"/>
            <w:vAlign w:val="top"/>
          </w:tcPr>
          <w:p w14:paraId="020CBFAB">
            <w:pPr>
              <w:autoSpaceDE w:val="0"/>
              <w:autoSpaceDN w:val="0"/>
              <w:adjustRightInd w:val="0"/>
              <w:spacing w:line="360" w:lineRule="auto"/>
              <w:rPr>
                <w:rFonts w:ascii="仿宋" w:hAnsi="仿宋" w:eastAsia="仿宋"/>
                <w:color w:val="auto"/>
                <w:sz w:val="24"/>
                <w:szCs w:val="24"/>
                <w:highlight w:val="none"/>
              </w:rPr>
            </w:pPr>
          </w:p>
        </w:tc>
        <w:tc>
          <w:tcPr>
            <w:tcW w:w="1830" w:type="dxa"/>
            <w:noWrap w:val="0"/>
            <w:vAlign w:val="top"/>
          </w:tcPr>
          <w:p w14:paraId="14C3A194">
            <w:pPr>
              <w:autoSpaceDE w:val="0"/>
              <w:autoSpaceDN w:val="0"/>
              <w:adjustRightInd w:val="0"/>
              <w:spacing w:line="360" w:lineRule="auto"/>
              <w:rPr>
                <w:rFonts w:ascii="仿宋" w:hAnsi="仿宋" w:eastAsia="仿宋"/>
                <w:color w:val="auto"/>
                <w:sz w:val="24"/>
                <w:szCs w:val="24"/>
                <w:highlight w:val="none"/>
              </w:rPr>
            </w:pPr>
          </w:p>
        </w:tc>
        <w:tc>
          <w:tcPr>
            <w:tcW w:w="1096" w:type="dxa"/>
            <w:noWrap w:val="0"/>
            <w:vAlign w:val="top"/>
          </w:tcPr>
          <w:p w14:paraId="117CA33D">
            <w:pPr>
              <w:autoSpaceDE w:val="0"/>
              <w:autoSpaceDN w:val="0"/>
              <w:adjustRightInd w:val="0"/>
              <w:spacing w:line="360" w:lineRule="auto"/>
              <w:rPr>
                <w:rFonts w:ascii="仿宋" w:hAnsi="仿宋" w:eastAsia="仿宋"/>
                <w:color w:val="auto"/>
                <w:sz w:val="24"/>
                <w:szCs w:val="24"/>
                <w:highlight w:val="none"/>
              </w:rPr>
            </w:pPr>
          </w:p>
        </w:tc>
        <w:tc>
          <w:tcPr>
            <w:tcW w:w="1545" w:type="dxa"/>
            <w:noWrap w:val="0"/>
            <w:vAlign w:val="top"/>
          </w:tcPr>
          <w:p w14:paraId="50E29A2F">
            <w:pPr>
              <w:autoSpaceDE w:val="0"/>
              <w:autoSpaceDN w:val="0"/>
              <w:adjustRightInd w:val="0"/>
              <w:spacing w:line="360" w:lineRule="auto"/>
              <w:rPr>
                <w:rFonts w:ascii="仿宋" w:hAnsi="仿宋" w:eastAsia="仿宋"/>
                <w:color w:val="auto"/>
                <w:sz w:val="24"/>
                <w:szCs w:val="24"/>
                <w:highlight w:val="none"/>
              </w:rPr>
            </w:pPr>
          </w:p>
        </w:tc>
        <w:tc>
          <w:tcPr>
            <w:tcW w:w="1384" w:type="dxa"/>
            <w:noWrap w:val="0"/>
            <w:vAlign w:val="top"/>
          </w:tcPr>
          <w:p w14:paraId="57B4DBED">
            <w:pPr>
              <w:autoSpaceDE w:val="0"/>
              <w:autoSpaceDN w:val="0"/>
              <w:adjustRightInd w:val="0"/>
              <w:spacing w:line="360" w:lineRule="auto"/>
              <w:rPr>
                <w:rFonts w:ascii="仿宋" w:hAnsi="仿宋" w:eastAsia="仿宋"/>
                <w:color w:val="auto"/>
                <w:sz w:val="24"/>
                <w:szCs w:val="24"/>
                <w:highlight w:val="none"/>
              </w:rPr>
            </w:pPr>
          </w:p>
        </w:tc>
      </w:tr>
      <w:tr w14:paraId="152D7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828" w:type="dxa"/>
            <w:noWrap w:val="0"/>
            <w:vAlign w:val="center"/>
          </w:tcPr>
          <w:p w14:paraId="3575B758">
            <w:pPr>
              <w:autoSpaceDE w:val="0"/>
              <w:autoSpaceDN w:val="0"/>
              <w:adjustRightInd w:val="0"/>
              <w:spacing w:line="360" w:lineRule="auto"/>
              <w:jc w:val="center"/>
              <w:rPr>
                <w:rFonts w:ascii="仿宋" w:hAnsi="仿宋" w:eastAsia="仿宋"/>
                <w:color w:val="auto"/>
                <w:sz w:val="24"/>
                <w:szCs w:val="24"/>
                <w:highlight w:val="none"/>
              </w:rPr>
            </w:pPr>
          </w:p>
        </w:tc>
        <w:tc>
          <w:tcPr>
            <w:tcW w:w="1480" w:type="dxa"/>
            <w:noWrap w:val="0"/>
            <w:vAlign w:val="center"/>
          </w:tcPr>
          <w:p w14:paraId="398208A6">
            <w:pPr>
              <w:pStyle w:val="64"/>
              <w:rPr>
                <w:color w:val="auto"/>
                <w:szCs w:val="24"/>
                <w:highlight w:val="none"/>
                <w:lang w:val="zh-CN"/>
              </w:rPr>
            </w:pPr>
            <w:r>
              <w:rPr>
                <w:rFonts w:hint="eastAsia"/>
                <w:color w:val="auto"/>
                <w:szCs w:val="24"/>
                <w:highlight w:val="none"/>
                <w:lang w:val="zh-CN"/>
              </w:rPr>
              <w:t>……</w:t>
            </w:r>
          </w:p>
        </w:tc>
        <w:tc>
          <w:tcPr>
            <w:tcW w:w="976" w:type="dxa"/>
            <w:noWrap w:val="0"/>
            <w:vAlign w:val="top"/>
          </w:tcPr>
          <w:p w14:paraId="54FEA120">
            <w:pPr>
              <w:autoSpaceDE w:val="0"/>
              <w:autoSpaceDN w:val="0"/>
              <w:adjustRightInd w:val="0"/>
              <w:spacing w:line="360" w:lineRule="auto"/>
              <w:rPr>
                <w:rFonts w:ascii="仿宋" w:hAnsi="仿宋" w:eastAsia="仿宋"/>
                <w:color w:val="auto"/>
                <w:sz w:val="24"/>
                <w:szCs w:val="24"/>
                <w:highlight w:val="none"/>
              </w:rPr>
            </w:pPr>
          </w:p>
        </w:tc>
        <w:tc>
          <w:tcPr>
            <w:tcW w:w="858" w:type="dxa"/>
            <w:noWrap w:val="0"/>
            <w:vAlign w:val="top"/>
          </w:tcPr>
          <w:p w14:paraId="4A24AA81">
            <w:pPr>
              <w:autoSpaceDE w:val="0"/>
              <w:autoSpaceDN w:val="0"/>
              <w:adjustRightInd w:val="0"/>
              <w:spacing w:line="360" w:lineRule="auto"/>
              <w:rPr>
                <w:rFonts w:ascii="仿宋" w:hAnsi="仿宋" w:eastAsia="仿宋"/>
                <w:color w:val="auto"/>
                <w:sz w:val="24"/>
                <w:szCs w:val="24"/>
                <w:highlight w:val="none"/>
              </w:rPr>
            </w:pPr>
          </w:p>
        </w:tc>
        <w:tc>
          <w:tcPr>
            <w:tcW w:w="1830" w:type="dxa"/>
            <w:noWrap w:val="0"/>
            <w:vAlign w:val="top"/>
          </w:tcPr>
          <w:p w14:paraId="67C37638">
            <w:pPr>
              <w:autoSpaceDE w:val="0"/>
              <w:autoSpaceDN w:val="0"/>
              <w:adjustRightInd w:val="0"/>
              <w:spacing w:line="360" w:lineRule="auto"/>
              <w:rPr>
                <w:rFonts w:ascii="仿宋" w:hAnsi="仿宋" w:eastAsia="仿宋"/>
                <w:color w:val="auto"/>
                <w:sz w:val="24"/>
                <w:szCs w:val="24"/>
                <w:highlight w:val="none"/>
              </w:rPr>
            </w:pPr>
          </w:p>
        </w:tc>
        <w:tc>
          <w:tcPr>
            <w:tcW w:w="1096" w:type="dxa"/>
            <w:noWrap w:val="0"/>
            <w:vAlign w:val="top"/>
          </w:tcPr>
          <w:p w14:paraId="327C8AA5">
            <w:pPr>
              <w:autoSpaceDE w:val="0"/>
              <w:autoSpaceDN w:val="0"/>
              <w:adjustRightInd w:val="0"/>
              <w:spacing w:line="360" w:lineRule="auto"/>
              <w:rPr>
                <w:rFonts w:ascii="仿宋" w:hAnsi="仿宋" w:eastAsia="仿宋"/>
                <w:color w:val="auto"/>
                <w:sz w:val="24"/>
                <w:szCs w:val="24"/>
                <w:highlight w:val="none"/>
              </w:rPr>
            </w:pPr>
          </w:p>
        </w:tc>
        <w:tc>
          <w:tcPr>
            <w:tcW w:w="1545" w:type="dxa"/>
            <w:noWrap w:val="0"/>
            <w:vAlign w:val="top"/>
          </w:tcPr>
          <w:p w14:paraId="183140D5">
            <w:pPr>
              <w:autoSpaceDE w:val="0"/>
              <w:autoSpaceDN w:val="0"/>
              <w:adjustRightInd w:val="0"/>
              <w:spacing w:line="360" w:lineRule="auto"/>
              <w:rPr>
                <w:rFonts w:ascii="仿宋" w:hAnsi="仿宋" w:eastAsia="仿宋"/>
                <w:color w:val="auto"/>
                <w:sz w:val="24"/>
                <w:szCs w:val="24"/>
                <w:highlight w:val="none"/>
              </w:rPr>
            </w:pPr>
          </w:p>
        </w:tc>
        <w:tc>
          <w:tcPr>
            <w:tcW w:w="1384" w:type="dxa"/>
            <w:noWrap w:val="0"/>
            <w:vAlign w:val="top"/>
          </w:tcPr>
          <w:p w14:paraId="6A9485AE">
            <w:pPr>
              <w:autoSpaceDE w:val="0"/>
              <w:autoSpaceDN w:val="0"/>
              <w:adjustRightInd w:val="0"/>
              <w:spacing w:line="360" w:lineRule="auto"/>
              <w:rPr>
                <w:rFonts w:ascii="仿宋" w:hAnsi="仿宋" w:eastAsia="仿宋"/>
                <w:color w:val="auto"/>
                <w:sz w:val="24"/>
                <w:szCs w:val="24"/>
                <w:highlight w:val="none"/>
              </w:rPr>
            </w:pPr>
          </w:p>
        </w:tc>
      </w:tr>
    </w:tbl>
    <w:p w14:paraId="774F7FFB">
      <w:pPr>
        <w:pStyle w:val="64"/>
        <w:rPr>
          <w:rFonts w:hint="eastAsia"/>
          <w:color w:val="auto"/>
          <w:szCs w:val="24"/>
          <w:highlight w:val="none"/>
          <w:lang w:val="zh-CN"/>
        </w:rPr>
      </w:pPr>
    </w:p>
    <w:p w14:paraId="26FB7773">
      <w:pPr>
        <w:pStyle w:val="64"/>
        <w:rPr>
          <w:color w:val="auto"/>
          <w:szCs w:val="24"/>
          <w:highlight w:val="none"/>
          <w:lang w:val="zh-CN"/>
        </w:rPr>
      </w:pPr>
      <w:r>
        <w:rPr>
          <w:rFonts w:hint="eastAsia"/>
          <w:color w:val="auto"/>
          <w:szCs w:val="24"/>
          <w:highlight w:val="none"/>
          <w:lang w:val="zh-CN"/>
        </w:rPr>
        <w:t>投标人名称（盖公章）：</w:t>
      </w:r>
    </w:p>
    <w:p w14:paraId="533D4FF4">
      <w:pPr>
        <w:pStyle w:val="64"/>
        <w:rPr>
          <w:color w:val="auto"/>
          <w:szCs w:val="24"/>
          <w:highlight w:val="none"/>
          <w:lang w:val="zh-CN"/>
        </w:rPr>
      </w:pPr>
      <w:r>
        <w:rPr>
          <w:rFonts w:hint="eastAsia"/>
          <w:color w:val="auto"/>
          <w:szCs w:val="24"/>
          <w:highlight w:val="none"/>
          <w:lang w:val="zh-CN"/>
        </w:rPr>
        <w:t>投标人法定代表人或者被授权代表（签字或盖章）：</w:t>
      </w:r>
    </w:p>
    <w:p w14:paraId="496FEBFA">
      <w:pPr>
        <w:spacing w:line="420" w:lineRule="exact"/>
        <w:rPr>
          <w:rFonts w:ascii="仿宋" w:hAnsi="仿宋" w:eastAsia="仿宋" w:cs="仿宋"/>
          <w:color w:val="auto"/>
          <w:szCs w:val="21"/>
          <w:highlight w:val="none"/>
          <w:lang w:val="zh-CN"/>
        </w:rPr>
      </w:pPr>
      <w:r>
        <w:rPr>
          <w:rFonts w:hint="eastAsia" w:ascii="仿宋" w:hAnsi="仿宋" w:eastAsia="仿宋" w:cs="仿宋"/>
          <w:color w:val="auto"/>
          <w:sz w:val="24"/>
          <w:szCs w:val="24"/>
          <w:highlight w:val="none"/>
          <w:lang w:val="zh-CN"/>
        </w:rPr>
        <w:t>时间：</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年</w:t>
      </w:r>
      <w:r>
        <w:rPr>
          <w:rFonts w:ascii="仿宋" w:hAnsi="仿宋" w:eastAsia="仿宋" w:cs="仿宋"/>
          <w:color w:val="auto"/>
          <w:sz w:val="24"/>
          <w:szCs w:val="24"/>
          <w:highlight w:val="none"/>
          <w:u w:val="single"/>
          <w:lang w:val="zh-CN"/>
        </w:rPr>
        <w:t xml:space="preserve">     </w:t>
      </w:r>
      <w:r>
        <w:rPr>
          <w:rFonts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zh-CN"/>
        </w:rPr>
        <w:t>月</w:t>
      </w:r>
      <w:r>
        <w:rPr>
          <w:rFonts w:ascii="仿宋" w:hAnsi="仿宋" w:eastAsia="仿宋" w:cs="仿宋"/>
          <w:color w:val="auto"/>
          <w:sz w:val="24"/>
          <w:szCs w:val="24"/>
          <w:highlight w:val="none"/>
          <w:u w:val="single"/>
          <w:lang w:val="zh-CN"/>
        </w:rPr>
        <w:t xml:space="preserve">   </w:t>
      </w:r>
      <w:r>
        <w:rPr>
          <w:rFonts w:hint="eastAsia" w:ascii="仿宋" w:hAnsi="仿宋" w:eastAsia="仿宋" w:cs="仿宋"/>
          <w:color w:val="auto"/>
          <w:sz w:val="24"/>
          <w:szCs w:val="24"/>
          <w:highlight w:val="none"/>
          <w:lang w:val="zh-CN"/>
        </w:rPr>
        <w:t>日</w:t>
      </w:r>
    </w:p>
    <w:p w14:paraId="004D0831">
      <w:pPr>
        <w:widowControl/>
        <w:autoSpaceDE w:val="0"/>
        <w:autoSpaceDN w:val="0"/>
        <w:adjustRightInd w:val="0"/>
        <w:ind w:right="-481"/>
        <w:jc w:val="left"/>
        <w:rPr>
          <w:rStyle w:val="46"/>
          <w:color w:val="auto"/>
          <w:sz w:val="24"/>
          <w:szCs w:val="24"/>
          <w:highlight w:val="none"/>
        </w:rPr>
      </w:pPr>
    </w:p>
    <w:p w14:paraId="6AF3E5E2">
      <w:pPr>
        <w:widowControl/>
        <w:autoSpaceDE w:val="0"/>
        <w:autoSpaceDN w:val="0"/>
        <w:adjustRightInd w:val="0"/>
        <w:ind w:right="-481"/>
        <w:rPr>
          <w:rStyle w:val="46"/>
          <w:rFonts w:hint="eastAsia"/>
          <w:color w:val="auto"/>
          <w:sz w:val="24"/>
          <w:szCs w:val="24"/>
          <w:highlight w:val="none"/>
        </w:rPr>
      </w:pPr>
    </w:p>
    <w:p w14:paraId="6B5FD269">
      <w:pPr>
        <w:widowControl/>
        <w:autoSpaceDE w:val="0"/>
        <w:autoSpaceDN w:val="0"/>
        <w:adjustRightInd w:val="0"/>
        <w:ind w:right="-481"/>
        <w:rPr>
          <w:rStyle w:val="46"/>
          <w:rFonts w:hint="eastAsia"/>
          <w:color w:val="auto"/>
          <w:sz w:val="24"/>
          <w:szCs w:val="24"/>
          <w:highlight w:val="none"/>
        </w:rPr>
      </w:pPr>
    </w:p>
    <w:p w14:paraId="51AF008F">
      <w:pPr>
        <w:widowControl/>
        <w:autoSpaceDE w:val="0"/>
        <w:autoSpaceDN w:val="0"/>
        <w:adjustRightInd w:val="0"/>
        <w:ind w:right="-481"/>
        <w:rPr>
          <w:rStyle w:val="46"/>
          <w:rFonts w:hint="eastAsia"/>
          <w:color w:val="auto"/>
          <w:sz w:val="24"/>
          <w:szCs w:val="24"/>
          <w:highlight w:val="none"/>
        </w:rPr>
      </w:pPr>
    </w:p>
    <w:p w14:paraId="143610B4">
      <w:pPr>
        <w:jc w:val="both"/>
        <w:rPr>
          <w:rFonts w:hint="default" w:ascii="仿宋" w:hAnsi="仿宋" w:eastAsia="仿宋" w:cs="仿宋"/>
          <w:color w:val="auto"/>
          <w:sz w:val="28"/>
          <w:szCs w:val="36"/>
          <w:highlight w:val="none"/>
          <w:vertAlign w:val="baseline"/>
          <w:lang w:val="en-US" w:eastAsia="zh-CN"/>
        </w:rPr>
      </w:pPr>
      <w:r>
        <w:rPr>
          <w:rStyle w:val="46"/>
          <w:rFonts w:hint="eastAsia"/>
          <w:color w:val="auto"/>
          <w:sz w:val="24"/>
          <w:szCs w:val="24"/>
          <w:highlight w:val="none"/>
        </w:rPr>
        <w:br w:type="page"/>
      </w:r>
      <w:r>
        <w:rPr>
          <w:rFonts w:hint="eastAsia" w:ascii="仿宋" w:hAnsi="仿宋" w:eastAsia="仿宋" w:cs="仿宋"/>
          <w:color w:val="auto"/>
          <w:sz w:val="28"/>
          <w:szCs w:val="36"/>
          <w:highlight w:val="none"/>
          <w:vertAlign w:val="baseline"/>
          <w:lang w:val="en-US" w:eastAsia="zh-CN"/>
        </w:rPr>
        <w:t>附件7：</w:t>
      </w:r>
    </w:p>
    <w:p w14:paraId="57A96DE3">
      <w:pPr>
        <w:jc w:val="center"/>
        <w:rPr>
          <w:rFonts w:hint="eastAsia" w:ascii="仿宋" w:hAnsi="仿宋" w:eastAsia="仿宋" w:cs="仿宋"/>
          <w:color w:val="auto"/>
          <w:sz w:val="36"/>
          <w:szCs w:val="44"/>
          <w:highlight w:val="none"/>
          <w:vertAlign w:val="baseline"/>
          <w:lang w:val="en-US" w:eastAsia="zh-CN"/>
        </w:rPr>
      </w:pPr>
      <w:r>
        <w:rPr>
          <w:rFonts w:hint="eastAsia" w:ascii="仿宋" w:hAnsi="仿宋" w:eastAsia="仿宋" w:cs="仿宋"/>
          <w:color w:val="auto"/>
          <w:sz w:val="36"/>
          <w:szCs w:val="44"/>
          <w:highlight w:val="none"/>
          <w:vertAlign w:val="baseline"/>
          <w:lang w:val="en-US" w:eastAsia="zh-CN"/>
        </w:rPr>
        <w:t>供应商股东信息情况一览表</w:t>
      </w:r>
    </w:p>
    <w:tbl>
      <w:tblPr>
        <w:tblStyle w:val="24"/>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1"/>
        <w:gridCol w:w="4066"/>
        <w:gridCol w:w="2241"/>
      </w:tblGrid>
      <w:tr w14:paraId="16D7D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251" w:type="dxa"/>
            <w:vAlign w:val="center"/>
          </w:tcPr>
          <w:p w14:paraId="262C703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供应商名称</w:t>
            </w:r>
          </w:p>
        </w:tc>
        <w:tc>
          <w:tcPr>
            <w:tcW w:w="6307" w:type="dxa"/>
            <w:gridSpan w:val="2"/>
          </w:tcPr>
          <w:p w14:paraId="280985B2">
            <w:pPr>
              <w:jc w:val="center"/>
              <w:rPr>
                <w:rFonts w:hint="eastAsia" w:ascii="仿宋" w:hAnsi="仿宋" w:eastAsia="仿宋" w:cs="仿宋"/>
                <w:color w:val="auto"/>
                <w:sz w:val="28"/>
                <w:szCs w:val="36"/>
                <w:highlight w:val="none"/>
                <w:vertAlign w:val="baseline"/>
              </w:rPr>
            </w:pPr>
          </w:p>
        </w:tc>
      </w:tr>
      <w:tr w14:paraId="1400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251" w:type="dxa"/>
            <w:vAlign w:val="center"/>
          </w:tcPr>
          <w:p w14:paraId="4E6D784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注册地址</w:t>
            </w:r>
          </w:p>
        </w:tc>
        <w:tc>
          <w:tcPr>
            <w:tcW w:w="6307" w:type="dxa"/>
            <w:gridSpan w:val="2"/>
          </w:tcPr>
          <w:p w14:paraId="2F7661F3">
            <w:pPr>
              <w:jc w:val="center"/>
              <w:rPr>
                <w:rFonts w:hint="eastAsia" w:ascii="仿宋" w:hAnsi="仿宋" w:eastAsia="仿宋" w:cs="仿宋"/>
                <w:color w:val="auto"/>
                <w:sz w:val="28"/>
                <w:szCs w:val="36"/>
                <w:highlight w:val="none"/>
                <w:vertAlign w:val="baseline"/>
              </w:rPr>
            </w:pPr>
          </w:p>
        </w:tc>
      </w:tr>
      <w:tr w14:paraId="4927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2251" w:type="dxa"/>
            <w:vAlign w:val="center"/>
          </w:tcPr>
          <w:p w14:paraId="33AD70A9">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法定代表人</w:t>
            </w:r>
          </w:p>
          <w:p w14:paraId="2D92F6F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（单位负责人）</w:t>
            </w:r>
          </w:p>
        </w:tc>
        <w:tc>
          <w:tcPr>
            <w:tcW w:w="6307" w:type="dxa"/>
            <w:gridSpan w:val="2"/>
          </w:tcPr>
          <w:p w14:paraId="1943F8D1">
            <w:pPr>
              <w:jc w:val="center"/>
              <w:rPr>
                <w:rFonts w:hint="eastAsia" w:ascii="仿宋" w:hAnsi="仿宋" w:eastAsia="仿宋" w:cs="仿宋"/>
                <w:color w:val="auto"/>
                <w:sz w:val="28"/>
                <w:szCs w:val="36"/>
                <w:highlight w:val="none"/>
                <w:vertAlign w:val="baseline"/>
              </w:rPr>
            </w:pPr>
          </w:p>
        </w:tc>
      </w:tr>
      <w:tr w14:paraId="7156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251" w:type="dxa"/>
            <w:vMerge w:val="restart"/>
            <w:vAlign w:val="center"/>
          </w:tcPr>
          <w:p w14:paraId="032AEDF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股东信息</w:t>
            </w:r>
          </w:p>
        </w:tc>
        <w:tc>
          <w:tcPr>
            <w:tcW w:w="4066" w:type="dxa"/>
          </w:tcPr>
          <w:p w14:paraId="787A2FB6">
            <w:pPr>
              <w:jc w:val="center"/>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股东1</w:t>
            </w:r>
          </w:p>
        </w:tc>
        <w:tc>
          <w:tcPr>
            <w:tcW w:w="2241" w:type="dxa"/>
          </w:tcPr>
          <w:p w14:paraId="3C8B71A6">
            <w:pPr>
              <w:jc w:val="center"/>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出资比例（%）</w:t>
            </w:r>
          </w:p>
        </w:tc>
      </w:tr>
      <w:tr w14:paraId="61E69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251" w:type="dxa"/>
            <w:vMerge w:val="continue"/>
            <w:vAlign w:val="center"/>
          </w:tcPr>
          <w:p w14:paraId="3A0A061E">
            <w:pPr>
              <w:jc w:val="center"/>
              <w:rPr>
                <w:rFonts w:hint="eastAsia" w:ascii="仿宋" w:hAnsi="仿宋" w:eastAsia="仿宋" w:cs="仿宋"/>
                <w:color w:val="auto"/>
                <w:highlight w:val="none"/>
              </w:rPr>
            </w:pPr>
          </w:p>
        </w:tc>
        <w:tc>
          <w:tcPr>
            <w:tcW w:w="4066" w:type="dxa"/>
          </w:tcPr>
          <w:p w14:paraId="0913C0AB">
            <w:pPr>
              <w:jc w:val="center"/>
              <w:rPr>
                <w:rFonts w:hint="eastAsia" w:ascii="仿宋" w:hAnsi="仿宋" w:eastAsia="仿宋" w:cs="仿宋"/>
                <w:color w:val="auto"/>
                <w:sz w:val="28"/>
                <w:szCs w:val="36"/>
                <w:highlight w:val="none"/>
                <w:vertAlign w:val="baseline"/>
                <w:lang w:val="en-US" w:eastAsia="zh-CN"/>
              </w:rPr>
            </w:pPr>
          </w:p>
        </w:tc>
        <w:tc>
          <w:tcPr>
            <w:tcW w:w="2241" w:type="dxa"/>
          </w:tcPr>
          <w:p w14:paraId="02336E50">
            <w:pPr>
              <w:jc w:val="center"/>
              <w:rPr>
                <w:rFonts w:hint="eastAsia" w:ascii="仿宋" w:hAnsi="仿宋" w:eastAsia="仿宋" w:cs="仿宋"/>
                <w:color w:val="auto"/>
                <w:sz w:val="28"/>
                <w:szCs w:val="36"/>
                <w:highlight w:val="none"/>
                <w:vertAlign w:val="baseline"/>
                <w:lang w:val="en-US" w:eastAsia="zh-CN"/>
              </w:rPr>
            </w:pPr>
          </w:p>
        </w:tc>
      </w:tr>
      <w:tr w14:paraId="6C6BB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51" w:type="dxa"/>
            <w:vMerge w:val="continue"/>
            <w:vAlign w:val="center"/>
          </w:tcPr>
          <w:p w14:paraId="4BCBCC6B">
            <w:pPr>
              <w:jc w:val="center"/>
              <w:rPr>
                <w:rFonts w:hint="eastAsia" w:ascii="仿宋" w:hAnsi="仿宋" w:eastAsia="仿宋" w:cs="仿宋"/>
                <w:color w:val="auto"/>
                <w:sz w:val="28"/>
                <w:szCs w:val="36"/>
                <w:highlight w:val="none"/>
                <w:vertAlign w:val="baseline"/>
                <w:lang w:val="en-US" w:eastAsia="zh-CN"/>
              </w:rPr>
            </w:pPr>
          </w:p>
        </w:tc>
        <w:tc>
          <w:tcPr>
            <w:tcW w:w="4066" w:type="dxa"/>
            <w:shd w:val="clear" w:color="auto" w:fill="auto"/>
            <w:vAlign w:val="top"/>
          </w:tcPr>
          <w:p w14:paraId="3D185A2B">
            <w:pPr>
              <w:jc w:val="center"/>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股东2</w:t>
            </w:r>
          </w:p>
        </w:tc>
        <w:tc>
          <w:tcPr>
            <w:tcW w:w="2241" w:type="dxa"/>
            <w:shd w:val="clear" w:color="auto" w:fill="auto"/>
            <w:vAlign w:val="top"/>
          </w:tcPr>
          <w:p w14:paraId="7B7793B5">
            <w:pPr>
              <w:jc w:val="center"/>
              <w:rPr>
                <w:rFonts w:hint="eastAsia" w:ascii="仿宋" w:hAnsi="仿宋" w:eastAsia="仿宋" w:cs="仿宋"/>
                <w:color w:val="auto"/>
                <w:kern w:val="2"/>
                <w:sz w:val="28"/>
                <w:szCs w:val="36"/>
                <w:highlight w:val="none"/>
                <w:vertAlign w:val="baseline"/>
                <w:lang w:val="en-US" w:eastAsia="zh-CN" w:bidi="ar-SA"/>
              </w:rPr>
            </w:pPr>
            <w:r>
              <w:rPr>
                <w:rFonts w:hint="eastAsia" w:ascii="仿宋" w:hAnsi="仿宋" w:eastAsia="仿宋" w:cs="仿宋"/>
                <w:color w:val="auto"/>
                <w:sz w:val="28"/>
                <w:szCs w:val="36"/>
                <w:highlight w:val="none"/>
                <w:vertAlign w:val="baseline"/>
                <w:lang w:val="en-US" w:eastAsia="zh-CN"/>
              </w:rPr>
              <w:t>出资比例（%）</w:t>
            </w:r>
          </w:p>
        </w:tc>
      </w:tr>
      <w:tr w14:paraId="76864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51" w:type="dxa"/>
            <w:vMerge w:val="continue"/>
            <w:vAlign w:val="center"/>
          </w:tcPr>
          <w:p w14:paraId="7B031835">
            <w:pPr>
              <w:jc w:val="center"/>
              <w:rPr>
                <w:rFonts w:hint="eastAsia" w:ascii="仿宋" w:hAnsi="仿宋" w:eastAsia="仿宋" w:cs="仿宋"/>
                <w:color w:val="auto"/>
                <w:highlight w:val="none"/>
              </w:rPr>
            </w:pPr>
          </w:p>
        </w:tc>
        <w:tc>
          <w:tcPr>
            <w:tcW w:w="4066" w:type="dxa"/>
          </w:tcPr>
          <w:p w14:paraId="27E0B584">
            <w:pPr>
              <w:jc w:val="center"/>
              <w:rPr>
                <w:rFonts w:hint="eastAsia" w:ascii="仿宋" w:hAnsi="仿宋" w:eastAsia="仿宋" w:cs="仿宋"/>
                <w:color w:val="auto"/>
                <w:sz w:val="28"/>
                <w:szCs w:val="36"/>
                <w:highlight w:val="none"/>
                <w:vertAlign w:val="baseline"/>
              </w:rPr>
            </w:pPr>
          </w:p>
        </w:tc>
        <w:tc>
          <w:tcPr>
            <w:tcW w:w="2241" w:type="dxa"/>
          </w:tcPr>
          <w:p w14:paraId="034C26F3">
            <w:pPr>
              <w:jc w:val="center"/>
              <w:rPr>
                <w:rFonts w:hint="eastAsia" w:ascii="仿宋" w:hAnsi="仿宋" w:eastAsia="仿宋" w:cs="仿宋"/>
                <w:color w:val="auto"/>
                <w:sz w:val="28"/>
                <w:szCs w:val="36"/>
                <w:highlight w:val="none"/>
                <w:vertAlign w:val="baseline"/>
              </w:rPr>
            </w:pPr>
          </w:p>
        </w:tc>
      </w:tr>
      <w:tr w14:paraId="6BCC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51" w:type="dxa"/>
            <w:vMerge w:val="continue"/>
            <w:vAlign w:val="center"/>
          </w:tcPr>
          <w:p w14:paraId="2224B7C0">
            <w:pPr>
              <w:jc w:val="center"/>
              <w:rPr>
                <w:rFonts w:hint="eastAsia" w:ascii="仿宋" w:hAnsi="仿宋" w:eastAsia="仿宋" w:cs="仿宋"/>
                <w:color w:val="auto"/>
                <w:highlight w:val="none"/>
              </w:rPr>
            </w:pPr>
          </w:p>
        </w:tc>
        <w:tc>
          <w:tcPr>
            <w:tcW w:w="4066" w:type="dxa"/>
            <w:shd w:val="clear" w:color="auto" w:fill="auto"/>
            <w:vAlign w:val="top"/>
          </w:tcPr>
          <w:p w14:paraId="6C105544">
            <w:pPr>
              <w:jc w:val="center"/>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股东3</w:t>
            </w:r>
          </w:p>
        </w:tc>
        <w:tc>
          <w:tcPr>
            <w:tcW w:w="2241" w:type="dxa"/>
            <w:shd w:val="clear" w:color="auto" w:fill="auto"/>
            <w:vAlign w:val="top"/>
          </w:tcPr>
          <w:p w14:paraId="5ECF5504">
            <w:pPr>
              <w:jc w:val="center"/>
              <w:rPr>
                <w:rFonts w:hint="eastAsia" w:ascii="仿宋" w:hAnsi="仿宋" w:eastAsia="仿宋" w:cs="仿宋"/>
                <w:color w:val="auto"/>
                <w:kern w:val="2"/>
                <w:sz w:val="28"/>
                <w:szCs w:val="36"/>
                <w:highlight w:val="none"/>
                <w:vertAlign w:val="baseline"/>
                <w:lang w:val="en-US" w:eastAsia="zh-CN" w:bidi="ar-SA"/>
              </w:rPr>
            </w:pPr>
            <w:r>
              <w:rPr>
                <w:rFonts w:hint="eastAsia" w:ascii="仿宋" w:hAnsi="仿宋" w:eastAsia="仿宋" w:cs="仿宋"/>
                <w:color w:val="auto"/>
                <w:sz w:val="28"/>
                <w:szCs w:val="36"/>
                <w:highlight w:val="none"/>
                <w:vertAlign w:val="baseline"/>
                <w:lang w:val="en-US" w:eastAsia="zh-CN"/>
              </w:rPr>
              <w:t>出资比例（%）</w:t>
            </w:r>
          </w:p>
        </w:tc>
      </w:tr>
      <w:tr w14:paraId="3984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51" w:type="dxa"/>
            <w:vMerge w:val="continue"/>
            <w:vAlign w:val="center"/>
          </w:tcPr>
          <w:p w14:paraId="57A8E2BA">
            <w:pPr>
              <w:jc w:val="center"/>
              <w:rPr>
                <w:rFonts w:hint="eastAsia" w:ascii="仿宋" w:hAnsi="仿宋" w:eastAsia="仿宋" w:cs="仿宋"/>
                <w:color w:val="auto"/>
                <w:highlight w:val="none"/>
              </w:rPr>
            </w:pPr>
          </w:p>
        </w:tc>
        <w:tc>
          <w:tcPr>
            <w:tcW w:w="4066" w:type="dxa"/>
          </w:tcPr>
          <w:p w14:paraId="50C297EB">
            <w:pPr>
              <w:jc w:val="center"/>
              <w:rPr>
                <w:rFonts w:hint="eastAsia" w:ascii="仿宋" w:hAnsi="仿宋" w:eastAsia="仿宋" w:cs="仿宋"/>
                <w:color w:val="auto"/>
                <w:sz w:val="28"/>
                <w:szCs w:val="36"/>
                <w:highlight w:val="none"/>
                <w:vertAlign w:val="baseline"/>
              </w:rPr>
            </w:pPr>
          </w:p>
        </w:tc>
        <w:tc>
          <w:tcPr>
            <w:tcW w:w="2241" w:type="dxa"/>
          </w:tcPr>
          <w:p w14:paraId="19F77BD0">
            <w:pPr>
              <w:jc w:val="center"/>
              <w:rPr>
                <w:rFonts w:hint="eastAsia" w:ascii="仿宋" w:hAnsi="仿宋" w:eastAsia="仿宋" w:cs="仿宋"/>
                <w:color w:val="auto"/>
                <w:sz w:val="28"/>
                <w:szCs w:val="36"/>
                <w:highlight w:val="none"/>
                <w:vertAlign w:val="baseline"/>
              </w:rPr>
            </w:pPr>
          </w:p>
        </w:tc>
      </w:tr>
      <w:tr w14:paraId="1B58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51" w:type="dxa"/>
            <w:vMerge w:val="continue"/>
            <w:vAlign w:val="center"/>
          </w:tcPr>
          <w:p w14:paraId="51C6F158">
            <w:pPr>
              <w:jc w:val="center"/>
              <w:rPr>
                <w:rFonts w:hint="eastAsia" w:ascii="仿宋" w:hAnsi="仿宋" w:eastAsia="仿宋" w:cs="仿宋"/>
                <w:color w:val="auto"/>
                <w:highlight w:val="none"/>
              </w:rPr>
            </w:pPr>
          </w:p>
        </w:tc>
        <w:tc>
          <w:tcPr>
            <w:tcW w:w="6307" w:type="dxa"/>
            <w:gridSpan w:val="2"/>
          </w:tcPr>
          <w:p w14:paraId="319F3A97">
            <w:pPr>
              <w:jc w:val="center"/>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......（此表可扩展）</w:t>
            </w:r>
          </w:p>
        </w:tc>
      </w:tr>
    </w:tbl>
    <w:p w14:paraId="6C0EB219">
      <w:pPr>
        <w:jc w:val="both"/>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我方承诺，以上信息真实可靠。</w:t>
      </w:r>
    </w:p>
    <w:p w14:paraId="7472E1E0">
      <w:pPr>
        <w:jc w:val="left"/>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1.主要股东或出资人为法人的，填写法人全称；为自然人的，填写自然人姓名及身份证号码。</w:t>
      </w:r>
    </w:p>
    <w:p w14:paraId="4ED76B62">
      <w:pPr>
        <w:jc w:val="left"/>
        <w:rPr>
          <w:rFonts w:hint="eastAsia" w:ascii="仿宋" w:hAnsi="仿宋" w:eastAsia="仿宋" w:cs="仿宋"/>
          <w:color w:val="auto"/>
          <w:sz w:val="28"/>
          <w:szCs w:val="36"/>
          <w:highlight w:val="none"/>
          <w:vertAlign w:val="baseline"/>
          <w:lang w:val="en-US" w:eastAsia="zh-CN"/>
        </w:rPr>
      </w:pPr>
      <w:r>
        <w:rPr>
          <w:rFonts w:hint="eastAsia" w:ascii="仿宋" w:hAnsi="仿宋" w:eastAsia="仿宋" w:cs="仿宋"/>
          <w:color w:val="auto"/>
          <w:sz w:val="28"/>
          <w:szCs w:val="36"/>
          <w:highlight w:val="none"/>
          <w:vertAlign w:val="baseline"/>
          <w:lang w:val="en-US" w:eastAsia="zh-CN"/>
        </w:rPr>
        <w:t>2.投标人应按照占全部股份比例从大到小依次逐个股东填写，股东数量多于10个的，填写前10名，不足10个的全部填写。</w:t>
      </w:r>
    </w:p>
    <w:p w14:paraId="2D3396EE">
      <w:pPr>
        <w:jc w:val="left"/>
        <w:rPr>
          <w:rFonts w:hint="eastAsia" w:ascii="仿宋" w:hAnsi="仿宋" w:eastAsia="仿宋" w:cs="仿宋"/>
          <w:b/>
          <w:bCs/>
          <w:color w:val="auto"/>
          <w:sz w:val="28"/>
          <w:szCs w:val="36"/>
          <w:highlight w:val="none"/>
          <w:vertAlign w:val="baseline"/>
          <w:lang w:val="en-US" w:eastAsia="zh-CN"/>
        </w:rPr>
      </w:pPr>
      <w:r>
        <w:rPr>
          <w:rFonts w:hint="eastAsia" w:ascii="仿宋" w:hAnsi="仿宋" w:eastAsia="仿宋" w:cs="仿宋"/>
          <w:b/>
          <w:bCs/>
          <w:color w:val="auto"/>
          <w:sz w:val="28"/>
          <w:szCs w:val="36"/>
          <w:highlight w:val="none"/>
          <w:vertAlign w:val="baseline"/>
          <w:lang w:val="en-US" w:eastAsia="zh-CN"/>
        </w:rPr>
        <w:t>★3.投标人未按照要求填写此表或填写信息不完整的，响应无效。</w:t>
      </w:r>
    </w:p>
    <w:p w14:paraId="471D23F4">
      <w:pPr>
        <w:pStyle w:val="6"/>
        <w:wordWrap w:val="0"/>
        <w:jc w:val="right"/>
        <w:rPr>
          <w:rFonts w:hint="eastAsia" w:ascii="仿宋" w:hAnsi="仿宋" w:eastAsia="仿宋" w:cs="仿宋"/>
          <w:color w:val="auto"/>
          <w:sz w:val="28"/>
          <w:szCs w:val="36"/>
          <w:highlight w:val="none"/>
          <w:lang w:val="en-US" w:eastAsia="zh-CN"/>
        </w:rPr>
      </w:pPr>
      <w:r>
        <w:rPr>
          <w:rFonts w:hint="eastAsia" w:ascii="仿宋" w:hAnsi="仿宋" w:eastAsia="仿宋" w:cs="仿宋"/>
          <w:color w:val="auto"/>
          <w:sz w:val="28"/>
          <w:szCs w:val="36"/>
          <w:highlight w:val="none"/>
          <w:lang w:val="en-US" w:eastAsia="zh-CN"/>
        </w:rPr>
        <w:t xml:space="preserve">投标人名称（盖章）：     </w:t>
      </w:r>
    </w:p>
    <w:p w14:paraId="339DE871">
      <w:pPr>
        <w:pStyle w:val="6"/>
        <w:jc w:val="center"/>
        <w:rPr>
          <w:rFonts w:hint="default"/>
          <w:color w:val="auto"/>
          <w:sz w:val="28"/>
          <w:szCs w:val="36"/>
          <w:highlight w:val="none"/>
          <w:lang w:val="en-US" w:eastAsia="zh-CN"/>
        </w:rPr>
      </w:pPr>
      <w:r>
        <w:rPr>
          <w:rFonts w:hint="eastAsia" w:ascii="仿宋" w:hAnsi="仿宋" w:eastAsia="仿宋" w:cs="仿宋"/>
          <w:color w:val="auto"/>
          <w:sz w:val="28"/>
          <w:szCs w:val="36"/>
          <w:highlight w:val="none"/>
          <w:lang w:val="en-US" w:eastAsia="zh-CN"/>
        </w:rPr>
        <w:t xml:space="preserve">                 日   期： </w:t>
      </w:r>
    </w:p>
    <w:p w14:paraId="32C5DEDF">
      <w:pPr>
        <w:rPr>
          <w:rStyle w:val="46"/>
          <w:rFonts w:hint="eastAsia"/>
          <w:color w:val="auto"/>
          <w:sz w:val="24"/>
          <w:szCs w:val="24"/>
          <w:highlight w:val="none"/>
        </w:rPr>
      </w:pPr>
      <w:r>
        <w:rPr>
          <w:rStyle w:val="46"/>
          <w:rFonts w:hint="eastAsia"/>
          <w:color w:val="auto"/>
          <w:sz w:val="24"/>
          <w:szCs w:val="24"/>
          <w:highlight w:val="none"/>
        </w:rPr>
        <w:br w:type="page"/>
      </w:r>
    </w:p>
    <w:p w14:paraId="736F9A7F">
      <w:pPr>
        <w:widowControl/>
        <w:autoSpaceDE w:val="0"/>
        <w:autoSpaceDN w:val="0"/>
        <w:adjustRightInd w:val="0"/>
        <w:ind w:right="-481"/>
        <w:rPr>
          <w:rStyle w:val="46"/>
          <w:color w:val="auto"/>
          <w:sz w:val="24"/>
          <w:szCs w:val="24"/>
          <w:highlight w:val="none"/>
        </w:rPr>
      </w:pPr>
      <w:r>
        <w:rPr>
          <w:rStyle w:val="46"/>
          <w:rFonts w:hint="eastAsia"/>
          <w:color w:val="auto"/>
          <w:sz w:val="24"/>
          <w:szCs w:val="24"/>
          <w:highlight w:val="none"/>
        </w:rPr>
        <w:t>附件</w:t>
      </w:r>
      <w:r>
        <w:rPr>
          <w:rStyle w:val="46"/>
          <w:rFonts w:hint="eastAsia" w:eastAsia="仿宋"/>
          <w:color w:val="auto"/>
          <w:sz w:val="24"/>
          <w:szCs w:val="24"/>
          <w:highlight w:val="none"/>
          <w:lang w:val="en-US" w:eastAsia="zh-CN"/>
        </w:rPr>
        <w:t>8</w:t>
      </w:r>
      <w:r>
        <w:rPr>
          <w:rStyle w:val="46"/>
          <w:rFonts w:hint="eastAsia"/>
          <w:color w:val="auto"/>
          <w:sz w:val="24"/>
          <w:szCs w:val="24"/>
          <w:highlight w:val="none"/>
        </w:rPr>
        <w:t>：</w:t>
      </w:r>
    </w:p>
    <w:p w14:paraId="6C386D38">
      <w:pPr>
        <w:widowControl/>
        <w:autoSpaceDE w:val="0"/>
        <w:autoSpaceDN w:val="0"/>
        <w:adjustRightInd w:val="0"/>
        <w:ind w:right="-481"/>
        <w:jc w:val="center"/>
        <w:rPr>
          <w:rFonts w:ascii="仿宋" w:hAnsi="仿宋" w:eastAsia="仿宋"/>
          <w:color w:val="auto"/>
          <w:kern w:val="1"/>
          <w:sz w:val="28"/>
          <w:szCs w:val="28"/>
          <w:highlight w:val="none"/>
        </w:rPr>
      </w:pPr>
      <w:r>
        <w:rPr>
          <w:rFonts w:hint="eastAsia" w:ascii="仿宋" w:hAnsi="仿宋" w:eastAsia="仿宋" w:cs="宋体"/>
          <w:color w:val="auto"/>
          <w:kern w:val="1"/>
          <w:sz w:val="28"/>
          <w:szCs w:val="28"/>
          <w:highlight w:val="none"/>
        </w:rPr>
        <w:t>投标人同类项目实施情况一览表</w:t>
      </w:r>
    </w:p>
    <w:p w14:paraId="54ECC4AE">
      <w:pPr>
        <w:widowControl/>
        <w:autoSpaceDE w:val="0"/>
        <w:autoSpaceDN w:val="0"/>
        <w:adjustRightInd w:val="0"/>
        <w:ind w:right="-481"/>
        <w:jc w:val="center"/>
        <w:rPr>
          <w:rFonts w:ascii="仿宋" w:hAnsi="仿宋" w:eastAsia="仿宋"/>
          <w:color w:val="auto"/>
          <w:kern w:val="1"/>
          <w:sz w:val="28"/>
          <w:szCs w:val="28"/>
          <w:highlight w:val="none"/>
        </w:rPr>
      </w:pPr>
    </w:p>
    <w:p w14:paraId="65A3423B">
      <w:pPr>
        <w:widowControl/>
        <w:autoSpaceDE w:val="0"/>
        <w:autoSpaceDN w:val="0"/>
        <w:adjustRightInd w:val="0"/>
        <w:spacing w:after="240"/>
        <w:ind w:right="-481"/>
        <w:rPr>
          <w:rFonts w:ascii="仿宋" w:hAnsi="仿宋" w:eastAsia="仿宋"/>
          <w:color w:val="auto"/>
          <w:kern w:val="1"/>
          <w:sz w:val="24"/>
          <w:szCs w:val="24"/>
          <w:highlight w:val="none"/>
          <w:u w:val="single"/>
        </w:rPr>
      </w:pPr>
      <w:r>
        <w:rPr>
          <w:rStyle w:val="46"/>
          <w:rFonts w:hint="eastAsia"/>
          <w:color w:val="auto"/>
          <w:sz w:val="24"/>
          <w:szCs w:val="24"/>
          <w:highlight w:val="none"/>
        </w:rPr>
        <w:t>投标包：第</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包</w:t>
      </w:r>
      <w:r>
        <w:rPr>
          <w:rStyle w:val="46"/>
          <w:color w:val="auto"/>
          <w:sz w:val="24"/>
          <w:szCs w:val="24"/>
          <w:highlight w:val="none"/>
        </w:rPr>
        <w:t xml:space="preserve">                             </w:t>
      </w:r>
      <w:r>
        <w:rPr>
          <w:rStyle w:val="46"/>
          <w:rFonts w:hint="eastAsia"/>
          <w:color w:val="auto"/>
          <w:sz w:val="24"/>
          <w:szCs w:val="24"/>
          <w:highlight w:val="none"/>
        </w:rPr>
        <w:t>包名称：</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p>
    <w:tbl>
      <w:tblPr>
        <w:tblStyle w:val="23"/>
        <w:tblW w:w="10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1935"/>
        <w:gridCol w:w="1650"/>
        <w:gridCol w:w="1335"/>
        <w:gridCol w:w="1680"/>
        <w:gridCol w:w="1559"/>
      </w:tblGrid>
      <w:tr w14:paraId="3BA6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vMerge w:val="restart"/>
            <w:noWrap w:val="0"/>
            <w:tcMar>
              <w:top w:w="100" w:type="dxa"/>
              <w:right w:w="100" w:type="dxa"/>
            </w:tcMar>
            <w:vAlign w:val="center"/>
          </w:tcPr>
          <w:p w14:paraId="1F16BF8B">
            <w:pPr>
              <w:widowControl/>
              <w:autoSpaceDE w:val="0"/>
              <w:autoSpaceDN w:val="0"/>
              <w:adjustRightInd w:val="0"/>
              <w:jc w:val="center"/>
              <w:rPr>
                <w:rStyle w:val="46"/>
                <w:color w:val="auto"/>
                <w:sz w:val="24"/>
                <w:szCs w:val="24"/>
                <w:highlight w:val="none"/>
              </w:rPr>
            </w:pPr>
            <w:r>
              <w:rPr>
                <w:rStyle w:val="46"/>
                <w:rFonts w:hint="eastAsia"/>
                <w:color w:val="auto"/>
                <w:sz w:val="24"/>
                <w:szCs w:val="24"/>
                <w:highlight w:val="none"/>
              </w:rPr>
              <w:t>招标采购单位名称</w:t>
            </w:r>
          </w:p>
        </w:tc>
        <w:tc>
          <w:tcPr>
            <w:tcW w:w="1935" w:type="dxa"/>
            <w:vMerge w:val="restart"/>
            <w:noWrap w:val="0"/>
            <w:tcMar>
              <w:top w:w="100" w:type="dxa"/>
              <w:right w:w="100" w:type="dxa"/>
            </w:tcMar>
            <w:vAlign w:val="center"/>
          </w:tcPr>
          <w:p w14:paraId="53F6AC73">
            <w:pPr>
              <w:widowControl/>
              <w:autoSpaceDE w:val="0"/>
              <w:autoSpaceDN w:val="0"/>
              <w:adjustRightInd w:val="0"/>
              <w:jc w:val="center"/>
              <w:rPr>
                <w:rStyle w:val="46"/>
                <w:color w:val="auto"/>
                <w:sz w:val="24"/>
                <w:szCs w:val="24"/>
                <w:highlight w:val="none"/>
              </w:rPr>
            </w:pPr>
            <w:r>
              <w:rPr>
                <w:rStyle w:val="46"/>
                <w:rFonts w:hint="eastAsia"/>
                <w:color w:val="auto"/>
                <w:sz w:val="24"/>
                <w:szCs w:val="24"/>
                <w:highlight w:val="none"/>
              </w:rPr>
              <w:t>货物或项目名称</w:t>
            </w:r>
          </w:p>
        </w:tc>
        <w:tc>
          <w:tcPr>
            <w:tcW w:w="1650" w:type="dxa"/>
            <w:vMerge w:val="restart"/>
            <w:noWrap w:val="0"/>
            <w:tcMar>
              <w:top w:w="100" w:type="dxa"/>
              <w:right w:w="100" w:type="dxa"/>
            </w:tcMar>
            <w:vAlign w:val="center"/>
          </w:tcPr>
          <w:p w14:paraId="66D343A6">
            <w:pPr>
              <w:widowControl/>
              <w:autoSpaceDE w:val="0"/>
              <w:autoSpaceDN w:val="0"/>
              <w:adjustRightInd w:val="0"/>
              <w:jc w:val="center"/>
              <w:rPr>
                <w:rStyle w:val="46"/>
                <w:color w:val="auto"/>
                <w:sz w:val="24"/>
                <w:szCs w:val="24"/>
                <w:highlight w:val="none"/>
              </w:rPr>
            </w:pPr>
            <w:r>
              <w:rPr>
                <w:rStyle w:val="46"/>
                <w:rFonts w:hint="eastAsia"/>
                <w:color w:val="auto"/>
                <w:sz w:val="24"/>
                <w:szCs w:val="24"/>
                <w:highlight w:val="none"/>
              </w:rPr>
              <w:t>采购数量</w:t>
            </w:r>
          </w:p>
        </w:tc>
        <w:tc>
          <w:tcPr>
            <w:tcW w:w="1335" w:type="dxa"/>
            <w:vMerge w:val="restart"/>
            <w:noWrap w:val="0"/>
            <w:tcMar>
              <w:top w:w="100" w:type="dxa"/>
              <w:right w:w="100" w:type="dxa"/>
            </w:tcMar>
            <w:vAlign w:val="center"/>
          </w:tcPr>
          <w:p w14:paraId="4C701F30">
            <w:pPr>
              <w:widowControl/>
              <w:autoSpaceDE w:val="0"/>
              <w:autoSpaceDN w:val="0"/>
              <w:adjustRightInd w:val="0"/>
              <w:jc w:val="center"/>
              <w:rPr>
                <w:rStyle w:val="46"/>
                <w:color w:val="auto"/>
                <w:sz w:val="24"/>
                <w:szCs w:val="24"/>
                <w:highlight w:val="none"/>
              </w:rPr>
            </w:pPr>
            <w:r>
              <w:rPr>
                <w:rStyle w:val="46"/>
                <w:rFonts w:hint="eastAsia"/>
                <w:color w:val="auto"/>
                <w:sz w:val="24"/>
                <w:szCs w:val="24"/>
                <w:highlight w:val="none"/>
              </w:rPr>
              <w:t>单价</w:t>
            </w:r>
          </w:p>
        </w:tc>
        <w:tc>
          <w:tcPr>
            <w:tcW w:w="1680" w:type="dxa"/>
            <w:vMerge w:val="restart"/>
            <w:noWrap w:val="0"/>
            <w:tcMar>
              <w:top w:w="100" w:type="dxa"/>
              <w:right w:w="100" w:type="dxa"/>
            </w:tcMar>
            <w:vAlign w:val="center"/>
          </w:tcPr>
          <w:p w14:paraId="421061A2">
            <w:pPr>
              <w:widowControl/>
              <w:autoSpaceDE w:val="0"/>
              <w:autoSpaceDN w:val="0"/>
              <w:adjustRightInd w:val="0"/>
              <w:jc w:val="center"/>
              <w:rPr>
                <w:rStyle w:val="46"/>
                <w:color w:val="auto"/>
                <w:sz w:val="24"/>
                <w:szCs w:val="24"/>
                <w:highlight w:val="none"/>
              </w:rPr>
            </w:pPr>
            <w:r>
              <w:rPr>
                <w:rStyle w:val="46"/>
                <w:rFonts w:hint="eastAsia"/>
                <w:color w:val="auto"/>
                <w:sz w:val="24"/>
                <w:szCs w:val="24"/>
                <w:highlight w:val="none"/>
              </w:rPr>
              <w:t>合同金额</w:t>
            </w:r>
          </w:p>
          <w:p w14:paraId="6D57F879">
            <w:pPr>
              <w:widowControl/>
              <w:autoSpaceDE w:val="0"/>
              <w:autoSpaceDN w:val="0"/>
              <w:adjustRightInd w:val="0"/>
              <w:jc w:val="center"/>
              <w:rPr>
                <w:rStyle w:val="46"/>
                <w:color w:val="auto"/>
                <w:sz w:val="24"/>
                <w:szCs w:val="24"/>
                <w:highlight w:val="none"/>
              </w:rPr>
            </w:pPr>
            <w:r>
              <w:rPr>
                <w:rStyle w:val="46"/>
                <w:rFonts w:hint="eastAsia"/>
                <w:color w:val="auto"/>
                <w:sz w:val="24"/>
                <w:szCs w:val="24"/>
                <w:highlight w:val="none"/>
              </w:rPr>
              <w:t>（万元）</w:t>
            </w:r>
          </w:p>
        </w:tc>
        <w:tc>
          <w:tcPr>
            <w:tcW w:w="1559" w:type="dxa"/>
            <w:noWrap w:val="0"/>
            <w:tcMar>
              <w:top w:w="100" w:type="dxa"/>
              <w:right w:w="100" w:type="dxa"/>
            </w:tcMar>
            <w:vAlign w:val="center"/>
          </w:tcPr>
          <w:p w14:paraId="1F35797A">
            <w:pPr>
              <w:widowControl/>
              <w:autoSpaceDE w:val="0"/>
              <w:autoSpaceDN w:val="0"/>
              <w:adjustRightInd w:val="0"/>
              <w:jc w:val="center"/>
              <w:rPr>
                <w:rStyle w:val="46"/>
                <w:rFonts w:hint="eastAsia"/>
                <w:color w:val="auto"/>
                <w:sz w:val="24"/>
                <w:szCs w:val="24"/>
                <w:highlight w:val="none"/>
              </w:rPr>
            </w:pPr>
            <w:r>
              <w:rPr>
                <w:rStyle w:val="46"/>
                <w:rFonts w:hint="eastAsia"/>
                <w:color w:val="auto"/>
                <w:sz w:val="24"/>
                <w:szCs w:val="24"/>
                <w:highlight w:val="none"/>
              </w:rPr>
              <w:t>附件页码</w:t>
            </w:r>
          </w:p>
        </w:tc>
      </w:tr>
      <w:tr w14:paraId="684B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1987" w:type="dxa"/>
            <w:vMerge w:val="continue"/>
            <w:noWrap w:val="0"/>
            <w:tcMar>
              <w:top w:w="100" w:type="dxa"/>
              <w:right w:w="100" w:type="dxa"/>
            </w:tcMar>
            <w:vAlign w:val="center"/>
          </w:tcPr>
          <w:p w14:paraId="04E3C6CF">
            <w:pPr>
              <w:widowControl/>
              <w:autoSpaceDE w:val="0"/>
              <w:autoSpaceDN w:val="0"/>
              <w:adjustRightInd w:val="0"/>
              <w:jc w:val="center"/>
              <w:rPr>
                <w:rFonts w:ascii="仿宋" w:hAnsi="仿宋" w:eastAsia="仿宋"/>
                <w:color w:val="auto"/>
                <w:kern w:val="1"/>
                <w:sz w:val="24"/>
                <w:szCs w:val="24"/>
                <w:highlight w:val="none"/>
              </w:rPr>
            </w:pPr>
          </w:p>
        </w:tc>
        <w:tc>
          <w:tcPr>
            <w:tcW w:w="1935" w:type="dxa"/>
            <w:vMerge w:val="continue"/>
            <w:noWrap w:val="0"/>
            <w:tcMar>
              <w:top w:w="100" w:type="dxa"/>
              <w:right w:w="100" w:type="dxa"/>
            </w:tcMar>
            <w:vAlign w:val="center"/>
          </w:tcPr>
          <w:p w14:paraId="535435A9">
            <w:pPr>
              <w:widowControl/>
              <w:autoSpaceDE w:val="0"/>
              <w:autoSpaceDN w:val="0"/>
              <w:adjustRightInd w:val="0"/>
              <w:jc w:val="center"/>
              <w:rPr>
                <w:rFonts w:ascii="仿宋" w:hAnsi="仿宋" w:eastAsia="仿宋"/>
                <w:color w:val="auto"/>
                <w:kern w:val="1"/>
                <w:sz w:val="24"/>
                <w:szCs w:val="24"/>
                <w:highlight w:val="none"/>
              </w:rPr>
            </w:pPr>
          </w:p>
        </w:tc>
        <w:tc>
          <w:tcPr>
            <w:tcW w:w="1650" w:type="dxa"/>
            <w:vMerge w:val="continue"/>
            <w:noWrap w:val="0"/>
            <w:tcMar>
              <w:top w:w="100" w:type="dxa"/>
              <w:right w:w="100" w:type="dxa"/>
            </w:tcMar>
            <w:vAlign w:val="center"/>
          </w:tcPr>
          <w:p w14:paraId="2B543C2D">
            <w:pPr>
              <w:widowControl/>
              <w:autoSpaceDE w:val="0"/>
              <w:autoSpaceDN w:val="0"/>
              <w:adjustRightInd w:val="0"/>
              <w:jc w:val="center"/>
              <w:rPr>
                <w:rFonts w:ascii="仿宋" w:hAnsi="仿宋" w:eastAsia="仿宋"/>
                <w:color w:val="auto"/>
                <w:kern w:val="1"/>
                <w:sz w:val="24"/>
                <w:szCs w:val="24"/>
                <w:highlight w:val="none"/>
              </w:rPr>
            </w:pPr>
          </w:p>
        </w:tc>
        <w:tc>
          <w:tcPr>
            <w:tcW w:w="1335" w:type="dxa"/>
            <w:vMerge w:val="continue"/>
            <w:noWrap w:val="0"/>
            <w:tcMar>
              <w:top w:w="100" w:type="dxa"/>
              <w:right w:w="100" w:type="dxa"/>
            </w:tcMar>
            <w:vAlign w:val="center"/>
          </w:tcPr>
          <w:p w14:paraId="41CA0929">
            <w:pPr>
              <w:widowControl/>
              <w:autoSpaceDE w:val="0"/>
              <w:autoSpaceDN w:val="0"/>
              <w:adjustRightInd w:val="0"/>
              <w:jc w:val="center"/>
              <w:rPr>
                <w:rFonts w:ascii="仿宋" w:hAnsi="仿宋" w:eastAsia="仿宋"/>
                <w:color w:val="auto"/>
                <w:kern w:val="1"/>
                <w:sz w:val="24"/>
                <w:szCs w:val="24"/>
                <w:highlight w:val="none"/>
              </w:rPr>
            </w:pPr>
          </w:p>
        </w:tc>
        <w:tc>
          <w:tcPr>
            <w:tcW w:w="1680" w:type="dxa"/>
            <w:vMerge w:val="continue"/>
            <w:noWrap w:val="0"/>
            <w:tcMar>
              <w:top w:w="100" w:type="dxa"/>
              <w:right w:w="100" w:type="dxa"/>
            </w:tcMar>
            <w:vAlign w:val="center"/>
          </w:tcPr>
          <w:p w14:paraId="2A22EC97">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495A192C">
            <w:pPr>
              <w:widowControl/>
              <w:autoSpaceDE w:val="0"/>
              <w:autoSpaceDN w:val="0"/>
              <w:adjustRightInd w:val="0"/>
              <w:jc w:val="center"/>
              <w:rPr>
                <w:rStyle w:val="46"/>
                <w:color w:val="auto"/>
                <w:sz w:val="24"/>
                <w:szCs w:val="24"/>
                <w:highlight w:val="none"/>
              </w:rPr>
            </w:pPr>
            <w:r>
              <w:rPr>
                <w:rFonts w:hint="eastAsia" w:ascii="仿宋" w:hAnsi="仿宋" w:eastAsia="仿宋" w:cs="仿宋"/>
                <w:color w:val="auto"/>
                <w:kern w:val="1"/>
                <w:sz w:val="24"/>
                <w:szCs w:val="24"/>
                <w:highlight w:val="none"/>
              </w:rPr>
              <w:t>合同</w:t>
            </w:r>
          </w:p>
        </w:tc>
      </w:tr>
      <w:tr w14:paraId="0C24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noWrap w:val="0"/>
            <w:tcMar>
              <w:top w:w="100" w:type="dxa"/>
              <w:right w:w="100" w:type="dxa"/>
            </w:tcMar>
            <w:vAlign w:val="center"/>
          </w:tcPr>
          <w:p w14:paraId="2711FC68">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56B96F57">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485A24E6">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15C773C9">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7928378D">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750BB91B">
            <w:pPr>
              <w:widowControl/>
              <w:autoSpaceDE w:val="0"/>
              <w:autoSpaceDN w:val="0"/>
              <w:adjustRightInd w:val="0"/>
              <w:jc w:val="center"/>
              <w:rPr>
                <w:rFonts w:ascii="仿宋" w:hAnsi="仿宋" w:eastAsia="仿宋"/>
                <w:color w:val="auto"/>
                <w:kern w:val="1"/>
                <w:sz w:val="24"/>
                <w:szCs w:val="24"/>
                <w:highlight w:val="none"/>
              </w:rPr>
            </w:pPr>
          </w:p>
        </w:tc>
      </w:tr>
      <w:tr w14:paraId="4676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noWrap w:val="0"/>
            <w:tcMar>
              <w:top w:w="100" w:type="dxa"/>
              <w:right w:w="100" w:type="dxa"/>
            </w:tcMar>
            <w:vAlign w:val="center"/>
          </w:tcPr>
          <w:p w14:paraId="2E5D14AE">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0EA8E4E5">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3F9D74CB">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67CE3C84">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44B304B7">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12ACCF4B">
            <w:pPr>
              <w:widowControl/>
              <w:autoSpaceDE w:val="0"/>
              <w:autoSpaceDN w:val="0"/>
              <w:adjustRightInd w:val="0"/>
              <w:jc w:val="center"/>
              <w:rPr>
                <w:rFonts w:ascii="仿宋" w:hAnsi="仿宋" w:eastAsia="仿宋"/>
                <w:color w:val="auto"/>
                <w:kern w:val="1"/>
                <w:sz w:val="24"/>
                <w:szCs w:val="24"/>
                <w:highlight w:val="none"/>
              </w:rPr>
            </w:pPr>
          </w:p>
        </w:tc>
      </w:tr>
      <w:tr w14:paraId="681E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noWrap w:val="0"/>
            <w:tcMar>
              <w:top w:w="100" w:type="dxa"/>
              <w:right w:w="100" w:type="dxa"/>
            </w:tcMar>
            <w:vAlign w:val="center"/>
          </w:tcPr>
          <w:p w14:paraId="739785FC">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3749508E">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10982DC8">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26760A8D">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725D7E62">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3A89DC12">
            <w:pPr>
              <w:widowControl/>
              <w:autoSpaceDE w:val="0"/>
              <w:autoSpaceDN w:val="0"/>
              <w:adjustRightInd w:val="0"/>
              <w:jc w:val="center"/>
              <w:rPr>
                <w:rFonts w:ascii="仿宋" w:hAnsi="仿宋" w:eastAsia="仿宋"/>
                <w:color w:val="auto"/>
                <w:kern w:val="1"/>
                <w:sz w:val="24"/>
                <w:szCs w:val="24"/>
                <w:highlight w:val="none"/>
              </w:rPr>
            </w:pPr>
          </w:p>
        </w:tc>
      </w:tr>
      <w:tr w14:paraId="4832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noWrap w:val="0"/>
            <w:tcMar>
              <w:top w:w="100" w:type="dxa"/>
              <w:right w:w="100" w:type="dxa"/>
            </w:tcMar>
            <w:vAlign w:val="center"/>
          </w:tcPr>
          <w:p w14:paraId="1102FBD8">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6F685F13">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583E612D">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77CD2993">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2CE5E168">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249EC21A">
            <w:pPr>
              <w:widowControl/>
              <w:autoSpaceDE w:val="0"/>
              <w:autoSpaceDN w:val="0"/>
              <w:adjustRightInd w:val="0"/>
              <w:jc w:val="center"/>
              <w:rPr>
                <w:rFonts w:ascii="仿宋" w:hAnsi="仿宋" w:eastAsia="仿宋"/>
                <w:color w:val="auto"/>
                <w:kern w:val="1"/>
                <w:sz w:val="24"/>
                <w:szCs w:val="24"/>
                <w:highlight w:val="none"/>
              </w:rPr>
            </w:pPr>
          </w:p>
        </w:tc>
      </w:tr>
      <w:tr w14:paraId="6C08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noWrap w:val="0"/>
            <w:tcMar>
              <w:top w:w="100" w:type="dxa"/>
              <w:right w:w="100" w:type="dxa"/>
            </w:tcMar>
            <w:vAlign w:val="center"/>
          </w:tcPr>
          <w:p w14:paraId="4A06EA98">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4F72C267">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2D8DDA30">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0E7A6ECE">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2FA95184">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339360AD">
            <w:pPr>
              <w:widowControl/>
              <w:autoSpaceDE w:val="0"/>
              <w:autoSpaceDN w:val="0"/>
              <w:adjustRightInd w:val="0"/>
              <w:jc w:val="center"/>
              <w:rPr>
                <w:rFonts w:ascii="仿宋" w:hAnsi="仿宋" w:eastAsia="仿宋"/>
                <w:color w:val="auto"/>
                <w:kern w:val="1"/>
                <w:sz w:val="24"/>
                <w:szCs w:val="24"/>
                <w:highlight w:val="none"/>
              </w:rPr>
            </w:pPr>
          </w:p>
        </w:tc>
      </w:tr>
      <w:tr w14:paraId="50D5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noWrap w:val="0"/>
            <w:tcMar>
              <w:top w:w="100" w:type="dxa"/>
              <w:right w:w="100" w:type="dxa"/>
            </w:tcMar>
            <w:vAlign w:val="center"/>
          </w:tcPr>
          <w:p w14:paraId="13D6F8EA">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700F9800">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389C900B">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735AB059">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4C746B7F">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7BB020C3">
            <w:pPr>
              <w:widowControl/>
              <w:autoSpaceDE w:val="0"/>
              <w:autoSpaceDN w:val="0"/>
              <w:adjustRightInd w:val="0"/>
              <w:jc w:val="center"/>
              <w:rPr>
                <w:rFonts w:ascii="仿宋" w:hAnsi="仿宋" w:eastAsia="仿宋"/>
                <w:color w:val="auto"/>
                <w:kern w:val="1"/>
                <w:sz w:val="24"/>
                <w:szCs w:val="24"/>
                <w:highlight w:val="none"/>
              </w:rPr>
            </w:pPr>
          </w:p>
        </w:tc>
      </w:tr>
      <w:tr w14:paraId="23C3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noWrap w:val="0"/>
            <w:tcMar>
              <w:top w:w="100" w:type="dxa"/>
              <w:right w:w="100" w:type="dxa"/>
            </w:tcMar>
            <w:vAlign w:val="center"/>
          </w:tcPr>
          <w:p w14:paraId="34E78B63">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3424AA13">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15D87562">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25AF98CF">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265F6754">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0EDE7722">
            <w:pPr>
              <w:widowControl/>
              <w:autoSpaceDE w:val="0"/>
              <w:autoSpaceDN w:val="0"/>
              <w:adjustRightInd w:val="0"/>
              <w:jc w:val="center"/>
              <w:rPr>
                <w:rFonts w:ascii="仿宋" w:hAnsi="仿宋" w:eastAsia="仿宋"/>
                <w:color w:val="auto"/>
                <w:kern w:val="1"/>
                <w:sz w:val="24"/>
                <w:szCs w:val="24"/>
                <w:highlight w:val="none"/>
              </w:rPr>
            </w:pPr>
          </w:p>
        </w:tc>
      </w:tr>
      <w:tr w14:paraId="0869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noWrap w:val="0"/>
            <w:tcMar>
              <w:top w:w="100" w:type="dxa"/>
              <w:right w:w="100" w:type="dxa"/>
            </w:tcMar>
            <w:vAlign w:val="center"/>
          </w:tcPr>
          <w:p w14:paraId="1B6AB228">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7FB8FE4D">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5F924E11">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1320462C">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02BC963F">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48C42D63">
            <w:pPr>
              <w:widowControl/>
              <w:autoSpaceDE w:val="0"/>
              <w:autoSpaceDN w:val="0"/>
              <w:adjustRightInd w:val="0"/>
              <w:jc w:val="center"/>
              <w:rPr>
                <w:rFonts w:ascii="仿宋" w:hAnsi="仿宋" w:eastAsia="仿宋"/>
                <w:color w:val="auto"/>
                <w:kern w:val="1"/>
                <w:sz w:val="24"/>
                <w:szCs w:val="24"/>
                <w:highlight w:val="none"/>
              </w:rPr>
            </w:pPr>
          </w:p>
        </w:tc>
      </w:tr>
      <w:tr w14:paraId="45E45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noWrap w:val="0"/>
            <w:tcMar>
              <w:top w:w="100" w:type="dxa"/>
              <w:right w:w="100" w:type="dxa"/>
            </w:tcMar>
            <w:vAlign w:val="center"/>
          </w:tcPr>
          <w:p w14:paraId="3B5F9097">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447945F3">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49A1D4A5">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6980C9E5">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16016D3B">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3D3CE4DB">
            <w:pPr>
              <w:widowControl/>
              <w:autoSpaceDE w:val="0"/>
              <w:autoSpaceDN w:val="0"/>
              <w:adjustRightInd w:val="0"/>
              <w:jc w:val="center"/>
              <w:rPr>
                <w:rFonts w:ascii="仿宋" w:hAnsi="仿宋" w:eastAsia="仿宋"/>
                <w:color w:val="auto"/>
                <w:kern w:val="1"/>
                <w:sz w:val="24"/>
                <w:szCs w:val="24"/>
                <w:highlight w:val="none"/>
              </w:rPr>
            </w:pPr>
          </w:p>
        </w:tc>
      </w:tr>
      <w:tr w14:paraId="30FA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7" w:type="dxa"/>
            <w:noWrap w:val="0"/>
            <w:tcMar>
              <w:top w:w="100" w:type="dxa"/>
              <w:right w:w="100" w:type="dxa"/>
            </w:tcMar>
            <w:vAlign w:val="center"/>
          </w:tcPr>
          <w:p w14:paraId="49249AA3">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2E5D798A">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4B5E4A3B">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33A25AF7">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1FF83416">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696BAB8C">
            <w:pPr>
              <w:widowControl/>
              <w:autoSpaceDE w:val="0"/>
              <w:autoSpaceDN w:val="0"/>
              <w:adjustRightInd w:val="0"/>
              <w:jc w:val="center"/>
              <w:rPr>
                <w:rFonts w:ascii="仿宋" w:hAnsi="仿宋" w:eastAsia="仿宋"/>
                <w:color w:val="auto"/>
                <w:kern w:val="1"/>
                <w:sz w:val="24"/>
                <w:szCs w:val="24"/>
                <w:highlight w:val="none"/>
              </w:rPr>
            </w:pPr>
          </w:p>
        </w:tc>
      </w:tr>
      <w:tr w14:paraId="1964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987" w:type="dxa"/>
            <w:noWrap w:val="0"/>
            <w:tcMar>
              <w:top w:w="100" w:type="dxa"/>
              <w:right w:w="100" w:type="dxa"/>
            </w:tcMar>
            <w:vAlign w:val="center"/>
          </w:tcPr>
          <w:p w14:paraId="5B18CBF8">
            <w:pPr>
              <w:widowControl/>
              <w:autoSpaceDE w:val="0"/>
              <w:autoSpaceDN w:val="0"/>
              <w:adjustRightInd w:val="0"/>
              <w:jc w:val="center"/>
              <w:rPr>
                <w:rFonts w:ascii="仿宋" w:hAnsi="仿宋" w:eastAsia="仿宋"/>
                <w:color w:val="auto"/>
                <w:kern w:val="1"/>
                <w:sz w:val="24"/>
                <w:szCs w:val="24"/>
                <w:highlight w:val="none"/>
              </w:rPr>
            </w:pPr>
          </w:p>
        </w:tc>
        <w:tc>
          <w:tcPr>
            <w:tcW w:w="1935" w:type="dxa"/>
            <w:noWrap w:val="0"/>
            <w:tcMar>
              <w:top w:w="100" w:type="dxa"/>
              <w:right w:w="100" w:type="dxa"/>
            </w:tcMar>
            <w:vAlign w:val="center"/>
          </w:tcPr>
          <w:p w14:paraId="64CDF0A7">
            <w:pPr>
              <w:widowControl/>
              <w:autoSpaceDE w:val="0"/>
              <w:autoSpaceDN w:val="0"/>
              <w:adjustRightInd w:val="0"/>
              <w:jc w:val="center"/>
              <w:rPr>
                <w:rFonts w:ascii="仿宋" w:hAnsi="仿宋" w:eastAsia="仿宋"/>
                <w:color w:val="auto"/>
                <w:kern w:val="1"/>
                <w:sz w:val="24"/>
                <w:szCs w:val="24"/>
                <w:highlight w:val="none"/>
              </w:rPr>
            </w:pPr>
          </w:p>
        </w:tc>
        <w:tc>
          <w:tcPr>
            <w:tcW w:w="1650" w:type="dxa"/>
            <w:noWrap w:val="0"/>
            <w:tcMar>
              <w:top w:w="100" w:type="dxa"/>
              <w:right w:w="100" w:type="dxa"/>
            </w:tcMar>
            <w:vAlign w:val="center"/>
          </w:tcPr>
          <w:p w14:paraId="789C8D1B">
            <w:pPr>
              <w:widowControl/>
              <w:autoSpaceDE w:val="0"/>
              <w:autoSpaceDN w:val="0"/>
              <w:adjustRightInd w:val="0"/>
              <w:jc w:val="center"/>
              <w:rPr>
                <w:rFonts w:ascii="仿宋" w:hAnsi="仿宋" w:eastAsia="仿宋"/>
                <w:color w:val="auto"/>
                <w:kern w:val="1"/>
                <w:sz w:val="24"/>
                <w:szCs w:val="24"/>
                <w:highlight w:val="none"/>
              </w:rPr>
            </w:pPr>
          </w:p>
        </w:tc>
        <w:tc>
          <w:tcPr>
            <w:tcW w:w="1335" w:type="dxa"/>
            <w:noWrap w:val="0"/>
            <w:tcMar>
              <w:top w:w="100" w:type="dxa"/>
              <w:right w:w="100" w:type="dxa"/>
            </w:tcMar>
            <w:vAlign w:val="center"/>
          </w:tcPr>
          <w:p w14:paraId="00E5E31F">
            <w:pPr>
              <w:widowControl/>
              <w:autoSpaceDE w:val="0"/>
              <w:autoSpaceDN w:val="0"/>
              <w:adjustRightInd w:val="0"/>
              <w:jc w:val="center"/>
              <w:rPr>
                <w:rFonts w:ascii="仿宋" w:hAnsi="仿宋" w:eastAsia="仿宋"/>
                <w:color w:val="auto"/>
                <w:kern w:val="1"/>
                <w:sz w:val="24"/>
                <w:szCs w:val="24"/>
                <w:highlight w:val="none"/>
              </w:rPr>
            </w:pPr>
          </w:p>
        </w:tc>
        <w:tc>
          <w:tcPr>
            <w:tcW w:w="1680" w:type="dxa"/>
            <w:noWrap w:val="0"/>
            <w:tcMar>
              <w:top w:w="100" w:type="dxa"/>
              <w:right w:w="100" w:type="dxa"/>
            </w:tcMar>
            <w:vAlign w:val="center"/>
          </w:tcPr>
          <w:p w14:paraId="47A30B65">
            <w:pPr>
              <w:widowControl/>
              <w:autoSpaceDE w:val="0"/>
              <w:autoSpaceDN w:val="0"/>
              <w:adjustRightInd w:val="0"/>
              <w:jc w:val="center"/>
              <w:rPr>
                <w:rFonts w:ascii="仿宋" w:hAnsi="仿宋" w:eastAsia="仿宋"/>
                <w:color w:val="auto"/>
                <w:kern w:val="1"/>
                <w:sz w:val="24"/>
                <w:szCs w:val="24"/>
                <w:highlight w:val="none"/>
              </w:rPr>
            </w:pPr>
          </w:p>
        </w:tc>
        <w:tc>
          <w:tcPr>
            <w:tcW w:w="1559" w:type="dxa"/>
            <w:noWrap w:val="0"/>
            <w:tcMar>
              <w:top w:w="100" w:type="dxa"/>
              <w:right w:w="100" w:type="dxa"/>
            </w:tcMar>
            <w:vAlign w:val="center"/>
          </w:tcPr>
          <w:p w14:paraId="59578DE8">
            <w:pPr>
              <w:widowControl/>
              <w:autoSpaceDE w:val="0"/>
              <w:autoSpaceDN w:val="0"/>
              <w:adjustRightInd w:val="0"/>
              <w:jc w:val="center"/>
              <w:rPr>
                <w:rFonts w:ascii="仿宋" w:hAnsi="仿宋" w:eastAsia="仿宋"/>
                <w:color w:val="auto"/>
                <w:kern w:val="1"/>
                <w:sz w:val="24"/>
                <w:szCs w:val="24"/>
                <w:highlight w:val="none"/>
              </w:rPr>
            </w:pPr>
          </w:p>
        </w:tc>
      </w:tr>
    </w:tbl>
    <w:p w14:paraId="7850F91B">
      <w:pPr>
        <w:widowControl/>
        <w:autoSpaceDE w:val="0"/>
        <w:autoSpaceDN w:val="0"/>
        <w:adjustRightInd w:val="0"/>
        <w:ind w:right="-481"/>
        <w:rPr>
          <w:rFonts w:ascii="仿宋" w:hAnsi="仿宋" w:eastAsia="仿宋"/>
          <w:color w:val="auto"/>
          <w:kern w:val="1"/>
          <w:sz w:val="24"/>
          <w:szCs w:val="24"/>
          <w:highlight w:val="none"/>
          <w:u w:val="single"/>
        </w:rPr>
      </w:pPr>
    </w:p>
    <w:p w14:paraId="3BAAC7EB">
      <w:pPr>
        <w:widowControl/>
        <w:autoSpaceDE w:val="0"/>
        <w:autoSpaceDN w:val="0"/>
        <w:adjustRightInd w:val="0"/>
        <w:spacing w:line="360" w:lineRule="auto"/>
        <w:ind w:right="-481"/>
        <w:rPr>
          <w:rFonts w:ascii="仿宋" w:hAnsi="仿宋" w:eastAsia="仿宋"/>
          <w:color w:val="auto"/>
          <w:kern w:val="1"/>
          <w:sz w:val="24"/>
          <w:szCs w:val="24"/>
          <w:highlight w:val="none"/>
        </w:rPr>
      </w:pPr>
    </w:p>
    <w:p w14:paraId="198432FA">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投标人名称（盖公章）：</w:t>
      </w:r>
    </w:p>
    <w:p w14:paraId="3F85B1CE">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投标人法定代表人或者被授权代表（签字或盖章）：</w:t>
      </w:r>
    </w:p>
    <w:p w14:paraId="26824A82">
      <w:pPr>
        <w:widowControl/>
        <w:autoSpaceDE w:val="0"/>
        <w:autoSpaceDN w:val="0"/>
        <w:adjustRightInd w:val="0"/>
        <w:spacing w:line="360" w:lineRule="auto"/>
        <w:ind w:right="-481"/>
        <w:rPr>
          <w:rFonts w:ascii="仿宋" w:hAnsi="仿宋" w:eastAsia="仿宋"/>
          <w:color w:val="auto"/>
          <w:kern w:val="1"/>
          <w:sz w:val="24"/>
          <w:szCs w:val="24"/>
          <w:highlight w:val="none"/>
        </w:rPr>
      </w:pPr>
      <w:r>
        <w:rPr>
          <w:rStyle w:val="46"/>
          <w:rFonts w:hint="eastAsia"/>
          <w:color w:val="auto"/>
          <w:sz w:val="24"/>
          <w:szCs w:val="24"/>
          <w:highlight w:val="none"/>
        </w:rPr>
        <w:t>时间：</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年</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r>
        <w:rPr>
          <w:rStyle w:val="46"/>
          <w:rFonts w:hint="eastAsia"/>
          <w:color w:val="auto"/>
          <w:sz w:val="24"/>
          <w:szCs w:val="24"/>
          <w:highlight w:val="none"/>
        </w:rPr>
        <w:t>月</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日</w:t>
      </w:r>
    </w:p>
    <w:p w14:paraId="0A04CF36">
      <w:pPr>
        <w:widowControl/>
        <w:autoSpaceDE w:val="0"/>
        <w:autoSpaceDN w:val="0"/>
        <w:adjustRightInd w:val="0"/>
        <w:ind w:right="-481"/>
        <w:jc w:val="left"/>
        <w:rPr>
          <w:rStyle w:val="46"/>
          <w:color w:val="auto"/>
          <w:sz w:val="24"/>
          <w:szCs w:val="24"/>
          <w:highlight w:val="none"/>
        </w:rPr>
      </w:pPr>
      <w:r>
        <w:rPr>
          <w:rFonts w:ascii="仿宋" w:hAnsi="仿宋" w:eastAsia="仿宋"/>
          <w:color w:val="auto"/>
          <w:kern w:val="1"/>
          <w:highlight w:val="none"/>
        </w:rPr>
        <w:br w:type="page"/>
      </w:r>
      <w:r>
        <w:rPr>
          <w:rStyle w:val="46"/>
          <w:rFonts w:hint="eastAsia"/>
          <w:color w:val="auto"/>
          <w:sz w:val="24"/>
          <w:szCs w:val="24"/>
          <w:highlight w:val="none"/>
        </w:rPr>
        <w:t>附件</w:t>
      </w:r>
      <w:r>
        <w:rPr>
          <w:rStyle w:val="46"/>
          <w:rFonts w:hint="eastAsia" w:eastAsia="仿宋"/>
          <w:color w:val="auto"/>
          <w:sz w:val="24"/>
          <w:szCs w:val="24"/>
          <w:highlight w:val="none"/>
          <w:lang w:val="en-US" w:eastAsia="zh-CN"/>
        </w:rPr>
        <w:t>9</w:t>
      </w:r>
      <w:r>
        <w:rPr>
          <w:rStyle w:val="46"/>
          <w:rFonts w:hint="eastAsia"/>
          <w:color w:val="auto"/>
          <w:sz w:val="24"/>
          <w:szCs w:val="24"/>
          <w:highlight w:val="none"/>
        </w:rPr>
        <w:t>：</w:t>
      </w:r>
      <w:r>
        <w:rPr>
          <w:rStyle w:val="46"/>
          <w:color w:val="auto"/>
          <w:sz w:val="24"/>
          <w:szCs w:val="24"/>
          <w:highlight w:val="none"/>
        </w:rPr>
        <w:t xml:space="preserve"> </w:t>
      </w:r>
    </w:p>
    <w:p w14:paraId="1FC17A95">
      <w:pPr>
        <w:widowControl/>
        <w:autoSpaceDE w:val="0"/>
        <w:autoSpaceDN w:val="0"/>
        <w:adjustRightInd w:val="0"/>
        <w:spacing w:before="120" w:after="120" w:line="300" w:lineRule="auto"/>
        <w:ind w:right="-481"/>
        <w:jc w:val="center"/>
        <w:rPr>
          <w:rFonts w:hint="eastAsia" w:ascii="仿宋" w:hAnsi="仿宋" w:eastAsia="仿宋"/>
          <w:color w:val="auto"/>
          <w:kern w:val="1"/>
          <w:sz w:val="28"/>
          <w:szCs w:val="28"/>
          <w:highlight w:val="none"/>
        </w:rPr>
      </w:pPr>
      <w:r>
        <w:rPr>
          <w:rFonts w:hint="eastAsia" w:ascii="仿宋" w:hAnsi="仿宋" w:eastAsia="仿宋" w:cs="宋体"/>
          <w:color w:val="auto"/>
          <w:kern w:val="1"/>
          <w:sz w:val="28"/>
          <w:szCs w:val="28"/>
          <w:highlight w:val="none"/>
        </w:rPr>
        <w:t>商务响应表</w:t>
      </w:r>
    </w:p>
    <w:p w14:paraId="72372B98">
      <w:pPr>
        <w:widowControl/>
        <w:autoSpaceDE w:val="0"/>
        <w:autoSpaceDN w:val="0"/>
        <w:adjustRightInd w:val="0"/>
        <w:spacing w:before="50"/>
        <w:ind w:right="-481"/>
        <w:jc w:val="center"/>
        <w:rPr>
          <w:rFonts w:ascii="仿宋" w:hAnsi="仿宋" w:eastAsia="仿宋" w:cs="Arial"/>
          <w:b/>
          <w:bCs/>
          <w:color w:val="auto"/>
          <w:kern w:val="1"/>
          <w:sz w:val="32"/>
          <w:szCs w:val="32"/>
          <w:highlight w:val="none"/>
        </w:rPr>
      </w:pPr>
    </w:p>
    <w:p w14:paraId="0EC08784">
      <w:pPr>
        <w:widowControl/>
        <w:autoSpaceDE w:val="0"/>
        <w:autoSpaceDN w:val="0"/>
        <w:adjustRightInd w:val="0"/>
        <w:spacing w:after="240"/>
        <w:ind w:right="-481"/>
        <w:rPr>
          <w:rFonts w:ascii="仿宋" w:hAnsi="仿宋" w:eastAsia="仿宋"/>
          <w:b/>
          <w:bCs/>
          <w:color w:val="auto"/>
          <w:kern w:val="1"/>
          <w:sz w:val="24"/>
          <w:szCs w:val="24"/>
          <w:highlight w:val="none"/>
        </w:rPr>
      </w:pPr>
      <w:r>
        <w:rPr>
          <w:rFonts w:hint="eastAsia" w:ascii="仿宋" w:hAnsi="仿宋" w:eastAsia="仿宋" w:cs="仿宋"/>
          <w:color w:val="auto"/>
          <w:kern w:val="1"/>
          <w:sz w:val="24"/>
          <w:szCs w:val="24"/>
          <w:highlight w:val="none"/>
        </w:rPr>
        <w:t>投标包：第</w:t>
      </w:r>
      <w:r>
        <w:rPr>
          <w:rFonts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rPr>
        <w:t>包</w:t>
      </w:r>
      <w:r>
        <w:rPr>
          <w:rFonts w:ascii="仿宋" w:hAnsi="仿宋" w:eastAsia="仿宋" w:cs="仿宋"/>
          <w:color w:val="auto"/>
          <w:kern w:val="1"/>
          <w:sz w:val="24"/>
          <w:szCs w:val="24"/>
          <w:highlight w:val="none"/>
        </w:rPr>
        <w:t xml:space="preserve">                             </w:t>
      </w:r>
      <w:r>
        <w:rPr>
          <w:rFonts w:hint="eastAsia" w:ascii="仿宋" w:hAnsi="仿宋" w:eastAsia="仿宋" w:cs="仿宋"/>
          <w:color w:val="auto"/>
          <w:kern w:val="1"/>
          <w:sz w:val="24"/>
          <w:szCs w:val="24"/>
          <w:highlight w:val="none"/>
        </w:rPr>
        <w:t>包名称：</w:t>
      </w:r>
      <w:r>
        <w:rPr>
          <w:rFonts w:ascii="仿宋" w:hAnsi="仿宋" w:eastAsia="仿宋" w:cs="仿宋"/>
          <w:color w:val="auto"/>
          <w:kern w:val="1"/>
          <w:sz w:val="24"/>
          <w:szCs w:val="24"/>
          <w:highlight w:val="none"/>
          <w:u w:val="single"/>
        </w:rPr>
        <w:t xml:space="preserve">           </w:t>
      </w:r>
      <w:r>
        <w:rPr>
          <w:rFonts w:ascii="仿宋" w:hAnsi="仿宋" w:eastAsia="仿宋" w:cs="仿宋"/>
          <w:color w:val="auto"/>
          <w:kern w:val="1"/>
          <w:sz w:val="24"/>
          <w:szCs w:val="24"/>
          <w:highlight w:val="none"/>
        </w:rPr>
        <w:t xml:space="preserve">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3249"/>
        <w:gridCol w:w="1348"/>
        <w:gridCol w:w="2763"/>
      </w:tblGrid>
      <w:tr w14:paraId="5A69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noWrap w:val="0"/>
            <w:tcMar>
              <w:top w:w="100" w:type="dxa"/>
              <w:right w:w="100" w:type="dxa"/>
            </w:tcMar>
            <w:vAlign w:val="center"/>
          </w:tcPr>
          <w:p w14:paraId="5DFCFDAE">
            <w:pPr>
              <w:widowControl/>
              <w:autoSpaceDE w:val="0"/>
              <w:autoSpaceDN w:val="0"/>
              <w:adjustRightInd w:val="0"/>
              <w:spacing w:before="120" w:line="360" w:lineRule="auto"/>
              <w:jc w:val="center"/>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项目</w:t>
            </w:r>
          </w:p>
        </w:tc>
        <w:tc>
          <w:tcPr>
            <w:tcW w:w="3249" w:type="dxa"/>
            <w:noWrap w:val="0"/>
            <w:tcMar>
              <w:top w:w="100" w:type="dxa"/>
              <w:right w:w="100" w:type="dxa"/>
            </w:tcMar>
            <w:vAlign w:val="center"/>
          </w:tcPr>
          <w:p w14:paraId="12513F93">
            <w:pPr>
              <w:widowControl/>
              <w:autoSpaceDE w:val="0"/>
              <w:autoSpaceDN w:val="0"/>
              <w:adjustRightInd w:val="0"/>
              <w:spacing w:before="120" w:line="360" w:lineRule="auto"/>
              <w:jc w:val="center"/>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招标文件要求</w:t>
            </w:r>
          </w:p>
        </w:tc>
        <w:tc>
          <w:tcPr>
            <w:tcW w:w="1348" w:type="dxa"/>
            <w:noWrap w:val="0"/>
            <w:tcMar>
              <w:top w:w="100" w:type="dxa"/>
              <w:right w:w="100" w:type="dxa"/>
            </w:tcMar>
            <w:vAlign w:val="center"/>
          </w:tcPr>
          <w:p w14:paraId="09674484">
            <w:pPr>
              <w:widowControl/>
              <w:autoSpaceDE w:val="0"/>
              <w:autoSpaceDN w:val="0"/>
              <w:adjustRightInd w:val="0"/>
              <w:spacing w:before="120" w:line="360" w:lineRule="auto"/>
              <w:jc w:val="center"/>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是否响应</w:t>
            </w:r>
          </w:p>
        </w:tc>
        <w:tc>
          <w:tcPr>
            <w:tcW w:w="2763" w:type="dxa"/>
            <w:noWrap w:val="0"/>
            <w:tcMar>
              <w:top w:w="100" w:type="dxa"/>
              <w:right w:w="100" w:type="dxa"/>
            </w:tcMar>
            <w:vAlign w:val="center"/>
          </w:tcPr>
          <w:p w14:paraId="23C58126">
            <w:pPr>
              <w:widowControl/>
              <w:autoSpaceDE w:val="0"/>
              <w:autoSpaceDN w:val="0"/>
              <w:adjustRightInd w:val="0"/>
              <w:spacing w:before="120" w:line="360" w:lineRule="auto"/>
              <w:jc w:val="center"/>
              <w:rPr>
                <w:rFonts w:ascii="仿宋" w:hAnsi="仿宋" w:eastAsia="仿宋"/>
                <w:color w:val="auto"/>
                <w:kern w:val="1"/>
                <w:sz w:val="24"/>
                <w:szCs w:val="24"/>
                <w:highlight w:val="none"/>
              </w:rPr>
            </w:pPr>
            <w:r>
              <w:rPr>
                <w:rFonts w:hint="eastAsia" w:ascii="仿宋" w:hAnsi="仿宋" w:eastAsia="仿宋" w:cs="仿宋"/>
                <w:color w:val="auto"/>
                <w:kern w:val="1"/>
                <w:sz w:val="24"/>
                <w:szCs w:val="24"/>
                <w:highlight w:val="none"/>
              </w:rPr>
              <w:t>投标人的承诺或者说明</w:t>
            </w:r>
          </w:p>
        </w:tc>
      </w:tr>
      <w:tr w14:paraId="54EF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537" w:type="dxa"/>
            <w:noWrap w:val="0"/>
            <w:tcMar>
              <w:top w:w="100" w:type="dxa"/>
              <w:right w:w="100" w:type="dxa"/>
            </w:tcMar>
            <w:vAlign w:val="center"/>
          </w:tcPr>
          <w:p w14:paraId="0ED9F95A">
            <w:pPr>
              <w:widowControl/>
              <w:autoSpaceDE w:val="0"/>
              <w:autoSpaceDN w:val="0"/>
              <w:adjustRightInd w:val="0"/>
              <w:rPr>
                <w:rFonts w:hint="eastAsia" w:ascii="仿宋" w:hAnsi="仿宋" w:eastAsia="仿宋" w:cs="Times New Roman"/>
                <w:color w:val="auto"/>
                <w:sz w:val="24"/>
                <w:szCs w:val="24"/>
                <w:highlight w:val="none"/>
                <w:lang w:val="en-US" w:eastAsia="zh-CN"/>
              </w:rPr>
            </w:pPr>
          </w:p>
        </w:tc>
        <w:tc>
          <w:tcPr>
            <w:tcW w:w="3249" w:type="dxa"/>
            <w:noWrap w:val="0"/>
            <w:tcMar>
              <w:top w:w="100" w:type="dxa"/>
              <w:right w:w="100" w:type="dxa"/>
            </w:tcMar>
            <w:vAlign w:val="top"/>
          </w:tcPr>
          <w:p w14:paraId="1C829D6F">
            <w:pPr>
              <w:widowControl/>
              <w:autoSpaceDE w:val="0"/>
              <w:autoSpaceDN w:val="0"/>
              <w:adjustRightInd w:val="0"/>
              <w:spacing w:before="120"/>
              <w:rPr>
                <w:rFonts w:ascii="仿宋" w:hAnsi="仿宋" w:eastAsia="仿宋"/>
                <w:color w:val="auto"/>
                <w:kern w:val="1"/>
                <w:sz w:val="24"/>
                <w:szCs w:val="24"/>
                <w:highlight w:val="none"/>
              </w:rPr>
            </w:pPr>
          </w:p>
        </w:tc>
        <w:tc>
          <w:tcPr>
            <w:tcW w:w="1348" w:type="dxa"/>
            <w:noWrap w:val="0"/>
            <w:tcMar>
              <w:top w:w="100" w:type="dxa"/>
              <w:right w:w="100" w:type="dxa"/>
            </w:tcMar>
            <w:vAlign w:val="top"/>
          </w:tcPr>
          <w:p w14:paraId="2ECBE252">
            <w:pPr>
              <w:widowControl/>
              <w:autoSpaceDE w:val="0"/>
              <w:autoSpaceDN w:val="0"/>
              <w:adjustRightInd w:val="0"/>
              <w:spacing w:before="120"/>
              <w:rPr>
                <w:rFonts w:ascii="仿宋" w:hAnsi="仿宋" w:eastAsia="仿宋"/>
                <w:color w:val="auto"/>
                <w:kern w:val="1"/>
                <w:sz w:val="24"/>
                <w:szCs w:val="24"/>
                <w:highlight w:val="none"/>
              </w:rPr>
            </w:pPr>
          </w:p>
        </w:tc>
        <w:tc>
          <w:tcPr>
            <w:tcW w:w="2763" w:type="dxa"/>
            <w:noWrap w:val="0"/>
            <w:tcMar>
              <w:top w:w="100" w:type="dxa"/>
              <w:right w:w="100" w:type="dxa"/>
            </w:tcMar>
            <w:vAlign w:val="top"/>
          </w:tcPr>
          <w:p w14:paraId="191E395A">
            <w:pPr>
              <w:widowControl/>
              <w:autoSpaceDE w:val="0"/>
              <w:autoSpaceDN w:val="0"/>
              <w:adjustRightInd w:val="0"/>
              <w:spacing w:before="120"/>
              <w:rPr>
                <w:rFonts w:ascii="仿宋" w:hAnsi="仿宋" w:eastAsia="仿宋"/>
                <w:color w:val="auto"/>
                <w:kern w:val="1"/>
                <w:sz w:val="24"/>
                <w:szCs w:val="24"/>
                <w:highlight w:val="none"/>
              </w:rPr>
            </w:pPr>
          </w:p>
        </w:tc>
      </w:tr>
      <w:tr w14:paraId="2B54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537" w:type="dxa"/>
            <w:noWrap w:val="0"/>
            <w:tcMar>
              <w:top w:w="100" w:type="dxa"/>
              <w:right w:w="100" w:type="dxa"/>
            </w:tcMar>
            <w:vAlign w:val="center"/>
          </w:tcPr>
          <w:p w14:paraId="3112AC7E">
            <w:pPr>
              <w:widowControl/>
              <w:autoSpaceDE w:val="0"/>
              <w:autoSpaceDN w:val="0"/>
              <w:adjustRightInd w:val="0"/>
              <w:rPr>
                <w:rFonts w:hint="eastAsia" w:ascii="仿宋" w:hAnsi="仿宋" w:eastAsia="仿宋" w:cs="Times New Roman"/>
                <w:color w:val="auto"/>
                <w:sz w:val="24"/>
                <w:szCs w:val="24"/>
                <w:highlight w:val="none"/>
                <w:lang w:val="en-US" w:eastAsia="zh-CN"/>
              </w:rPr>
            </w:pPr>
          </w:p>
        </w:tc>
        <w:tc>
          <w:tcPr>
            <w:tcW w:w="3249" w:type="dxa"/>
            <w:noWrap w:val="0"/>
            <w:tcMar>
              <w:top w:w="100" w:type="dxa"/>
              <w:right w:w="100" w:type="dxa"/>
            </w:tcMar>
            <w:vAlign w:val="top"/>
          </w:tcPr>
          <w:p w14:paraId="21B49393">
            <w:pPr>
              <w:widowControl/>
              <w:autoSpaceDE w:val="0"/>
              <w:autoSpaceDN w:val="0"/>
              <w:adjustRightInd w:val="0"/>
              <w:spacing w:before="120"/>
              <w:rPr>
                <w:rFonts w:ascii="仿宋" w:hAnsi="仿宋" w:eastAsia="仿宋"/>
                <w:color w:val="auto"/>
                <w:kern w:val="1"/>
                <w:sz w:val="24"/>
                <w:szCs w:val="24"/>
                <w:highlight w:val="none"/>
              </w:rPr>
            </w:pPr>
          </w:p>
        </w:tc>
        <w:tc>
          <w:tcPr>
            <w:tcW w:w="1348" w:type="dxa"/>
            <w:noWrap w:val="0"/>
            <w:tcMar>
              <w:top w:w="100" w:type="dxa"/>
              <w:right w:w="100" w:type="dxa"/>
            </w:tcMar>
            <w:vAlign w:val="top"/>
          </w:tcPr>
          <w:p w14:paraId="32EE5D08">
            <w:pPr>
              <w:widowControl/>
              <w:autoSpaceDE w:val="0"/>
              <w:autoSpaceDN w:val="0"/>
              <w:adjustRightInd w:val="0"/>
              <w:spacing w:before="120"/>
              <w:ind w:left="43"/>
              <w:rPr>
                <w:rFonts w:ascii="仿宋" w:hAnsi="仿宋" w:eastAsia="仿宋"/>
                <w:color w:val="auto"/>
                <w:kern w:val="1"/>
                <w:sz w:val="24"/>
                <w:szCs w:val="24"/>
                <w:highlight w:val="none"/>
              </w:rPr>
            </w:pPr>
          </w:p>
        </w:tc>
        <w:tc>
          <w:tcPr>
            <w:tcW w:w="2763" w:type="dxa"/>
            <w:noWrap w:val="0"/>
            <w:tcMar>
              <w:top w:w="100" w:type="dxa"/>
              <w:right w:w="100" w:type="dxa"/>
            </w:tcMar>
            <w:vAlign w:val="top"/>
          </w:tcPr>
          <w:p w14:paraId="74FBA677">
            <w:pPr>
              <w:widowControl/>
              <w:autoSpaceDE w:val="0"/>
              <w:autoSpaceDN w:val="0"/>
              <w:adjustRightInd w:val="0"/>
              <w:spacing w:before="120"/>
              <w:ind w:left="43"/>
              <w:rPr>
                <w:rFonts w:ascii="仿宋" w:hAnsi="仿宋" w:eastAsia="仿宋"/>
                <w:color w:val="auto"/>
                <w:kern w:val="1"/>
                <w:sz w:val="24"/>
                <w:szCs w:val="24"/>
                <w:highlight w:val="none"/>
              </w:rPr>
            </w:pPr>
          </w:p>
        </w:tc>
      </w:tr>
      <w:tr w14:paraId="25A6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537" w:type="dxa"/>
            <w:noWrap w:val="0"/>
            <w:tcMar>
              <w:top w:w="100" w:type="dxa"/>
              <w:right w:w="100" w:type="dxa"/>
            </w:tcMar>
            <w:vAlign w:val="center"/>
          </w:tcPr>
          <w:p w14:paraId="1B1C784E">
            <w:pPr>
              <w:widowControl/>
              <w:autoSpaceDE w:val="0"/>
              <w:autoSpaceDN w:val="0"/>
              <w:adjustRightInd w:val="0"/>
              <w:rPr>
                <w:rFonts w:hint="eastAsia" w:ascii="仿宋" w:hAnsi="仿宋" w:eastAsia="仿宋" w:cs="Times New Roman"/>
                <w:color w:val="auto"/>
                <w:sz w:val="24"/>
                <w:szCs w:val="24"/>
                <w:highlight w:val="none"/>
                <w:lang w:val="en-US" w:eastAsia="zh-CN"/>
              </w:rPr>
            </w:pPr>
          </w:p>
        </w:tc>
        <w:tc>
          <w:tcPr>
            <w:tcW w:w="3249" w:type="dxa"/>
            <w:noWrap w:val="0"/>
            <w:tcMar>
              <w:top w:w="100" w:type="dxa"/>
              <w:right w:w="100" w:type="dxa"/>
            </w:tcMar>
            <w:vAlign w:val="top"/>
          </w:tcPr>
          <w:p w14:paraId="56ACE949">
            <w:pPr>
              <w:widowControl/>
              <w:autoSpaceDE w:val="0"/>
              <w:autoSpaceDN w:val="0"/>
              <w:adjustRightInd w:val="0"/>
              <w:spacing w:before="120"/>
              <w:rPr>
                <w:rFonts w:ascii="仿宋" w:hAnsi="仿宋" w:eastAsia="仿宋"/>
                <w:color w:val="auto"/>
                <w:kern w:val="1"/>
                <w:sz w:val="24"/>
                <w:szCs w:val="24"/>
                <w:highlight w:val="none"/>
              </w:rPr>
            </w:pPr>
          </w:p>
        </w:tc>
        <w:tc>
          <w:tcPr>
            <w:tcW w:w="1348" w:type="dxa"/>
            <w:noWrap w:val="0"/>
            <w:tcMar>
              <w:top w:w="100" w:type="dxa"/>
              <w:right w:w="100" w:type="dxa"/>
            </w:tcMar>
            <w:vAlign w:val="top"/>
          </w:tcPr>
          <w:p w14:paraId="76204266">
            <w:pPr>
              <w:widowControl/>
              <w:autoSpaceDE w:val="0"/>
              <w:autoSpaceDN w:val="0"/>
              <w:adjustRightInd w:val="0"/>
              <w:spacing w:before="120"/>
              <w:rPr>
                <w:rFonts w:ascii="仿宋" w:hAnsi="仿宋" w:eastAsia="仿宋"/>
                <w:color w:val="auto"/>
                <w:kern w:val="1"/>
                <w:sz w:val="24"/>
                <w:szCs w:val="24"/>
                <w:highlight w:val="none"/>
              </w:rPr>
            </w:pPr>
          </w:p>
        </w:tc>
        <w:tc>
          <w:tcPr>
            <w:tcW w:w="2763" w:type="dxa"/>
            <w:noWrap w:val="0"/>
            <w:tcMar>
              <w:top w:w="100" w:type="dxa"/>
              <w:right w:w="100" w:type="dxa"/>
            </w:tcMar>
            <w:vAlign w:val="top"/>
          </w:tcPr>
          <w:p w14:paraId="13079DC5">
            <w:pPr>
              <w:widowControl/>
              <w:autoSpaceDE w:val="0"/>
              <w:autoSpaceDN w:val="0"/>
              <w:adjustRightInd w:val="0"/>
              <w:spacing w:before="120"/>
              <w:rPr>
                <w:rFonts w:ascii="仿宋" w:hAnsi="仿宋" w:eastAsia="仿宋"/>
                <w:color w:val="auto"/>
                <w:kern w:val="1"/>
                <w:sz w:val="24"/>
                <w:szCs w:val="24"/>
                <w:highlight w:val="none"/>
              </w:rPr>
            </w:pPr>
          </w:p>
        </w:tc>
      </w:tr>
      <w:tr w14:paraId="3836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537" w:type="dxa"/>
            <w:noWrap w:val="0"/>
            <w:tcMar>
              <w:top w:w="100" w:type="dxa"/>
              <w:right w:w="100" w:type="dxa"/>
            </w:tcMar>
            <w:vAlign w:val="center"/>
          </w:tcPr>
          <w:p w14:paraId="1310F0A0">
            <w:pPr>
              <w:widowControl/>
              <w:autoSpaceDE w:val="0"/>
              <w:autoSpaceDN w:val="0"/>
              <w:adjustRightInd w:val="0"/>
              <w:rPr>
                <w:rFonts w:hint="default" w:ascii="仿宋" w:hAnsi="仿宋" w:eastAsia="仿宋" w:cs="Times New Roman"/>
                <w:color w:val="auto"/>
                <w:sz w:val="24"/>
                <w:szCs w:val="24"/>
                <w:highlight w:val="none"/>
                <w:lang w:val="en-US" w:eastAsia="zh-CN"/>
              </w:rPr>
            </w:pPr>
          </w:p>
        </w:tc>
        <w:tc>
          <w:tcPr>
            <w:tcW w:w="3249" w:type="dxa"/>
            <w:noWrap w:val="0"/>
            <w:tcMar>
              <w:top w:w="100" w:type="dxa"/>
              <w:right w:w="100" w:type="dxa"/>
            </w:tcMar>
            <w:vAlign w:val="top"/>
          </w:tcPr>
          <w:p w14:paraId="1E47B350">
            <w:pPr>
              <w:widowControl/>
              <w:autoSpaceDE w:val="0"/>
              <w:autoSpaceDN w:val="0"/>
              <w:adjustRightInd w:val="0"/>
              <w:spacing w:before="120"/>
              <w:rPr>
                <w:rFonts w:ascii="仿宋" w:hAnsi="仿宋" w:eastAsia="仿宋"/>
                <w:color w:val="auto"/>
                <w:kern w:val="1"/>
                <w:sz w:val="24"/>
                <w:szCs w:val="24"/>
                <w:highlight w:val="none"/>
              </w:rPr>
            </w:pPr>
          </w:p>
        </w:tc>
        <w:tc>
          <w:tcPr>
            <w:tcW w:w="1348" w:type="dxa"/>
            <w:noWrap w:val="0"/>
            <w:tcMar>
              <w:top w:w="100" w:type="dxa"/>
              <w:right w:w="100" w:type="dxa"/>
            </w:tcMar>
            <w:vAlign w:val="top"/>
          </w:tcPr>
          <w:p w14:paraId="5DBE5EF8">
            <w:pPr>
              <w:widowControl/>
              <w:autoSpaceDE w:val="0"/>
              <w:autoSpaceDN w:val="0"/>
              <w:adjustRightInd w:val="0"/>
              <w:spacing w:before="120"/>
              <w:rPr>
                <w:rFonts w:ascii="仿宋" w:hAnsi="仿宋" w:eastAsia="仿宋"/>
                <w:color w:val="auto"/>
                <w:kern w:val="1"/>
                <w:sz w:val="24"/>
                <w:szCs w:val="24"/>
                <w:highlight w:val="none"/>
              </w:rPr>
            </w:pPr>
          </w:p>
        </w:tc>
        <w:tc>
          <w:tcPr>
            <w:tcW w:w="2763" w:type="dxa"/>
            <w:noWrap w:val="0"/>
            <w:tcMar>
              <w:top w:w="100" w:type="dxa"/>
              <w:right w:w="100" w:type="dxa"/>
            </w:tcMar>
            <w:vAlign w:val="top"/>
          </w:tcPr>
          <w:p w14:paraId="00942940">
            <w:pPr>
              <w:widowControl/>
              <w:autoSpaceDE w:val="0"/>
              <w:autoSpaceDN w:val="0"/>
              <w:adjustRightInd w:val="0"/>
              <w:spacing w:before="120"/>
              <w:rPr>
                <w:rFonts w:ascii="仿宋" w:hAnsi="仿宋" w:eastAsia="仿宋"/>
                <w:color w:val="auto"/>
                <w:kern w:val="1"/>
                <w:sz w:val="24"/>
                <w:szCs w:val="24"/>
                <w:highlight w:val="none"/>
              </w:rPr>
            </w:pPr>
          </w:p>
        </w:tc>
      </w:tr>
      <w:tr w14:paraId="5E0D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537" w:type="dxa"/>
            <w:noWrap w:val="0"/>
            <w:tcMar>
              <w:top w:w="100" w:type="dxa"/>
              <w:right w:w="100" w:type="dxa"/>
            </w:tcMar>
            <w:vAlign w:val="center"/>
          </w:tcPr>
          <w:p w14:paraId="0ED46E49">
            <w:pPr>
              <w:widowControl/>
              <w:autoSpaceDE w:val="0"/>
              <w:autoSpaceDN w:val="0"/>
              <w:adjustRightInd w:val="0"/>
              <w:rPr>
                <w:rFonts w:hint="default" w:ascii="仿宋" w:hAnsi="仿宋" w:eastAsia="仿宋" w:cs="Times New Roman"/>
                <w:color w:val="auto"/>
                <w:sz w:val="24"/>
                <w:szCs w:val="24"/>
                <w:highlight w:val="none"/>
                <w:lang w:val="en-US" w:eastAsia="zh-CN"/>
              </w:rPr>
            </w:pPr>
          </w:p>
        </w:tc>
        <w:tc>
          <w:tcPr>
            <w:tcW w:w="3249" w:type="dxa"/>
            <w:noWrap w:val="0"/>
            <w:tcMar>
              <w:top w:w="100" w:type="dxa"/>
              <w:right w:w="100" w:type="dxa"/>
            </w:tcMar>
            <w:vAlign w:val="top"/>
          </w:tcPr>
          <w:p w14:paraId="7FFE4480">
            <w:pPr>
              <w:widowControl/>
              <w:autoSpaceDE w:val="0"/>
              <w:autoSpaceDN w:val="0"/>
              <w:adjustRightInd w:val="0"/>
              <w:spacing w:before="120"/>
              <w:rPr>
                <w:rFonts w:ascii="仿宋" w:hAnsi="仿宋" w:eastAsia="仿宋"/>
                <w:color w:val="auto"/>
                <w:kern w:val="1"/>
                <w:sz w:val="24"/>
                <w:szCs w:val="24"/>
                <w:highlight w:val="none"/>
              </w:rPr>
            </w:pPr>
          </w:p>
        </w:tc>
        <w:tc>
          <w:tcPr>
            <w:tcW w:w="1348" w:type="dxa"/>
            <w:noWrap w:val="0"/>
            <w:tcMar>
              <w:top w:w="100" w:type="dxa"/>
              <w:right w:w="100" w:type="dxa"/>
            </w:tcMar>
            <w:vAlign w:val="top"/>
          </w:tcPr>
          <w:p w14:paraId="75961829">
            <w:pPr>
              <w:widowControl/>
              <w:autoSpaceDE w:val="0"/>
              <w:autoSpaceDN w:val="0"/>
              <w:adjustRightInd w:val="0"/>
              <w:spacing w:before="120"/>
              <w:rPr>
                <w:rFonts w:ascii="仿宋" w:hAnsi="仿宋" w:eastAsia="仿宋"/>
                <w:color w:val="auto"/>
                <w:kern w:val="1"/>
                <w:sz w:val="24"/>
                <w:szCs w:val="24"/>
                <w:highlight w:val="none"/>
              </w:rPr>
            </w:pPr>
          </w:p>
        </w:tc>
        <w:tc>
          <w:tcPr>
            <w:tcW w:w="2763" w:type="dxa"/>
            <w:noWrap w:val="0"/>
            <w:tcMar>
              <w:top w:w="100" w:type="dxa"/>
              <w:right w:w="100" w:type="dxa"/>
            </w:tcMar>
            <w:vAlign w:val="top"/>
          </w:tcPr>
          <w:p w14:paraId="373F38CC">
            <w:pPr>
              <w:widowControl/>
              <w:autoSpaceDE w:val="0"/>
              <w:autoSpaceDN w:val="0"/>
              <w:adjustRightInd w:val="0"/>
              <w:spacing w:before="120"/>
              <w:rPr>
                <w:rFonts w:ascii="仿宋" w:hAnsi="仿宋" w:eastAsia="仿宋"/>
                <w:color w:val="auto"/>
                <w:kern w:val="1"/>
                <w:sz w:val="24"/>
                <w:szCs w:val="24"/>
                <w:highlight w:val="none"/>
              </w:rPr>
            </w:pPr>
          </w:p>
        </w:tc>
      </w:tr>
      <w:tr w14:paraId="7810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537" w:type="dxa"/>
            <w:noWrap w:val="0"/>
            <w:tcMar>
              <w:top w:w="100" w:type="dxa"/>
              <w:right w:w="100" w:type="dxa"/>
            </w:tcMar>
            <w:vAlign w:val="center"/>
          </w:tcPr>
          <w:p w14:paraId="3032F404">
            <w:pPr>
              <w:widowControl/>
              <w:autoSpaceDE w:val="0"/>
              <w:autoSpaceDN w:val="0"/>
              <w:adjustRightInd w:val="0"/>
              <w:rPr>
                <w:rFonts w:hint="default" w:ascii="仿宋" w:hAnsi="仿宋" w:eastAsia="仿宋" w:cs="Times New Roman"/>
                <w:color w:val="auto"/>
                <w:sz w:val="24"/>
                <w:szCs w:val="24"/>
                <w:highlight w:val="none"/>
                <w:lang w:val="en-US" w:eastAsia="zh-CN"/>
              </w:rPr>
            </w:pPr>
          </w:p>
        </w:tc>
        <w:tc>
          <w:tcPr>
            <w:tcW w:w="3249" w:type="dxa"/>
            <w:noWrap w:val="0"/>
            <w:tcMar>
              <w:top w:w="100" w:type="dxa"/>
              <w:right w:w="100" w:type="dxa"/>
            </w:tcMar>
            <w:vAlign w:val="top"/>
          </w:tcPr>
          <w:p w14:paraId="596D9726">
            <w:pPr>
              <w:widowControl/>
              <w:autoSpaceDE w:val="0"/>
              <w:autoSpaceDN w:val="0"/>
              <w:adjustRightInd w:val="0"/>
              <w:spacing w:before="120"/>
              <w:rPr>
                <w:rFonts w:ascii="仿宋" w:hAnsi="仿宋" w:eastAsia="仿宋"/>
                <w:color w:val="auto"/>
                <w:kern w:val="1"/>
                <w:sz w:val="24"/>
                <w:szCs w:val="24"/>
                <w:highlight w:val="none"/>
              </w:rPr>
            </w:pPr>
          </w:p>
        </w:tc>
        <w:tc>
          <w:tcPr>
            <w:tcW w:w="1348" w:type="dxa"/>
            <w:noWrap w:val="0"/>
            <w:tcMar>
              <w:top w:w="100" w:type="dxa"/>
              <w:right w:w="100" w:type="dxa"/>
            </w:tcMar>
            <w:vAlign w:val="top"/>
          </w:tcPr>
          <w:p w14:paraId="2A331989">
            <w:pPr>
              <w:widowControl/>
              <w:autoSpaceDE w:val="0"/>
              <w:autoSpaceDN w:val="0"/>
              <w:adjustRightInd w:val="0"/>
              <w:spacing w:before="120"/>
              <w:rPr>
                <w:rFonts w:ascii="仿宋" w:hAnsi="仿宋" w:eastAsia="仿宋"/>
                <w:color w:val="auto"/>
                <w:kern w:val="1"/>
                <w:sz w:val="24"/>
                <w:szCs w:val="24"/>
                <w:highlight w:val="none"/>
              </w:rPr>
            </w:pPr>
          </w:p>
        </w:tc>
        <w:tc>
          <w:tcPr>
            <w:tcW w:w="2763" w:type="dxa"/>
            <w:noWrap w:val="0"/>
            <w:tcMar>
              <w:top w:w="100" w:type="dxa"/>
              <w:right w:w="100" w:type="dxa"/>
            </w:tcMar>
            <w:vAlign w:val="top"/>
          </w:tcPr>
          <w:p w14:paraId="0E3DAE02">
            <w:pPr>
              <w:widowControl/>
              <w:autoSpaceDE w:val="0"/>
              <w:autoSpaceDN w:val="0"/>
              <w:adjustRightInd w:val="0"/>
              <w:spacing w:before="120"/>
              <w:rPr>
                <w:rFonts w:ascii="仿宋" w:hAnsi="仿宋" w:eastAsia="仿宋"/>
                <w:color w:val="auto"/>
                <w:kern w:val="1"/>
                <w:sz w:val="24"/>
                <w:szCs w:val="24"/>
                <w:highlight w:val="none"/>
              </w:rPr>
            </w:pPr>
          </w:p>
        </w:tc>
      </w:tr>
      <w:tr w14:paraId="69303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537" w:type="dxa"/>
            <w:noWrap w:val="0"/>
            <w:tcMar>
              <w:top w:w="100" w:type="dxa"/>
              <w:right w:w="100" w:type="dxa"/>
            </w:tcMar>
            <w:vAlign w:val="center"/>
          </w:tcPr>
          <w:p w14:paraId="5E23A0E3">
            <w:pPr>
              <w:widowControl/>
              <w:autoSpaceDE w:val="0"/>
              <w:autoSpaceDN w:val="0"/>
              <w:adjustRightInd w:val="0"/>
              <w:rPr>
                <w:rFonts w:hint="default"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w:t>
            </w:r>
          </w:p>
        </w:tc>
        <w:tc>
          <w:tcPr>
            <w:tcW w:w="3249" w:type="dxa"/>
            <w:noWrap w:val="0"/>
            <w:tcMar>
              <w:top w:w="100" w:type="dxa"/>
              <w:right w:w="100" w:type="dxa"/>
            </w:tcMar>
            <w:vAlign w:val="top"/>
          </w:tcPr>
          <w:p w14:paraId="2E2E3287">
            <w:pPr>
              <w:widowControl/>
              <w:autoSpaceDE w:val="0"/>
              <w:autoSpaceDN w:val="0"/>
              <w:adjustRightInd w:val="0"/>
              <w:spacing w:before="120"/>
              <w:rPr>
                <w:rFonts w:ascii="仿宋" w:hAnsi="仿宋" w:eastAsia="仿宋"/>
                <w:color w:val="auto"/>
                <w:kern w:val="1"/>
                <w:sz w:val="24"/>
                <w:szCs w:val="24"/>
                <w:highlight w:val="none"/>
              </w:rPr>
            </w:pPr>
          </w:p>
        </w:tc>
        <w:tc>
          <w:tcPr>
            <w:tcW w:w="1348" w:type="dxa"/>
            <w:noWrap w:val="0"/>
            <w:tcMar>
              <w:top w:w="100" w:type="dxa"/>
              <w:right w:w="100" w:type="dxa"/>
            </w:tcMar>
            <w:vAlign w:val="top"/>
          </w:tcPr>
          <w:p w14:paraId="45AC7C2D">
            <w:pPr>
              <w:widowControl/>
              <w:autoSpaceDE w:val="0"/>
              <w:autoSpaceDN w:val="0"/>
              <w:adjustRightInd w:val="0"/>
              <w:spacing w:before="120"/>
              <w:rPr>
                <w:rFonts w:ascii="仿宋" w:hAnsi="仿宋" w:eastAsia="仿宋"/>
                <w:color w:val="auto"/>
                <w:kern w:val="1"/>
                <w:sz w:val="24"/>
                <w:szCs w:val="24"/>
                <w:highlight w:val="none"/>
              </w:rPr>
            </w:pPr>
          </w:p>
        </w:tc>
        <w:tc>
          <w:tcPr>
            <w:tcW w:w="2763" w:type="dxa"/>
            <w:noWrap w:val="0"/>
            <w:tcMar>
              <w:top w:w="100" w:type="dxa"/>
              <w:right w:w="100" w:type="dxa"/>
            </w:tcMar>
            <w:vAlign w:val="top"/>
          </w:tcPr>
          <w:p w14:paraId="4B8F0477">
            <w:pPr>
              <w:widowControl/>
              <w:autoSpaceDE w:val="0"/>
              <w:autoSpaceDN w:val="0"/>
              <w:adjustRightInd w:val="0"/>
              <w:spacing w:before="120"/>
              <w:rPr>
                <w:rFonts w:ascii="仿宋" w:hAnsi="仿宋" w:eastAsia="仿宋"/>
                <w:color w:val="auto"/>
                <w:kern w:val="1"/>
                <w:sz w:val="24"/>
                <w:szCs w:val="24"/>
                <w:highlight w:val="none"/>
              </w:rPr>
            </w:pPr>
          </w:p>
        </w:tc>
      </w:tr>
    </w:tbl>
    <w:p w14:paraId="6499AEAA">
      <w:pPr>
        <w:widowControl/>
        <w:autoSpaceDE w:val="0"/>
        <w:autoSpaceDN w:val="0"/>
        <w:adjustRightInd w:val="0"/>
        <w:spacing w:line="360" w:lineRule="auto"/>
        <w:ind w:right="-481"/>
        <w:rPr>
          <w:rStyle w:val="46"/>
          <w:rFonts w:hint="eastAsia"/>
          <w:color w:val="auto"/>
          <w:sz w:val="24"/>
          <w:szCs w:val="24"/>
          <w:highlight w:val="none"/>
        </w:rPr>
      </w:pPr>
    </w:p>
    <w:p w14:paraId="720D608E">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投标人名称（盖公章）：</w:t>
      </w:r>
    </w:p>
    <w:p w14:paraId="66C58641">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投标人法定代表人或者被授权代表（签字或盖章）：</w:t>
      </w:r>
    </w:p>
    <w:p w14:paraId="0377A6CC">
      <w:pPr>
        <w:widowControl/>
        <w:autoSpaceDE w:val="0"/>
        <w:autoSpaceDN w:val="0"/>
        <w:adjustRightInd w:val="0"/>
        <w:spacing w:line="360" w:lineRule="auto"/>
        <w:rPr>
          <w:rStyle w:val="46"/>
          <w:color w:val="auto"/>
          <w:sz w:val="24"/>
          <w:szCs w:val="24"/>
          <w:highlight w:val="none"/>
        </w:rPr>
      </w:pPr>
      <w:r>
        <w:rPr>
          <w:rStyle w:val="46"/>
          <w:rFonts w:hint="eastAsia"/>
          <w:color w:val="auto"/>
          <w:sz w:val="24"/>
          <w:szCs w:val="24"/>
          <w:highlight w:val="none"/>
        </w:rPr>
        <w:t>时间：</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年</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r>
        <w:rPr>
          <w:rStyle w:val="46"/>
          <w:rFonts w:hint="eastAsia"/>
          <w:color w:val="auto"/>
          <w:sz w:val="24"/>
          <w:szCs w:val="24"/>
          <w:highlight w:val="none"/>
        </w:rPr>
        <w:t>月</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日</w:t>
      </w:r>
    </w:p>
    <w:p w14:paraId="5168597C">
      <w:pPr>
        <w:widowControl/>
        <w:autoSpaceDE w:val="0"/>
        <w:autoSpaceDN w:val="0"/>
        <w:adjustRightInd w:val="0"/>
        <w:spacing w:line="360" w:lineRule="auto"/>
        <w:rPr>
          <w:rStyle w:val="46"/>
          <w:color w:val="auto"/>
          <w:sz w:val="24"/>
          <w:szCs w:val="24"/>
          <w:highlight w:val="none"/>
        </w:rPr>
      </w:pPr>
      <w:r>
        <w:rPr>
          <w:rFonts w:ascii="仿宋" w:hAnsi="仿宋" w:eastAsia="仿宋"/>
          <w:color w:val="auto"/>
          <w:kern w:val="1"/>
          <w:sz w:val="24"/>
          <w:szCs w:val="24"/>
          <w:highlight w:val="none"/>
        </w:rPr>
        <w:br w:type="page"/>
      </w:r>
      <w:r>
        <w:rPr>
          <w:rStyle w:val="46"/>
          <w:rFonts w:hint="eastAsia"/>
          <w:color w:val="auto"/>
          <w:sz w:val="24"/>
          <w:szCs w:val="24"/>
          <w:highlight w:val="none"/>
        </w:rPr>
        <w:t>附件</w:t>
      </w:r>
      <w:r>
        <w:rPr>
          <w:rStyle w:val="46"/>
          <w:rFonts w:hint="eastAsia" w:eastAsia="仿宋"/>
          <w:color w:val="auto"/>
          <w:sz w:val="24"/>
          <w:szCs w:val="24"/>
          <w:highlight w:val="none"/>
          <w:lang w:val="en-US" w:eastAsia="zh-CN"/>
        </w:rPr>
        <w:t>10</w:t>
      </w:r>
      <w:r>
        <w:rPr>
          <w:rStyle w:val="46"/>
          <w:rFonts w:hint="eastAsia"/>
          <w:color w:val="auto"/>
          <w:sz w:val="24"/>
          <w:szCs w:val="24"/>
          <w:highlight w:val="none"/>
        </w:rPr>
        <w:t>：</w:t>
      </w:r>
      <w:r>
        <w:rPr>
          <w:rStyle w:val="46"/>
          <w:color w:val="auto"/>
          <w:sz w:val="24"/>
          <w:szCs w:val="24"/>
          <w:highlight w:val="none"/>
        </w:rPr>
        <w:t xml:space="preserve">     </w:t>
      </w:r>
    </w:p>
    <w:p w14:paraId="6AE315DF">
      <w:pPr>
        <w:widowControl/>
        <w:autoSpaceDE w:val="0"/>
        <w:autoSpaceDN w:val="0"/>
        <w:adjustRightInd w:val="0"/>
        <w:spacing w:line="360" w:lineRule="auto"/>
        <w:jc w:val="center"/>
        <w:rPr>
          <w:rFonts w:ascii="仿宋" w:hAnsi="仿宋" w:eastAsia="仿宋"/>
          <w:color w:val="auto"/>
          <w:kern w:val="1"/>
          <w:sz w:val="28"/>
          <w:szCs w:val="28"/>
          <w:highlight w:val="none"/>
        </w:rPr>
      </w:pPr>
      <w:r>
        <w:rPr>
          <w:rFonts w:hint="eastAsia" w:ascii="仿宋" w:hAnsi="仿宋" w:eastAsia="仿宋" w:cs="宋体"/>
          <w:color w:val="auto"/>
          <w:kern w:val="1"/>
          <w:sz w:val="28"/>
          <w:szCs w:val="28"/>
          <w:highlight w:val="none"/>
        </w:rPr>
        <w:t>诚信承诺书</w:t>
      </w:r>
    </w:p>
    <w:p w14:paraId="1184BB43">
      <w:pPr>
        <w:widowControl/>
        <w:autoSpaceDE w:val="0"/>
        <w:autoSpaceDN w:val="0"/>
        <w:adjustRightInd w:val="0"/>
        <w:spacing w:line="360" w:lineRule="auto"/>
        <w:rPr>
          <w:rFonts w:ascii="仿宋" w:hAnsi="仿宋" w:eastAsia="仿宋" w:cs="Arial"/>
          <w:b/>
          <w:bCs/>
          <w:color w:val="auto"/>
          <w:kern w:val="1"/>
          <w:sz w:val="24"/>
          <w:szCs w:val="24"/>
          <w:highlight w:val="none"/>
        </w:rPr>
      </w:pPr>
    </w:p>
    <w:p w14:paraId="36DC6C4E">
      <w:pPr>
        <w:widowControl/>
        <w:autoSpaceDE w:val="0"/>
        <w:autoSpaceDN w:val="0"/>
        <w:adjustRightInd w:val="0"/>
        <w:spacing w:line="360" w:lineRule="auto"/>
        <w:rPr>
          <w:rFonts w:ascii="仿宋" w:hAnsi="仿宋" w:eastAsia="仿宋"/>
          <w:color w:val="auto"/>
          <w:kern w:val="1"/>
          <w:sz w:val="24"/>
          <w:szCs w:val="24"/>
          <w:highlight w:val="none"/>
        </w:rPr>
      </w:pPr>
      <w:r>
        <w:rPr>
          <w:rFonts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u w:val="single"/>
        </w:rPr>
        <w:t>（</w:t>
      </w:r>
      <w:r>
        <w:rPr>
          <w:rFonts w:hint="eastAsia" w:ascii="仿宋" w:hAnsi="仿宋" w:eastAsia="仿宋" w:cs="仿宋"/>
          <w:color w:val="auto"/>
          <w:kern w:val="1"/>
          <w:sz w:val="24"/>
          <w:szCs w:val="24"/>
          <w:highlight w:val="none"/>
          <w:u w:val="single"/>
          <w:lang w:eastAsia="zh-CN"/>
        </w:rPr>
        <w:t>采购人</w:t>
      </w:r>
      <w:r>
        <w:rPr>
          <w:rFonts w:hint="eastAsia" w:ascii="仿宋" w:hAnsi="仿宋" w:eastAsia="仿宋" w:cs="仿宋"/>
          <w:color w:val="auto"/>
          <w:kern w:val="1"/>
          <w:sz w:val="24"/>
          <w:szCs w:val="24"/>
          <w:highlight w:val="none"/>
          <w:u w:val="single"/>
        </w:rPr>
        <w:t>）</w:t>
      </w:r>
      <w:r>
        <w:rPr>
          <w:rFonts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rPr>
        <w:t>，</w:t>
      </w:r>
      <w:r>
        <w:rPr>
          <w:rFonts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u w:val="single"/>
        </w:rPr>
        <w:t>（代理机构）</w:t>
      </w:r>
      <w:r>
        <w:rPr>
          <w:rFonts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rPr>
        <w:t>：</w:t>
      </w:r>
    </w:p>
    <w:p w14:paraId="11D3B204">
      <w:pPr>
        <w:widowControl/>
        <w:autoSpaceDE w:val="0"/>
        <w:autoSpaceDN w:val="0"/>
        <w:adjustRightInd w:val="0"/>
        <w:spacing w:line="360" w:lineRule="auto"/>
        <w:ind w:firstLine="480"/>
        <w:rPr>
          <w:rFonts w:ascii="仿宋" w:hAnsi="仿宋" w:eastAsia="仿宋"/>
          <w:color w:val="auto"/>
          <w:kern w:val="1"/>
          <w:sz w:val="24"/>
          <w:szCs w:val="24"/>
          <w:highlight w:val="none"/>
        </w:rPr>
      </w:pPr>
      <w:r>
        <w:rPr>
          <w:rStyle w:val="46"/>
          <w:rFonts w:hint="eastAsia"/>
          <w:color w:val="auto"/>
          <w:sz w:val="24"/>
          <w:szCs w:val="24"/>
          <w:highlight w:val="none"/>
        </w:rPr>
        <w:t>我公司</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（投标人名称）已详细阅读了</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项目（项目编号：</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）招标文件，自愿参加本次投标，现就有关事项做出郑重承诺如下：</w:t>
      </w:r>
    </w:p>
    <w:p w14:paraId="61E30721">
      <w:pPr>
        <w:widowControl/>
        <w:autoSpaceDE w:val="0"/>
        <w:autoSpaceDN w:val="0"/>
        <w:adjustRightInd w:val="0"/>
        <w:spacing w:line="360" w:lineRule="auto"/>
        <w:ind w:firstLine="480"/>
        <w:rPr>
          <w:rStyle w:val="46"/>
          <w:color w:val="auto"/>
          <w:sz w:val="24"/>
          <w:szCs w:val="24"/>
          <w:highlight w:val="none"/>
        </w:rPr>
      </w:pPr>
      <w:r>
        <w:rPr>
          <w:rStyle w:val="46"/>
          <w:rFonts w:hint="eastAsia"/>
          <w:color w:val="auto"/>
          <w:sz w:val="24"/>
          <w:szCs w:val="24"/>
          <w:highlight w:val="none"/>
        </w:rPr>
        <w:t>一、诚信投标，材料真实。我公司保证所提供的全部材料、投标内容均真实、合法、有效，保证不出借或者借用其他企业资质，不以他人名义投标，不弄虚作假；</w:t>
      </w:r>
    </w:p>
    <w:p w14:paraId="360DC00B">
      <w:pPr>
        <w:widowControl/>
        <w:autoSpaceDE w:val="0"/>
        <w:autoSpaceDN w:val="0"/>
        <w:adjustRightInd w:val="0"/>
        <w:spacing w:line="360" w:lineRule="auto"/>
        <w:ind w:firstLine="480"/>
        <w:rPr>
          <w:rFonts w:ascii="仿宋" w:hAnsi="仿宋" w:eastAsia="仿宋"/>
          <w:color w:val="auto"/>
          <w:kern w:val="1"/>
          <w:sz w:val="24"/>
          <w:szCs w:val="24"/>
          <w:highlight w:val="none"/>
        </w:rPr>
      </w:pPr>
      <w:r>
        <w:rPr>
          <w:rStyle w:val="46"/>
          <w:rFonts w:hint="eastAsia"/>
          <w:color w:val="auto"/>
          <w:sz w:val="24"/>
          <w:szCs w:val="24"/>
          <w:highlight w:val="none"/>
        </w:rPr>
        <w:t>二、遵纪守法，公平竞争。不与其他投标人相互串通、</w:t>
      </w:r>
      <w:r>
        <w:rPr>
          <w:rFonts w:hint="eastAsia" w:ascii="仿宋" w:hAnsi="仿宋" w:eastAsia="仿宋" w:cs="仿宋"/>
          <w:color w:val="auto"/>
          <w:kern w:val="0"/>
          <w:sz w:val="24"/>
          <w:szCs w:val="24"/>
          <w:highlight w:val="none"/>
        </w:rPr>
        <w:t>哄抬价格，</w:t>
      </w:r>
      <w:r>
        <w:rPr>
          <w:rStyle w:val="46"/>
          <w:rFonts w:hint="eastAsia"/>
          <w:color w:val="auto"/>
          <w:sz w:val="24"/>
          <w:szCs w:val="24"/>
          <w:highlight w:val="none"/>
        </w:rPr>
        <w:t>不排挤其他投标人，不损害</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的合法权益；不向评标委员会、</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提供利益以牟取中标。</w:t>
      </w:r>
    </w:p>
    <w:p w14:paraId="74B09E3A">
      <w:pPr>
        <w:widowControl/>
        <w:autoSpaceDE w:val="0"/>
        <w:autoSpaceDN w:val="0"/>
        <w:adjustRightInd w:val="0"/>
        <w:spacing w:line="360" w:lineRule="auto"/>
        <w:ind w:firstLine="480"/>
        <w:rPr>
          <w:rFonts w:ascii="仿宋" w:hAnsi="仿宋" w:eastAsia="仿宋"/>
          <w:color w:val="auto"/>
          <w:kern w:val="1"/>
          <w:sz w:val="24"/>
          <w:szCs w:val="24"/>
          <w:highlight w:val="none"/>
        </w:rPr>
      </w:pPr>
      <w:r>
        <w:rPr>
          <w:rFonts w:hint="eastAsia" w:ascii="仿宋" w:hAnsi="仿宋" w:eastAsia="仿宋" w:cs="仿宋"/>
          <w:color w:val="auto"/>
          <w:kern w:val="0"/>
          <w:sz w:val="24"/>
          <w:szCs w:val="24"/>
          <w:highlight w:val="none"/>
        </w:rPr>
        <w:t>三、若中标后，将按照规定及时与</w:t>
      </w:r>
      <w:r>
        <w:rPr>
          <w:rFonts w:hint="eastAsia" w:ascii="仿宋" w:hAnsi="仿宋" w:eastAsia="仿宋" w:cs="仿宋"/>
          <w:color w:val="auto"/>
          <w:kern w:val="0"/>
          <w:sz w:val="24"/>
          <w:szCs w:val="24"/>
          <w:highlight w:val="none"/>
          <w:lang w:eastAsia="zh-CN"/>
        </w:rPr>
        <w:t>采购人</w:t>
      </w:r>
      <w:r>
        <w:rPr>
          <w:rFonts w:hint="eastAsia" w:ascii="仿宋" w:hAnsi="仿宋" w:eastAsia="仿宋" w:cs="仿宋"/>
          <w:color w:val="auto"/>
          <w:kern w:val="0"/>
          <w:sz w:val="24"/>
          <w:szCs w:val="24"/>
          <w:highlight w:val="none"/>
        </w:rPr>
        <w:t>签订采购合同，不与</w:t>
      </w:r>
      <w:r>
        <w:rPr>
          <w:rFonts w:hint="eastAsia" w:ascii="仿宋" w:hAnsi="仿宋" w:eastAsia="仿宋" w:cs="仿宋"/>
          <w:color w:val="auto"/>
          <w:kern w:val="0"/>
          <w:sz w:val="24"/>
          <w:szCs w:val="24"/>
          <w:highlight w:val="none"/>
          <w:lang w:eastAsia="zh-CN"/>
        </w:rPr>
        <w:t>采购人</w:t>
      </w:r>
      <w:r>
        <w:rPr>
          <w:rFonts w:hint="eastAsia" w:ascii="仿宋" w:hAnsi="仿宋" w:eastAsia="仿宋" w:cs="仿宋"/>
          <w:color w:val="auto"/>
          <w:kern w:val="0"/>
          <w:sz w:val="24"/>
          <w:szCs w:val="24"/>
          <w:highlight w:val="none"/>
        </w:rPr>
        <w:t>订立有悖于采购结果的合同或协议；严格履行合同，不降低合同约定的产品质量和服务，不擅自变更、中止、终止合同，或者拒绝履行合同义务；</w:t>
      </w:r>
    </w:p>
    <w:p w14:paraId="77840311">
      <w:pPr>
        <w:widowControl/>
        <w:autoSpaceDE w:val="0"/>
        <w:autoSpaceDN w:val="0"/>
        <w:adjustRightInd w:val="0"/>
        <w:spacing w:line="360" w:lineRule="auto"/>
        <w:ind w:firstLine="480"/>
        <w:rPr>
          <w:rStyle w:val="46"/>
          <w:color w:val="auto"/>
          <w:sz w:val="24"/>
          <w:szCs w:val="24"/>
          <w:highlight w:val="none"/>
        </w:rPr>
      </w:pPr>
      <w:r>
        <w:rPr>
          <w:rStyle w:val="46"/>
          <w:rFonts w:hint="eastAsia"/>
          <w:color w:val="auto"/>
          <w:sz w:val="24"/>
          <w:szCs w:val="24"/>
          <w:highlight w:val="none"/>
        </w:rPr>
        <w:t>若有违反以上承诺内容的行为，我公司自愿接受取消投标资格、记入信用档案、没收投标保证金、等处罚；如已中标的，自动放弃中标资格，并承担全部法律责任；给</w:t>
      </w:r>
      <w:r>
        <w:rPr>
          <w:rStyle w:val="46"/>
          <w:rFonts w:hint="eastAsia" w:eastAsia="仿宋"/>
          <w:color w:val="auto"/>
          <w:sz w:val="24"/>
          <w:szCs w:val="24"/>
          <w:highlight w:val="none"/>
          <w:lang w:eastAsia="zh-CN"/>
        </w:rPr>
        <w:t>采购人</w:t>
      </w:r>
      <w:r>
        <w:rPr>
          <w:rStyle w:val="46"/>
          <w:rFonts w:hint="eastAsia"/>
          <w:color w:val="auto"/>
          <w:sz w:val="24"/>
          <w:szCs w:val="24"/>
          <w:highlight w:val="none"/>
        </w:rPr>
        <w:t>造成损失的，依法承担赔偿责任。</w:t>
      </w:r>
    </w:p>
    <w:p w14:paraId="68F42AE6">
      <w:pPr>
        <w:widowControl/>
        <w:autoSpaceDE w:val="0"/>
        <w:autoSpaceDN w:val="0"/>
        <w:adjustRightInd w:val="0"/>
        <w:spacing w:line="360" w:lineRule="auto"/>
        <w:ind w:right="-481" w:firstLine="420"/>
        <w:rPr>
          <w:rFonts w:ascii="仿宋" w:hAnsi="仿宋" w:eastAsia="仿宋"/>
          <w:color w:val="auto"/>
          <w:kern w:val="1"/>
          <w:sz w:val="24"/>
          <w:szCs w:val="24"/>
          <w:highlight w:val="none"/>
        </w:rPr>
      </w:pPr>
    </w:p>
    <w:p w14:paraId="64E76F48">
      <w:pPr>
        <w:widowControl/>
        <w:autoSpaceDE w:val="0"/>
        <w:autoSpaceDN w:val="0"/>
        <w:adjustRightInd w:val="0"/>
        <w:spacing w:line="360" w:lineRule="auto"/>
        <w:ind w:right="-481"/>
        <w:rPr>
          <w:rFonts w:ascii="仿宋" w:hAnsi="仿宋" w:eastAsia="仿宋"/>
          <w:color w:val="auto"/>
          <w:kern w:val="1"/>
          <w:sz w:val="24"/>
          <w:szCs w:val="24"/>
          <w:highlight w:val="none"/>
        </w:rPr>
      </w:pPr>
    </w:p>
    <w:p w14:paraId="6E41588C">
      <w:pPr>
        <w:widowControl/>
        <w:autoSpaceDE w:val="0"/>
        <w:autoSpaceDN w:val="0"/>
        <w:adjustRightInd w:val="0"/>
        <w:spacing w:line="360" w:lineRule="auto"/>
        <w:ind w:right="-481"/>
        <w:rPr>
          <w:rFonts w:ascii="仿宋" w:hAnsi="仿宋" w:eastAsia="仿宋"/>
          <w:color w:val="auto"/>
          <w:kern w:val="1"/>
          <w:sz w:val="24"/>
          <w:szCs w:val="24"/>
          <w:highlight w:val="none"/>
        </w:rPr>
      </w:pPr>
    </w:p>
    <w:p w14:paraId="360314A6">
      <w:pPr>
        <w:widowControl/>
        <w:autoSpaceDE w:val="0"/>
        <w:autoSpaceDN w:val="0"/>
        <w:adjustRightInd w:val="0"/>
        <w:spacing w:line="360" w:lineRule="auto"/>
        <w:ind w:right="-481"/>
        <w:rPr>
          <w:rFonts w:ascii="仿宋" w:hAnsi="仿宋" w:eastAsia="仿宋"/>
          <w:color w:val="auto"/>
          <w:kern w:val="1"/>
          <w:sz w:val="24"/>
          <w:szCs w:val="24"/>
          <w:highlight w:val="none"/>
        </w:rPr>
      </w:pPr>
    </w:p>
    <w:p w14:paraId="7E31D3AC">
      <w:pPr>
        <w:widowControl/>
        <w:autoSpaceDE w:val="0"/>
        <w:autoSpaceDN w:val="0"/>
        <w:adjustRightInd w:val="0"/>
        <w:spacing w:line="360" w:lineRule="auto"/>
        <w:ind w:right="-481"/>
        <w:jc w:val="center"/>
        <w:rPr>
          <w:rStyle w:val="46"/>
          <w:color w:val="auto"/>
          <w:sz w:val="24"/>
          <w:szCs w:val="24"/>
          <w:highlight w:val="none"/>
        </w:rPr>
      </w:pPr>
      <w:r>
        <w:rPr>
          <w:rStyle w:val="46"/>
          <w:color w:val="auto"/>
          <w:sz w:val="24"/>
          <w:szCs w:val="24"/>
          <w:highlight w:val="none"/>
        </w:rPr>
        <w:t xml:space="preserve">                       </w:t>
      </w:r>
      <w:r>
        <w:rPr>
          <w:rStyle w:val="46"/>
          <w:rFonts w:hint="eastAsia"/>
          <w:color w:val="auto"/>
          <w:sz w:val="24"/>
          <w:szCs w:val="24"/>
          <w:highlight w:val="none"/>
        </w:rPr>
        <w:t>投标人名称</w:t>
      </w:r>
      <w:r>
        <w:rPr>
          <w:rStyle w:val="46"/>
          <w:color w:val="auto"/>
          <w:sz w:val="24"/>
          <w:szCs w:val="24"/>
          <w:highlight w:val="none"/>
        </w:rPr>
        <w:t>(</w:t>
      </w:r>
      <w:r>
        <w:rPr>
          <w:rStyle w:val="46"/>
          <w:rFonts w:hint="eastAsia"/>
          <w:color w:val="auto"/>
          <w:sz w:val="24"/>
          <w:szCs w:val="24"/>
          <w:highlight w:val="none"/>
        </w:rPr>
        <w:t>盖公章</w:t>
      </w:r>
      <w:r>
        <w:rPr>
          <w:rStyle w:val="46"/>
          <w:color w:val="auto"/>
          <w:sz w:val="24"/>
          <w:szCs w:val="24"/>
          <w:highlight w:val="none"/>
        </w:rPr>
        <w:t>)</w:t>
      </w:r>
      <w:r>
        <w:rPr>
          <w:rStyle w:val="46"/>
          <w:rFonts w:hint="eastAsia"/>
          <w:color w:val="auto"/>
          <w:sz w:val="24"/>
          <w:szCs w:val="24"/>
          <w:highlight w:val="none"/>
        </w:rPr>
        <w:t>：</w:t>
      </w:r>
    </w:p>
    <w:p w14:paraId="6B01B15C">
      <w:pPr>
        <w:widowControl/>
        <w:autoSpaceDE w:val="0"/>
        <w:autoSpaceDN w:val="0"/>
        <w:adjustRightInd w:val="0"/>
        <w:spacing w:line="360" w:lineRule="auto"/>
        <w:ind w:right="-481"/>
        <w:jc w:val="center"/>
        <w:rPr>
          <w:rStyle w:val="46"/>
          <w:color w:val="auto"/>
          <w:sz w:val="24"/>
          <w:szCs w:val="24"/>
          <w:highlight w:val="none"/>
        </w:rPr>
      </w:pPr>
      <w:r>
        <w:rPr>
          <w:rStyle w:val="46"/>
          <w:color w:val="auto"/>
          <w:sz w:val="24"/>
          <w:szCs w:val="24"/>
          <w:highlight w:val="none"/>
        </w:rPr>
        <w:t xml:space="preserve">                       </w:t>
      </w:r>
      <w:r>
        <w:rPr>
          <w:rStyle w:val="46"/>
          <w:rFonts w:hint="eastAsia"/>
          <w:color w:val="auto"/>
          <w:sz w:val="24"/>
          <w:szCs w:val="24"/>
          <w:highlight w:val="none"/>
        </w:rPr>
        <w:t>法定代表人（签字或盖章）：</w:t>
      </w:r>
    </w:p>
    <w:p w14:paraId="4A96DC35">
      <w:pPr>
        <w:widowControl/>
        <w:autoSpaceDE w:val="0"/>
        <w:autoSpaceDN w:val="0"/>
        <w:adjustRightInd w:val="0"/>
        <w:spacing w:line="360" w:lineRule="auto"/>
        <w:ind w:right="-481" w:firstLine="720"/>
        <w:jc w:val="center"/>
        <w:rPr>
          <w:rStyle w:val="46"/>
          <w:color w:val="auto"/>
          <w:sz w:val="24"/>
          <w:szCs w:val="24"/>
          <w:highlight w:val="none"/>
        </w:rPr>
      </w:pPr>
      <w:r>
        <w:rPr>
          <w:rStyle w:val="46"/>
          <w:color w:val="auto"/>
          <w:sz w:val="24"/>
          <w:szCs w:val="24"/>
          <w:highlight w:val="none"/>
        </w:rPr>
        <w:t xml:space="preserve">                 </w:t>
      </w:r>
      <w:r>
        <w:rPr>
          <w:rStyle w:val="46"/>
          <w:rFonts w:hint="eastAsia"/>
          <w:color w:val="auto"/>
          <w:sz w:val="24"/>
          <w:szCs w:val="24"/>
          <w:highlight w:val="none"/>
        </w:rPr>
        <w:t>年</w:t>
      </w:r>
      <w:r>
        <w:rPr>
          <w:rStyle w:val="46"/>
          <w:color w:val="auto"/>
          <w:sz w:val="24"/>
          <w:szCs w:val="24"/>
          <w:highlight w:val="none"/>
        </w:rPr>
        <w:t xml:space="preserve">   </w:t>
      </w:r>
      <w:r>
        <w:rPr>
          <w:rStyle w:val="46"/>
          <w:rFonts w:hint="eastAsia"/>
          <w:color w:val="auto"/>
          <w:sz w:val="24"/>
          <w:szCs w:val="24"/>
          <w:highlight w:val="none"/>
        </w:rPr>
        <w:t>月</w:t>
      </w:r>
      <w:r>
        <w:rPr>
          <w:rStyle w:val="46"/>
          <w:color w:val="auto"/>
          <w:sz w:val="24"/>
          <w:szCs w:val="24"/>
          <w:highlight w:val="none"/>
        </w:rPr>
        <w:t xml:space="preserve">   </w:t>
      </w:r>
      <w:r>
        <w:rPr>
          <w:rStyle w:val="46"/>
          <w:rFonts w:hint="eastAsia"/>
          <w:color w:val="auto"/>
          <w:sz w:val="24"/>
          <w:szCs w:val="24"/>
          <w:highlight w:val="none"/>
        </w:rPr>
        <w:t>日</w:t>
      </w:r>
    </w:p>
    <w:p w14:paraId="51675376">
      <w:pPr>
        <w:widowControl/>
        <w:autoSpaceDE w:val="0"/>
        <w:autoSpaceDN w:val="0"/>
        <w:adjustRightInd w:val="0"/>
        <w:spacing w:line="360" w:lineRule="auto"/>
        <w:rPr>
          <w:rFonts w:ascii="仿宋" w:hAnsi="仿宋" w:eastAsia="仿宋"/>
          <w:color w:val="auto"/>
          <w:kern w:val="1"/>
          <w:sz w:val="24"/>
          <w:szCs w:val="24"/>
          <w:highlight w:val="none"/>
        </w:rPr>
      </w:pPr>
    </w:p>
    <w:p w14:paraId="5B3CCCA1">
      <w:pPr>
        <w:widowControl/>
        <w:autoSpaceDE w:val="0"/>
        <w:autoSpaceDN w:val="0"/>
        <w:adjustRightInd w:val="0"/>
        <w:spacing w:line="360" w:lineRule="auto"/>
        <w:rPr>
          <w:rFonts w:ascii="仿宋" w:hAnsi="仿宋" w:eastAsia="仿宋"/>
          <w:b/>
          <w:bCs/>
          <w:color w:val="auto"/>
          <w:kern w:val="1"/>
          <w:szCs w:val="21"/>
          <w:highlight w:val="none"/>
        </w:rPr>
      </w:pPr>
    </w:p>
    <w:p w14:paraId="2FAA0F02">
      <w:pPr>
        <w:widowControl/>
        <w:autoSpaceDE w:val="0"/>
        <w:autoSpaceDN w:val="0"/>
        <w:adjustRightInd w:val="0"/>
        <w:spacing w:line="440" w:lineRule="exact"/>
        <w:rPr>
          <w:rFonts w:ascii="仿宋" w:hAnsi="仿宋" w:eastAsia="仿宋"/>
          <w:color w:val="auto"/>
          <w:kern w:val="1"/>
          <w:sz w:val="24"/>
          <w:highlight w:val="none"/>
        </w:rPr>
      </w:pPr>
      <w:r>
        <w:rPr>
          <w:rFonts w:ascii="仿宋" w:hAnsi="仿宋" w:eastAsia="仿宋"/>
          <w:color w:val="auto"/>
          <w:kern w:val="1"/>
          <w:highlight w:val="none"/>
        </w:rPr>
        <w:br w:type="page"/>
      </w:r>
      <w:r>
        <w:rPr>
          <w:rFonts w:hint="eastAsia" w:ascii="仿宋" w:hAnsi="仿宋" w:eastAsia="仿宋"/>
          <w:color w:val="auto"/>
          <w:kern w:val="1"/>
          <w:sz w:val="24"/>
          <w:highlight w:val="none"/>
        </w:rPr>
        <w:t>附件</w:t>
      </w:r>
      <w:r>
        <w:rPr>
          <w:rFonts w:ascii="仿宋" w:hAnsi="仿宋" w:eastAsia="仿宋"/>
          <w:color w:val="auto"/>
          <w:kern w:val="1"/>
          <w:sz w:val="24"/>
          <w:highlight w:val="none"/>
        </w:rPr>
        <w:t>1</w:t>
      </w:r>
      <w:r>
        <w:rPr>
          <w:rFonts w:hint="eastAsia" w:ascii="仿宋" w:hAnsi="仿宋" w:eastAsia="仿宋"/>
          <w:color w:val="auto"/>
          <w:kern w:val="1"/>
          <w:sz w:val="24"/>
          <w:highlight w:val="none"/>
          <w:lang w:val="en-US" w:eastAsia="zh-CN"/>
        </w:rPr>
        <w:t>1</w:t>
      </w:r>
      <w:r>
        <w:rPr>
          <w:rFonts w:hint="eastAsia" w:ascii="仿宋" w:hAnsi="仿宋" w:eastAsia="仿宋"/>
          <w:color w:val="auto"/>
          <w:kern w:val="1"/>
          <w:sz w:val="24"/>
          <w:highlight w:val="none"/>
        </w:rPr>
        <w:t>：</w:t>
      </w:r>
    </w:p>
    <w:p w14:paraId="6E8F1E41">
      <w:pPr>
        <w:spacing w:line="588" w:lineRule="exact"/>
        <w:jc w:val="center"/>
        <w:rPr>
          <w:rFonts w:ascii="仿宋" w:hAnsi="仿宋" w:eastAsia="仿宋"/>
          <w:color w:val="auto"/>
          <w:spacing w:val="6"/>
          <w:sz w:val="28"/>
          <w:szCs w:val="28"/>
          <w:highlight w:val="none"/>
        </w:rPr>
      </w:pPr>
      <w:r>
        <w:rPr>
          <w:rFonts w:hint="eastAsia" w:ascii="仿宋" w:hAnsi="仿宋" w:eastAsia="仿宋"/>
          <w:color w:val="auto"/>
          <w:spacing w:val="6"/>
          <w:sz w:val="28"/>
          <w:szCs w:val="28"/>
          <w:highlight w:val="none"/>
        </w:rPr>
        <w:t>残疾人福利性单位声明函</w:t>
      </w:r>
    </w:p>
    <w:p w14:paraId="35BD2106">
      <w:pPr>
        <w:spacing w:line="588" w:lineRule="exact"/>
        <w:rPr>
          <w:rFonts w:ascii="宋体" w:hAnsi="宋体"/>
          <w:b/>
          <w:color w:val="auto"/>
          <w:spacing w:val="6"/>
          <w:sz w:val="30"/>
          <w:szCs w:val="30"/>
          <w:highlight w:val="none"/>
        </w:rPr>
      </w:pPr>
    </w:p>
    <w:p w14:paraId="62CD9EA3">
      <w:pPr>
        <w:spacing w:line="588" w:lineRule="exact"/>
        <w:ind w:firstLine="504" w:firstLineChars="200"/>
        <w:rPr>
          <w:rFonts w:ascii="仿宋" w:hAnsi="仿宋" w:eastAsia="仿宋"/>
          <w:color w:val="auto"/>
          <w:spacing w:val="6"/>
          <w:sz w:val="24"/>
          <w:highlight w:val="none"/>
        </w:rPr>
      </w:pPr>
      <w:r>
        <w:rPr>
          <w:rFonts w:hint="eastAsia" w:ascii="仿宋" w:hAnsi="仿宋" w:eastAsia="仿宋"/>
          <w:color w:val="auto"/>
          <w:spacing w:val="6"/>
          <w:sz w:val="24"/>
          <w:highlight w:val="none"/>
        </w:rPr>
        <w:t>本单位郑重声明，根据《财政部 民政部 中国残疾人联合会关于促进残疾人就业政府采购政策的通知》（财库</w:t>
      </w:r>
      <w:r>
        <w:rPr>
          <w:rFonts w:hint="eastAsia" w:ascii="仿宋" w:hAnsi="仿宋" w:eastAsia="仿宋"/>
          <w:color w:val="auto"/>
          <w:sz w:val="24"/>
          <w:highlight w:val="none"/>
        </w:rPr>
        <w:t>〔2017〕 141</w:t>
      </w:r>
      <w:r>
        <w:rPr>
          <w:rFonts w:hint="eastAsia" w:ascii="仿宋" w:hAnsi="仿宋" w:eastAsia="仿宋"/>
          <w:color w:val="auto"/>
          <w:spacing w:val="6"/>
          <w:sz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484A39A">
      <w:pPr>
        <w:spacing w:line="588" w:lineRule="exact"/>
        <w:ind w:firstLine="504" w:firstLineChars="200"/>
        <w:rPr>
          <w:rFonts w:ascii="仿宋" w:hAnsi="仿宋" w:eastAsia="仿宋"/>
          <w:color w:val="auto"/>
          <w:spacing w:val="6"/>
          <w:sz w:val="24"/>
          <w:highlight w:val="none"/>
        </w:rPr>
      </w:pPr>
      <w:r>
        <w:rPr>
          <w:rFonts w:hint="eastAsia" w:ascii="仿宋" w:hAnsi="仿宋" w:eastAsia="仿宋"/>
          <w:color w:val="auto"/>
          <w:spacing w:val="6"/>
          <w:sz w:val="24"/>
          <w:highlight w:val="none"/>
        </w:rPr>
        <w:t>本单位对上述声明的真实性负责。如有虚假，将依法承担相应责任。</w:t>
      </w:r>
    </w:p>
    <w:p w14:paraId="48CC1620">
      <w:pPr>
        <w:spacing w:line="588" w:lineRule="exact"/>
        <w:ind w:firstLine="504" w:firstLineChars="200"/>
        <w:rPr>
          <w:rFonts w:ascii="仿宋" w:hAnsi="仿宋" w:eastAsia="仿宋"/>
          <w:color w:val="auto"/>
          <w:spacing w:val="6"/>
          <w:sz w:val="24"/>
          <w:highlight w:val="none"/>
        </w:rPr>
      </w:pPr>
    </w:p>
    <w:p w14:paraId="6291F0C1">
      <w:pPr>
        <w:spacing w:line="588" w:lineRule="exact"/>
        <w:ind w:firstLine="504" w:firstLineChars="200"/>
        <w:rPr>
          <w:rFonts w:ascii="仿宋" w:hAnsi="仿宋" w:eastAsia="仿宋"/>
          <w:color w:val="auto"/>
          <w:spacing w:val="6"/>
          <w:sz w:val="24"/>
          <w:highlight w:val="none"/>
        </w:rPr>
      </w:pPr>
      <w:r>
        <w:rPr>
          <w:rFonts w:hint="eastAsia" w:ascii="仿宋" w:hAnsi="仿宋" w:eastAsia="仿宋"/>
          <w:color w:val="auto"/>
          <w:spacing w:val="6"/>
          <w:sz w:val="24"/>
          <w:highlight w:val="none"/>
        </w:rPr>
        <w:t xml:space="preserve">                         </w:t>
      </w:r>
      <w:r>
        <w:rPr>
          <w:rFonts w:hint="eastAsia" w:ascii="仿宋" w:hAnsi="仿宋" w:eastAsia="仿宋"/>
          <w:color w:val="auto"/>
          <w:kern w:val="1"/>
          <w:sz w:val="24"/>
          <w:highlight w:val="none"/>
        </w:rPr>
        <w:t>投标人名称：</w:t>
      </w:r>
    </w:p>
    <w:p w14:paraId="08F30C7C">
      <w:pPr>
        <w:tabs>
          <w:tab w:val="left" w:pos="4860"/>
        </w:tabs>
        <w:spacing w:line="588" w:lineRule="exact"/>
        <w:ind w:right="1560" w:firstLine="504" w:firstLineChars="200"/>
        <w:jc w:val="center"/>
        <w:rPr>
          <w:rFonts w:ascii="仿宋" w:hAnsi="仿宋" w:eastAsia="仿宋"/>
          <w:color w:val="auto"/>
          <w:spacing w:val="6"/>
          <w:sz w:val="24"/>
          <w:highlight w:val="none"/>
        </w:rPr>
      </w:pPr>
      <w:r>
        <w:rPr>
          <w:rFonts w:hint="eastAsia" w:ascii="仿宋" w:hAnsi="仿宋" w:eastAsia="仿宋"/>
          <w:color w:val="auto"/>
          <w:spacing w:val="6"/>
          <w:sz w:val="24"/>
          <w:highlight w:val="none"/>
        </w:rPr>
        <w:t>日  期：</w:t>
      </w:r>
    </w:p>
    <w:p w14:paraId="2B353726">
      <w:pPr>
        <w:widowControl/>
        <w:autoSpaceDE w:val="0"/>
        <w:autoSpaceDN w:val="0"/>
        <w:adjustRightInd w:val="0"/>
        <w:spacing w:line="440" w:lineRule="exact"/>
        <w:rPr>
          <w:rFonts w:ascii="仿宋" w:hAnsi="仿宋" w:eastAsia="仿宋"/>
          <w:color w:val="auto"/>
          <w:kern w:val="1"/>
          <w:sz w:val="24"/>
          <w:highlight w:val="none"/>
        </w:rPr>
      </w:pPr>
      <w:r>
        <w:rPr>
          <w:rFonts w:ascii="仿宋" w:hAnsi="仿宋" w:eastAsia="仿宋"/>
          <w:color w:val="auto"/>
          <w:kern w:val="1"/>
          <w:sz w:val="24"/>
          <w:highlight w:val="none"/>
        </w:rPr>
        <w:br w:type="page"/>
      </w:r>
      <w:r>
        <w:rPr>
          <w:rFonts w:hint="eastAsia" w:ascii="仿宋" w:hAnsi="仿宋" w:eastAsia="仿宋"/>
          <w:color w:val="auto"/>
          <w:kern w:val="1"/>
          <w:sz w:val="24"/>
          <w:highlight w:val="none"/>
        </w:rPr>
        <w:t>附件</w:t>
      </w:r>
      <w:r>
        <w:rPr>
          <w:rFonts w:ascii="仿宋" w:hAnsi="仿宋" w:eastAsia="仿宋"/>
          <w:color w:val="auto"/>
          <w:kern w:val="1"/>
          <w:sz w:val="24"/>
          <w:highlight w:val="none"/>
        </w:rPr>
        <w:t>1</w:t>
      </w:r>
      <w:r>
        <w:rPr>
          <w:rFonts w:hint="eastAsia" w:ascii="仿宋" w:hAnsi="仿宋" w:eastAsia="仿宋"/>
          <w:color w:val="auto"/>
          <w:kern w:val="1"/>
          <w:sz w:val="24"/>
          <w:highlight w:val="none"/>
          <w:lang w:val="en-US" w:eastAsia="zh-CN"/>
        </w:rPr>
        <w:t>2</w:t>
      </w:r>
      <w:r>
        <w:rPr>
          <w:rFonts w:hint="eastAsia" w:ascii="仿宋" w:hAnsi="仿宋" w:eastAsia="仿宋"/>
          <w:color w:val="auto"/>
          <w:kern w:val="1"/>
          <w:sz w:val="24"/>
          <w:highlight w:val="none"/>
        </w:rPr>
        <w:t>：</w:t>
      </w:r>
    </w:p>
    <w:p w14:paraId="6E9CF1A0">
      <w:pPr>
        <w:spacing w:line="588" w:lineRule="exact"/>
        <w:jc w:val="center"/>
        <w:rPr>
          <w:rFonts w:ascii="仿宋" w:hAnsi="仿宋" w:eastAsia="仿宋"/>
          <w:color w:val="auto"/>
          <w:spacing w:val="6"/>
          <w:sz w:val="28"/>
          <w:szCs w:val="28"/>
          <w:highlight w:val="none"/>
        </w:rPr>
      </w:pPr>
      <w:r>
        <w:rPr>
          <w:rFonts w:ascii="仿宋" w:hAnsi="仿宋" w:eastAsia="仿宋"/>
          <w:color w:val="auto"/>
          <w:spacing w:val="6"/>
          <w:sz w:val="28"/>
          <w:szCs w:val="28"/>
          <w:highlight w:val="none"/>
        </w:rPr>
        <w:t>中小企业声明函（货物）</w:t>
      </w:r>
    </w:p>
    <w:p w14:paraId="7DD63792">
      <w:pPr>
        <w:ind w:firstLine="480" w:firstLineChars="200"/>
        <w:rPr>
          <w:rFonts w:ascii="宋体" w:hAnsi="宋体"/>
          <w:color w:val="auto"/>
          <w:sz w:val="24"/>
          <w:highlight w:val="none"/>
        </w:rPr>
      </w:pPr>
    </w:p>
    <w:p w14:paraId="411FBE5F">
      <w:pPr>
        <w:spacing w:line="588" w:lineRule="exact"/>
        <w:ind w:firstLine="480" w:firstLineChars="200"/>
        <w:rPr>
          <w:rFonts w:ascii="仿宋" w:hAnsi="仿宋" w:eastAsia="仿宋"/>
          <w:color w:val="auto"/>
          <w:sz w:val="24"/>
          <w:highlight w:val="none"/>
        </w:rPr>
      </w:pPr>
      <w:r>
        <w:rPr>
          <w:rFonts w:ascii="仿宋" w:hAnsi="仿宋" w:eastAsia="仿宋" w:cs="仿宋"/>
          <w:color w:val="auto"/>
          <w:sz w:val="24"/>
          <w:highlight w:val="none"/>
        </w:rPr>
        <w:t>本公司（联合体）郑重声明，根据《政府采购促进中小企业发展管理办法》（财库</w:t>
      </w:r>
      <w:r>
        <w:rPr>
          <w:rFonts w:ascii="仿宋" w:hAnsi="仿宋" w:eastAsia="仿宋" w:cs="宋体"/>
          <w:color w:val="auto"/>
          <w:sz w:val="24"/>
          <w:highlight w:val="none"/>
        </w:rPr>
        <w:t>﹝</w:t>
      </w:r>
      <w:r>
        <w:rPr>
          <w:rFonts w:ascii="仿宋" w:hAnsi="仿宋" w:eastAsia="仿宋" w:cs="仿宋"/>
          <w:color w:val="auto"/>
          <w:sz w:val="24"/>
          <w:highlight w:val="none"/>
        </w:rPr>
        <w:t>2020</w:t>
      </w:r>
      <w:r>
        <w:rPr>
          <w:rFonts w:ascii="仿宋" w:hAnsi="仿宋" w:eastAsia="仿宋" w:cs="宋体"/>
          <w:color w:val="auto"/>
          <w:sz w:val="24"/>
          <w:highlight w:val="none"/>
        </w:rPr>
        <w:t>﹞</w:t>
      </w:r>
      <w:r>
        <w:rPr>
          <w:rFonts w:ascii="仿宋" w:hAnsi="仿宋" w:eastAsia="仿宋" w:cs="仿宋"/>
          <w:color w:val="auto"/>
          <w:sz w:val="24"/>
          <w:highlight w:val="none"/>
        </w:rPr>
        <w:t>46 号）的规定，本公司（联合体）参加</w:t>
      </w:r>
      <w:r>
        <w:rPr>
          <w:rFonts w:ascii="仿宋" w:hAnsi="仿宋" w:eastAsia="仿宋" w:cs="仿宋"/>
          <w:color w:val="auto"/>
          <w:sz w:val="24"/>
          <w:highlight w:val="none"/>
          <w:u w:val="single"/>
        </w:rPr>
        <w:t>（单位名称）</w:t>
      </w:r>
      <w:r>
        <w:rPr>
          <w:rFonts w:ascii="仿宋" w:hAnsi="仿宋" w:eastAsia="仿宋" w:cs="仿宋"/>
          <w:color w:val="auto"/>
          <w:sz w:val="24"/>
          <w:highlight w:val="none"/>
        </w:rPr>
        <w:t>的</w:t>
      </w:r>
      <w:r>
        <w:rPr>
          <w:rFonts w:ascii="仿宋" w:hAnsi="仿宋" w:eastAsia="仿宋" w:cs="仿宋"/>
          <w:color w:val="auto"/>
          <w:sz w:val="24"/>
          <w:highlight w:val="none"/>
          <w:u w:val="single"/>
        </w:rPr>
        <w:t>（项目名称）</w:t>
      </w:r>
      <w:r>
        <w:rPr>
          <w:rFonts w:ascii="仿宋" w:hAnsi="仿宋" w:eastAsia="仿宋" w:cs="仿宋"/>
          <w:color w:val="auto"/>
          <w:sz w:val="24"/>
          <w:highlight w:val="none"/>
        </w:rPr>
        <w:t>采购活动，提供的货物全部由符合政策要求的中小企业制造。相关企业（含联合体中的中小企业、签订分包意向协议的中小企业）的具体情况如下：</w:t>
      </w:r>
    </w:p>
    <w:p w14:paraId="4DC67066">
      <w:pPr>
        <w:spacing w:line="588" w:lineRule="exact"/>
        <w:ind w:firstLine="480" w:firstLineChars="200"/>
        <w:rPr>
          <w:rFonts w:hint="eastAsia" w:ascii="仿宋" w:hAnsi="仿宋" w:eastAsia="仿宋"/>
          <w:color w:val="auto"/>
          <w:sz w:val="24"/>
          <w:highlight w:val="none"/>
        </w:rPr>
      </w:pPr>
      <w:r>
        <w:rPr>
          <w:rFonts w:hint="eastAsia" w:ascii="仿宋" w:hAnsi="仿宋" w:eastAsia="仿宋" w:cs="仿宋"/>
          <w:iCs/>
          <w:color w:val="auto"/>
          <w:sz w:val="24"/>
          <w:highlight w:val="none"/>
        </w:rPr>
        <w:t>1</w:t>
      </w:r>
      <w:r>
        <w:rPr>
          <w:rFonts w:ascii="仿宋" w:hAnsi="仿宋" w:eastAsia="仿宋" w:cs="仿宋"/>
          <w:iCs/>
          <w:color w:val="auto"/>
          <w:sz w:val="24"/>
          <w:highlight w:val="none"/>
        </w:rPr>
        <w:t>.</w:t>
      </w:r>
      <w:r>
        <w:rPr>
          <w:rFonts w:ascii="仿宋" w:hAnsi="仿宋" w:eastAsia="仿宋" w:cs="仿宋"/>
          <w:i/>
          <w:color w:val="auto"/>
          <w:sz w:val="24"/>
          <w:highlight w:val="none"/>
        </w:rPr>
        <w:t>（标的名称）</w:t>
      </w:r>
      <w:r>
        <w:rPr>
          <w:rFonts w:ascii="仿宋" w:hAnsi="仿宋" w:eastAsia="仿宋" w:cs="仿宋"/>
          <w:color w:val="auto"/>
          <w:sz w:val="24"/>
          <w:highlight w:val="none"/>
        </w:rPr>
        <w:t xml:space="preserve"> ，属于（</w:t>
      </w:r>
      <w:r>
        <w:rPr>
          <w:rFonts w:ascii="仿宋" w:hAnsi="仿宋" w:eastAsia="仿宋" w:cs="仿宋"/>
          <w:i/>
          <w:color w:val="auto"/>
          <w:sz w:val="24"/>
          <w:highlight w:val="none"/>
        </w:rPr>
        <w:t>采购文件中明确的所属行业</w:t>
      </w:r>
      <w:r>
        <w:rPr>
          <w:rFonts w:ascii="仿宋" w:hAnsi="仿宋" w:eastAsia="仿宋" w:cs="仿宋"/>
          <w:color w:val="auto"/>
          <w:sz w:val="24"/>
          <w:highlight w:val="none"/>
        </w:rPr>
        <w:t>）</w:t>
      </w:r>
      <w:r>
        <w:rPr>
          <w:rFonts w:ascii="仿宋" w:hAnsi="仿宋" w:eastAsia="仿宋" w:cs="仿宋"/>
          <w:color w:val="auto"/>
          <w:sz w:val="24"/>
          <w:highlight w:val="none"/>
          <w:u w:val="single"/>
        </w:rPr>
        <w:t>行业</w:t>
      </w:r>
      <w:r>
        <w:rPr>
          <w:rFonts w:ascii="仿宋" w:hAnsi="仿宋" w:eastAsia="仿宋" w:cs="仿宋"/>
          <w:color w:val="auto"/>
          <w:sz w:val="24"/>
          <w:highlight w:val="none"/>
        </w:rPr>
        <w:t>；制造商为</w:t>
      </w:r>
      <w:r>
        <w:rPr>
          <w:rFonts w:ascii="仿宋" w:hAnsi="仿宋" w:eastAsia="仿宋" w:cs="仿宋"/>
          <w:color w:val="auto"/>
          <w:sz w:val="24"/>
          <w:highlight w:val="none"/>
          <w:u w:val="single"/>
        </w:rPr>
        <w:t>（</w:t>
      </w:r>
      <w:r>
        <w:rPr>
          <w:rFonts w:ascii="仿宋" w:hAnsi="仿宋" w:eastAsia="仿宋" w:cs="仿宋"/>
          <w:i/>
          <w:color w:val="auto"/>
          <w:sz w:val="24"/>
          <w:highlight w:val="none"/>
          <w:u w:val="single"/>
        </w:rPr>
        <w:t>企业名称</w:t>
      </w:r>
      <w:r>
        <w:rPr>
          <w:rFonts w:ascii="仿宋" w:hAnsi="仿宋" w:eastAsia="仿宋" w:cs="仿宋"/>
          <w:color w:val="auto"/>
          <w:sz w:val="24"/>
          <w:highlight w:val="none"/>
          <w:u w:val="single"/>
        </w:rPr>
        <w:t>）</w:t>
      </w:r>
      <w:r>
        <w:rPr>
          <w:rFonts w:ascii="仿宋" w:hAnsi="仿宋" w:eastAsia="仿宋" w:cs="仿宋"/>
          <w:color w:val="auto"/>
          <w:sz w:val="24"/>
          <w:highlight w:val="none"/>
        </w:rPr>
        <w:t>，从业人员</w:t>
      </w:r>
      <w:r>
        <w:rPr>
          <w:rFonts w:ascii="仿宋" w:hAnsi="仿宋" w:eastAsia="仿宋"/>
          <w:color w:val="auto"/>
          <w:sz w:val="24"/>
          <w:highlight w:val="none"/>
          <w:u w:val="single"/>
        </w:rPr>
        <w:tab/>
      </w:r>
      <w:r>
        <w:rPr>
          <w:rFonts w:ascii="仿宋" w:hAnsi="仿宋" w:eastAsia="仿宋"/>
          <w:color w:val="auto"/>
          <w:sz w:val="24"/>
          <w:highlight w:val="none"/>
          <w:u w:val="single"/>
        </w:rPr>
        <w:t xml:space="preserve"> </w:t>
      </w:r>
      <w:r>
        <w:rPr>
          <w:rFonts w:ascii="仿宋" w:hAnsi="仿宋" w:eastAsia="仿宋" w:cs="仿宋"/>
          <w:color w:val="auto"/>
          <w:sz w:val="24"/>
          <w:highlight w:val="none"/>
        </w:rPr>
        <w:t>人，营业</w:t>
      </w:r>
      <w:r>
        <w:rPr>
          <w:rFonts w:hint="eastAsia" w:ascii="仿宋" w:hAnsi="仿宋" w:eastAsia="仿宋" w:cs="仿宋"/>
          <w:color w:val="auto"/>
          <w:sz w:val="24"/>
          <w:highlight w:val="none"/>
        </w:rPr>
        <w:t>收入</w:t>
      </w:r>
      <w:r>
        <w:rPr>
          <w:rFonts w:hint="eastAsia" w:ascii="仿宋" w:hAnsi="仿宋" w:eastAsia="仿宋" w:cs="仿宋"/>
          <w:color w:val="auto"/>
          <w:sz w:val="24"/>
          <w:highlight w:val="none"/>
          <w:u w:val="single"/>
        </w:rPr>
        <w:t xml:space="preserve"> </w:t>
      </w:r>
      <w:r>
        <w:rPr>
          <w:rFonts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ascii="仿宋" w:hAnsi="仿宋" w:eastAsia="仿宋" w:cs="仿宋"/>
          <w:color w:val="auto"/>
          <w:sz w:val="24"/>
          <w:highlight w:val="none"/>
          <w:u w:val="single"/>
        </w:rPr>
        <w:t xml:space="preserve">  </w:t>
      </w:r>
      <w:r>
        <w:rPr>
          <w:rFonts w:ascii="仿宋" w:hAnsi="仿宋" w:eastAsia="仿宋" w:cs="仿宋"/>
          <w:color w:val="auto"/>
          <w:w w:val="96"/>
          <w:sz w:val="24"/>
          <w:highlight w:val="none"/>
        </w:rPr>
        <w:t>万元</w:t>
      </w:r>
      <w:r>
        <w:rPr>
          <w:rFonts w:ascii="仿宋" w:hAnsi="仿宋" w:eastAsia="仿宋"/>
          <w:color w:val="auto"/>
          <w:sz w:val="24"/>
          <w:highlight w:val="none"/>
        </w:rPr>
        <w:fldChar w:fldCharType="begin"/>
      </w:r>
      <w:r>
        <w:rPr>
          <w:rFonts w:ascii="仿宋" w:hAnsi="仿宋" w:eastAsia="仿宋"/>
          <w:color w:val="auto"/>
          <w:sz w:val="24"/>
          <w:highlight w:val="none"/>
        </w:rPr>
        <w:instrText xml:space="preserve"> HYPERLINK \l "page1" </w:instrText>
      </w:r>
      <w:r>
        <w:rPr>
          <w:rFonts w:ascii="仿宋" w:hAnsi="仿宋" w:eastAsia="仿宋"/>
          <w:color w:val="auto"/>
          <w:sz w:val="24"/>
          <w:highlight w:val="none"/>
        </w:rPr>
        <w:fldChar w:fldCharType="separate"/>
      </w:r>
      <w:r>
        <w:rPr>
          <w:rFonts w:ascii="仿宋" w:hAnsi="仿宋" w:eastAsia="仿宋" w:cs="仿宋"/>
          <w:color w:val="auto"/>
          <w:w w:val="96"/>
          <w:sz w:val="24"/>
          <w:highlight w:val="none"/>
          <w:vertAlign w:val="superscript"/>
        </w:rPr>
        <w:t>1</w:t>
      </w:r>
      <w:r>
        <w:rPr>
          <w:rFonts w:ascii="仿宋" w:hAnsi="仿宋" w:eastAsia="仿宋" w:cs="仿宋"/>
          <w:color w:val="auto"/>
          <w:w w:val="96"/>
          <w:sz w:val="24"/>
          <w:highlight w:val="none"/>
          <w:vertAlign w:val="superscript"/>
        </w:rPr>
        <w:fldChar w:fldCharType="end"/>
      </w:r>
      <w:r>
        <w:rPr>
          <w:rFonts w:ascii="仿宋" w:hAnsi="仿宋" w:eastAsia="仿宋" w:cs="仿宋"/>
          <w:color w:val="auto"/>
          <w:w w:val="96"/>
          <w:sz w:val="24"/>
          <w:highlight w:val="none"/>
        </w:rPr>
        <w:t>，属于（</w:t>
      </w:r>
      <w:r>
        <w:rPr>
          <w:rFonts w:ascii="仿宋" w:hAnsi="仿宋" w:eastAsia="仿宋" w:cs="仿宋"/>
          <w:i/>
          <w:color w:val="auto"/>
          <w:w w:val="96"/>
          <w:sz w:val="24"/>
          <w:highlight w:val="none"/>
        </w:rPr>
        <w:t>中型企业</w:t>
      </w:r>
      <w:r>
        <w:rPr>
          <w:rFonts w:ascii="仿宋" w:hAnsi="仿宋" w:eastAsia="仿宋" w:cs="仿宋"/>
          <w:color w:val="auto"/>
          <w:w w:val="96"/>
          <w:sz w:val="24"/>
          <w:highlight w:val="none"/>
        </w:rPr>
        <w:t>、</w:t>
      </w:r>
      <w:r>
        <w:rPr>
          <w:rFonts w:ascii="仿宋" w:hAnsi="仿宋" w:eastAsia="仿宋" w:cs="仿宋"/>
          <w:i/>
          <w:color w:val="auto"/>
          <w:w w:val="96"/>
          <w:sz w:val="24"/>
          <w:highlight w:val="none"/>
        </w:rPr>
        <w:t>小</w:t>
      </w:r>
      <w:r>
        <w:rPr>
          <w:rFonts w:ascii="仿宋" w:hAnsi="仿宋" w:eastAsia="仿宋" w:cs="仿宋"/>
          <w:i/>
          <w:color w:val="auto"/>
          <w:sz w:val="24"/>
          <w:highlight w:val="none"/>
        </w:rPr>
        <w:t>型企业、微型企业</w:t>
      </w:r>
      <w:r>
        <w:rPr>
          <w:rFonts w:ascii="仿宋" w:hAnsi="仿宋" w:eastAsia="仿宋" w:cs="仿宋"/>
          <w:color w:val="auto"/>
          <w:sz w:val="24"/>
          <w:highlight w:val="none"/>
        </w:rPr>
        <w:t>）；</w:t>
      </w:r>
    </w:p>
    <w:p w14:paraId="54DE40DC">
      <w:pPr>
        <w:widowControl/>
        <w:tabs>
          <w:tab w:val="left" w:pos="1440"/>
        </w:tabs>
        <w:spacing w:line="588"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ascii="仿宋" w:hAnsi="仿宋" w:eastAsia="仿宋" w:cs="仿宋"/>
          <w:color w:val="auto"/>
          <w:sz w:val="24"/>
          <w:highlight w:val="none"/>
        </w:rPr>
        <w:t>.（</w:t>
      </w:r>
      <w:r>
        <w:rPr>
          <w:rFonts w:ascii="仿宋" w:hAnsi="仿宋" w:eastAsia="仿宋" w:cs="仿宋"/>
          <w:i/>
          <w:color w:val="auto"/>
          <w:sz w:val="24"/>
          <w:highlight w:val="none"/>
        </w:rPr>
        <w:t>标的名称</w:t>
      </w:r>
      <w:r>
        <w:rPr>
          <w:rFonts w:ascii="仿宋" w:hAnsi="仿宋" w:eastAsia="仿宋" w:cs="仿宋"/>
          <w:color w:val="auto"/>
          <w:sz w:val="24"/>
          <w:highlight w:val="none"/>
        </w:rPr>
        <w:t>） ，属于（</w:t>
      </w:r>
      <w:r>
        <w:rPr>
          <w:rFonts w:ascii="仿宋" w:hAnsi="仿宋" w:eastAsia="仿宋" w:cs="仿宋"/>
          <w:i/>
          <w:color w:val="auto"/>
          <w:sz w:val="24"/>
          <w:highlight w:val="none"/>
        </w:rPr>
        <w:t>采购文件中明确的所属行业</w:t>
      </w:r>
      <w:r>
        <w:rPr>
          <w:rFonts w:ascii="仿宋" w:hAnsi="仿宋" w:eastAsia="仿宋" w:cs="仿宋"/>
          <w:color w:val="auto"/>
          <w:sz w:val="24"/>
          <w:highlight w:val="none"/>
        </w:rPr>
        <w:t>）</w:t>
      </w:r>
      <w:r>
        <w:rPr>
          <w:rFonts w:ascii="仿宋" w:hAnsi="仿宋" w:eastAsia="仿宋" w:cs="仿宋"/>
          <w:color w:val="auto"/>
          <w:sz w:val="24"/>
          <w:highlight w:val="none"/>
          <w:u w:val="single"/>
        </w:rPr>
        <w:t>行业</w:t>
      </w:r>
      <w:r>
        <w:rPr>
          <w:rFonts w:ascii="仿宋" w:hAnsi="仿宋" w:eastAsia="仿宋" w:cs="仿宋"/>
          <w:color w:val="auto"/>
          <w:sz w:val="24"/>
          <w:highlight w:val="none"/>
        </w:rPr>
        <w:t>；制造商为</w:t>
      </w:r>
      <w:r>
        <w:rPr>
          <w:rFonts w:ascii="仿宋" w:hAnsi="仿宋" w:eastAsia="仿宋" w:cs="仿宋"/>
          <w:color w:val="auto"/>
          <w:sz w:val="24"/>
          <w:highlight w:val="none"/>
          <w:u w:val="single"/>
        </w:rPr>
        <w:t>（</w:t>
      </w:r>
      <w:r>
        <w:rPr>
          <w:rFonts w:ascii="仿宋" w:hAnsi="仿宋" w:eastAsia="仿宋" w:cs="仿宋"/>
          <w:i/>
          <w:color w:val="auto"/>
          <w:sz w:val="24"/>
          <w:highlight w:val="none"/>
          <w:u w:val="single"/>
        </w:rPr>
        <w:t>企业名称</w:t>
      </w:r>
      <w:r>
        <w:rPr>
          <w:rFonts w:ascii="仿宋" w:hAnsi="仿宋" w:eastAsia="仿宋" w:cs="仿宋"/>
          <w:color w:val="auto"/>
          <w:sz w:val="24"/>
          <w:highlight w:val="none"/>
          <w:u w:val="single"/>
        </w:rPr>
        <w:t>）</w:t>
      </w:r>
      <w:r>
        <w:rPr>
          <w:rFonts w:ascii="仿宋" w:hAnsi="仿宋" w:eastAsia="仿宋" w:cs="仿宋"/>
          <w:color w:val="auto"/>
          <w:sz w:val="24"/>
          <w:highlight w:val="none"/>
        </w:rPr>
        <w:t>，从业人员</w:t>
      </w:r>
      <w:r>
        <w:rPr>
          <w:rFonts w:hint="eastAsia" w:ascii="仿宋" w:hAnsi="仿宋" w:eastAsia="仿宋" w:cs="仿宋"/>
          <w:color w:val="auto"/>
          <w:sz w:val="24"/>
          <w:highlight w:val="none"/>
          <w:u w:val="single"/>
        </w:rPr>
        <w:t xml:space="preserve"> </w:t>
      </w:r>
      <w:r>
        <w:rPr>
          <w:rFonts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rPr>
        <w:t xml:space="preserve">  </w:t>
      </w:r>
      <w:r>
        <w:rPr>
          <w:rFonts w:ascii="仿宋" w:hAnsi="仿宋" w:eastAsia="仿宋" w:cs="仿宋"/>
          <w:color w:val="auto"/>
          <w:sz w:val="24"/>
          <w:highlight w:val="none"/>
        </w:rPr>
        <w:t>人，营业收入</w:t>
      </w:r>
      <w:r>
        <w:rPr>
          <w:rFonts w:hint="eastAsia" w:ascii="仿宋" w:hAnsi="仿宋" w:eastAsia="仿宋" w:cs="仿宋"/>
          <w:color w:val="auto"/>
          <w:sz w:val="24"/>
          <w:highlight w:val="none"/>
          <w:u w:val="single"/>
        </w:rPr>
        <w:t xml:space="preserve"> </w:t>
      </w:r>
      <w:r>
        <w:rPr>
          <w:rFonts w:ascii="仿宋" w:hAnsi="仿宋" w:eastAsia="仿宋" w:cs="仿宋"/>
          <w:color w:val="auto"/>
          <w:sz w:val="24"/>
          <w:highlight w:val="none"/>
          <w:u w:val="single"/>
        </w:rPr>
        <w:t xml:space="preserve">  </w:t>
      </w:r>
      <w:r>
        <w:rPr>
          <w:rFonts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ascii="仿宋" w:hAnsi="仿宋" w:eastAsia="仿宋" w:cs="仿宋"/>
          <w:color w:val="auto"/>
          <w:sz w:val="24"/>
          <w:highlight w:val="none"/>
        </w:rPr>
        <w:t>万元，属于</w:t>
      </w:r>
      <w:r>
        <w:rPr>
          <w:rFonts w:ascii="仿宋" w:hAnsi="仿宋" w:eastAsia="仿宋" w:cs="仿宋"/>
          <w:color w:val="auto"/>
          <w:sz w:val="24"/>
          <w:highlight w:val="none"/>
          <w:u w:val="single"/>
        </w:rPr>
        <w:t>（</w:t>
      </w:r>
      <w:r>
        <w:rPr>
          <w:rFonts w:ascii="仿宋" w:hAnsi="仿宋" w:eastAsia="仿宋" w:cs="仿宋"/>
          <w:i/>
          <w:color w:val="auto"/>
          <w:sz w:val="24"/>
          <w:highlight w:val="none"/>
          <w:u w:val="single"/>
        </w:rPr>
        <w:t>中型企业、小型企业、微型企业</w:t>
      </w:r>
      <w:r>
        <w:rPr>
          <w:rFonts w:ascii="仿宋" w:hAnsi="仿宋" w:eastAsia="仿宋" w:cs="仿宋"/>
          <w:color w:val="auto"/>
          <w:sz w:val="24"/>
          <w:highlight w:val="none"/>
          <w:u w:val="single"/>
        </w:rPr>
        <w:t>）</w:t>
      </w:r>
      <w:r>
        <w:rPr>
          <w:rFonts w:ascii="仿宋" w:hAnsi="仿宋" w:eastAsia="仿宋" w:cs="仿宋"/>
          <w:color w:val="auto"/>
          <w:sz w:val="24"/>
          <w:highlight w:val="none"/>
        </w:rPr>
        <w:t>；</w:t>
      </w:r>
    </w:p>
    <w:p w14:paraId="5A69E2CF">
      <w:pPr>
        <w:spacing w:line="588"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w:t>
      </w:r>
    </w:p>
    <w:p w14:paraId="2C9BF948">
      <w:pPr>
        <w:spacing w:line="588" w:lineRule="exact"/>
        <w:ind w:firstLine="480" w:firstLineChars="200"/>
        <w:rPr>
          <w:rFonts w:ascii="仿宋" w:hAnsi="仿宋" w:eastAsia="仿宋" w:cs="仿宋"/>
          <w:color w:val="auto"/>
          <w:sz w:val="24"/>
          <w:highlight w:val="none"/>
        </w:rPr>
      </w:pPr>
    </w:p>
    <w:p w14:paraId="0368DC47">
      <w:pPr>
        <w:spacing w:line="588"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以上企业，不属于大企业的分支机构，不存在控股股东为大企业的情形，也不存在与大企业的负责人为同一人的情形。</w:t>
      </w:r>
    </w:p>
    <w:p w14:paraId="49379C37">
      <w:pPr>
        <w:spacing w:line="588"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本企业对上述声明内容的真实性负责。如有虚假，将依法承担相应责任。</w:t>
      </w:r>
    </w:p>
    <w:p w14:paraId="3FCE574E">
      <w:pPr>
        <w:ind w:firstLine="480" w:firstLineChars="200"/>
        <w:rPr>
          <w:rFonts w:ascii="仿宋" w:hAnsi="仿宋" w:eastAsia="仿宋"/>
          <w:color w:val="auto"/>
          <w:sz w:val="24"/>
          <w:highlight w:val="none"/>
        </w:rPr>
      </w:pPr>
    </w:p>
    <w:p w14:paraId="2668AE89">
      <w:pPr>
        <w:ind w:firstLine="480" w:firstLineChars="200"/>
        <w:rPr>
          <w:rFonts w:ascii="仿宋" w:hAnsi="仿宋" w:eastAsia="仿宋"/>
          <w:color w:val="auto"/>
          <w:sz w:val="24"/>
          <w:highlight w:val="none"/>
        </w:rPr>
      </w:pPr>
    </w:p>
    <w:p w14:paraId="4F6DED4F">
      <w:pPr>
        <w:ind w:firstLine="4560" w:firstLineChars="1900"/>
        <w:rPr>
          <w:rFonts w:ascii="仿宋" w:hAnsi="仿宋" w:eastAsia="仿宋"/>
          <w:color w:val="auto"/>
          <w:sz w:val="24"/>
          <w:highlight w:val="none"/>
        </w:rPr>
      </w:pPr>
      <w:r>
        <w:rPr>
          <w:rFonts w:ascii="仿宋" w:hAnsi="仿宋" w:eastAsia="仿宋" w:cs="仿宋"/>
          <w:color w:val="auto"/>
          <w:sz w:val="24"/>
          <w:highlight w:val="none"/>
        </w:rPr>
        <w:t>企业名称（盖章）：</w:t>
      </w:r>
    </w:p>
    <w:p w14:paraId="5442BAC2">
      <w:pPr>
        <w:ind w:firstLine="480" w:firstLineChars="200"/>
        <w:rPr>
          <w:rFonts w:ascii="仿宋" w:hAnsi="仿宋" w:eastAsia="仿宋"/>
          <w:color w:val="auto"/>
          <w:sz w:val="24"/>
          <w:highlight w:val="none"/>
        </w:rPr>
      </w:pPr>
    </w:p>
    <w:p w14:paraId="4933B14F">
      <w:pPr>
        <w:ind w:firstLine="480" w:firstLineChars="200"/>
        <w:jc w:val="center"/>
        <w:rPr>
          <w:rFonts w:ascii="仿宋" w:hAnsi="仿宋" w:eastAsia="仿宋"/>
          <w:color w:val="auto"/>
          <w:sz w:val="24"/>
          <w:highlight w:val="none"/>
        </w:rPr>
      </w:pPr>
      <w:r>
        <w:rPr>
          <w:rFonts w:ascii="仿宋" w:hAnsi="仿宋" w:eastAsia="仿宋" w:cs="仿宋"/>
          <w:color w:val="auto"/>
          <w:sz w:val="24"/>
          <w:highlight w:val="none"/>
        </w:rPr>
        <w:t>日期：</w:t>
      </w:r>
    </w:p>
    <w:p w14:paraId="2FEBB610">
      <w:pPr>
        <w:spacing w:line="20" w:lineRule="exact"/>
        <w:rPr>
          <w:color w:val="auto"/>
          <w:highlight w:val="none"/>
        </w:rPr>
      </w:pPr>
      <w:r>
        <w:rPr>
          <w:color w:val="auto"/>
          <w:highlight w:val="none"/>
        </w:rPr>
        <w:drawing>
          <wp:anchor distT="0" distB="0" distL="114300" distR="114300" simplePos="0" relativeHeight="251659264" behindDoc="1" locked="0" layoutInCell="0" allowOverlap="1">
            <wp:simplePos x="0" y="0"/>
            <wp:positionH relativeFrom="column">
              <wp:posOffset>228600</wp:posOffset>
            </wp:positionH>
            <wp:positionV relativeFrom="paragraph">
              <wp:posOffset>310515</wp:posOffset>
            </wp:positionV>
            <wp:extent cx="1828800" cy="1270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pic:cNvPicPr>
                  </pic:nvPicPr>
                  <pic:blipFill>
                    <a:blip r:embed="rId10"/>
                    <a:stretch>
                      <a:fillRect/>
                    </a:stretch>
                  </pic:blipFill>
                  <pic:spPr>
                    <a:xfrm>
                      <a:off x="0" y="0"/>
                      <a:ext cx="1828800" cy="12700"/>
                    </a:xfrm>
                    <a:prstGeom prst="rect">
                      <a:avLst/>
                    </a:prstGeom>
                    <a:noFill/>
                    <a:ln>
                      <a:noFill/>
                    </a:ln>
                  </pic:spPr>
                </pic:pic>
              </a:graphicData>
            </a:graphic>
          </wp:anchor>
        </w:drawing>
      </w:r>
    </w:p>
    <w:p w14:paraId="70BB423E">
      <w:pPr>
        <w:spacing w:line="200" w:lineRule="exact"/>
        <w:rPr>
          <w:color w:val="auto"/>
          <w:highlight w:val="none"/>
        </w:rPr>
      </w:pPr>
    </w:p>
    <w:p w14:paraId="2877B99E">
      <w:pPr>
        <w:spacing w:line="375" w:lineRule="exact"/>
        <w:rPr>
          <w:color w:val="auto"/>
          <w:highlight w:val="none"/>
        </w:rPr>
      </w:pPr>
    </w:p>
    <w:p w14:paraId="5DCDA0E0">
      <w:pPr>
        <w:spacing w:line="265" w:lineRule="exact"/>
        <w:ind w:left="360"/>
        <w:rPr>
          <w:rFonts w:hint="eastAsia" w:ascii="仿宋" w:hAnsi="仿宋" w:eastAsia="仿宋"/>
          <w:color w:val="auto"/>
          <w:kern w:val="1"/>
          <w:sz w:val="24"/>
          <w:highlight w:val="none"/>
        </w:rPr>
      </w:pPr>
      <w:r>
        <w:rPr>
          <w:rFonts w:hint="eastAsia" w:ascii="宋体" w:hAnsi="宋体" w:cs="宋体"/>
          <w:color w:val="auto"/>
          <w:sz w:val="18"/>
          <w:szCs w:val="18"/>
          <w:highlight w:val="none"/>
        </w:rPr>
        <w:t>1.</w:t>
      </w:r>
      <w:r>
        <w:rPr>
          <w:rFonts w:ascii="宋体" w:hAnsi="宋体" w:cs="宋体"/>
          <w:color w:val="auto"/>
          <w:sz w:val="18"/>
          <w:szCs w:val="18"/>
          <w:highlight w:val="none"/>
        </w:rPr>
        <w:t>从业人员、营业收入、资产总额填报上一年度数据，无上一年度数据的新成立企业可不填报。</w:t>
      </w:r>
      <w:r>
        <w:rPr>
          <w:rFonts w:ascii="仿宋" w:hAnsi="仿宋" w:eastAsia="仿宋"/>
          <w:color w:val="auto"/>
          <w:kern w:val="1"/>
          <w:sz w:val="24"/>
          <w:highlight w:val="none"/>
        </w:rPr>
        <w:t xml:space="preserve"> </w:t>
      </w:r>
    </w:p>
    <w:p w14:paraId="3D2D21D1">
      <w:pPr>
        <w:widowControl/>
        <w:autoSpaceDE w:val="0"/>
        <w:autoSpaceDN w:val="0"/>
        <w:adjustRightInd w:val="0"/>
        <w:ind w:right="-481"/>
        <w:rPr>
          <w:rFonts w:ascii="宋体" w:hAnsi="宋体" w:cs="Arial"/>
          <w:color w:val="auto"/>
          <w:kern w:val="1"/>
          <w:sz w:val="28"/>
          <w:szCs w:val="28"/>
          <w:highlight w:val="none"/>
        </w:rPr>
      </w:pPr>
      <w:r>
        <w:rPr>
          <w:rFonts w:ascii="仿宋" w:hAnsi="仿宋" w:eastAsia="仿宋"/>
          <w:color w:val="auto"/>
          <w:kern w:val="1"/>
          <w:sz w:val="24"/>
          <w:highlight w:val="none"/>
        </w:rPr>
        <w:br w:type="page"/>
      </w:r>
      <w:r>
        <w:rPr>
          <w:rFonts w:ascii="宋体" w:hAnsi="宋体" w:cs="Arial"/>
          <w:color w:val="auto"/>
          <w:kern w:val="1"/>
          <w:sz w:val="28"/>
          <w:szCs w:val="28"/>
          <w:highlight w:val="none"/>
        </w:rPr>
        <w:t xml:space="preserve">     </w:t>
      </w:r>
    </w:p>
    <w:p w14:paraId="0727E7F5">
      <w:pPr>
        <w:widowControl/>
        <w:autoSpaceDE w:val="0"/>
        <w:autoSpaceDN w:val="0"/>
        <w:adjustRightInd w:val="0"/>
        <w:ind w:right="-481"/>
        <w:jc w:val="right"/>
        <w:rPr>
          <w:rFonts w:ascii="宋体" w:hAnsi="宋体"/>
          <w:color w:val="auto"/>
          <w:kern w:val="1"/>
          <w:sz w:val="28"/>
          <w:szCs w:val="28"/>
          <w:highlight w:val="none"/>
        </w:rPr>
      </w:pPr>
      <w:r>
        <w:rPr>
          <w:rFonts w:ascii="宋体" w:hAnsi="宋体" w:cs="Arial"/>
          <w:color w:val="auto"/>
          <w:kern w:val="1"/>
          <w:sz w:val="28"/>
          <w:szCs w:val="28"/>
          <w:highlight w:val="none"/>
        </w:rPr>
        <w:t xml:space="preserve">         </w:t>
      </w:r>
      <w:r>
        <w:rPr>
          <w:rFonts w:ascii="Heiti SC Light" w:hAnsi="Arial" w:eastAsia="Heiti SC Light" w:cs="Heiti SC Light"/>
          <w:color w:val="auto"/>
          <w:kern w:val="1"/>
          <w:sz w:val="28"/>
          <w:szCs w:val="28"/>
          <w:highlight w:val="none"/>
        </w:rPr>
        <w:t xml:space="preserve"> </w:t>
      </w:r>
      <w:r>
        <w:rPr>
          <w:rFonts w:hint="eastAsia" w:ascii="Heiti SC Light" w:hAnsi="Arial" w:eastAsia="Heiti SC Light" w:cs="Heiti SC Light"/>
          <w:color w:val="auto"/>
          <w:kern w:val="1"/>
          <w:sz w:val="28"/>
          <w:szCs w:val="28"/>
          <w:highlight w:val="none"/>
        </w:rPr>
        <w:t>【正（副）本】</w:t>
      </w:r>
    </w:p>
    <w:p w14:paraId="5A252590">
      <w:pPr>
        <w:widowControl/>
        <w:autoSpaceDE w:val="0"/>
        <w:autoSpaceDN w:val="0"/>
        <w:adjustRightInd w:val="0"/>
        <w:ind w:right="-481"/>
        <w:jc w:val="center"/>
        <w:rPr>
          <w:rFonts w:ascii="宋体" w:hAnsi="宋体"/>
          <w:color w:val="auto"/>
          <w:kern w:val="1"/>
          <w:sz w:val="28"/>
          <w:szCs w:val="28"/>
          <w:highlight w:val="none"/>
        </w:rPr>
      </w:pPr>
    </w:p>
    <w:p w14:paraId="36A180C8">
      <w:pPr>
        <w:widowControl/>
        <w:autoSpaceDE w:val="0"/>
        <w:autoSpaceDN w:val="0"/>
        <w:adjustRightInd w:val="0"/>
        <w:ind w:right="-481"/>
        <w:jc w:val="center"/>
        <w:rPr>
          <w:rFonts w:ascii="宋体" w:hAnsi="宋体"/>
          <w:color w:val="auto"/>
          <w:kern w:val="1"/>
          <w:sz w:val="28"/>
          <w:szCs w:val="28"/>
          <w:highlight w:val="none"/>
        </w:rPr>
      </w:pPr>
    </w:p>
    <w:p w14:paraId="63B88A5F">
      <w:pPr>
        <w:widowControl/>
        <w:autoSpaceDE w:val="0"/>
        <w:autoSpaceDN w:val="0"/>
        <w:adjustRightInd w:val="0"/>
        <w:ind w:right="-481"/>
        <w:jc w:val="center"/>
        <w:rPr>
          <w:rFonts w:ascii="Heiti SC Light" w:eastAsia="Heiti SC Light" w:cs="Heiti SC Light"/>
          <w:b/>
          <w:bCs/>
          <w:color w:val="auto"/>
          <w:kern w:val="1"/>
          <w:sz w:val="72"/>
          <w:szCs w:val="72"/>
          <w:highlight w:val="none"/>
        </w:rPr>
      </w:pPr>
      <w:r>
        <w:rPr>
          <w:rFonts w:hint="eastAsia" w:ascii="Heiti SC Light" w:eastAsia="Heiti SC Light" w:cs="Heiti SC Light"/>
          <w:b/>
          <w:bCs/>
          <w:color w:val="auto"/>
          <w:kern w:val="1"/>
          <w:sz w:val="72"/>
          <w:szCs w:val="72"/>
          <w:highlight w:val="none"/>
        </w:rPr>
        <w:t>投标文件</w:t>
      </w:r>
    </w:p>
    <w:p w14:paraId="7964690E">
      <w:pPr>
        <w:widowControl/>
        <w:autoSpaceDE w:val="0"/>
        <w:autoSpaceDN w:val="0"/>
        <w:adjustRightInd w:val="0"/>
        <w:ind w:right="-481"/>
        <w:jc w:val="center"/>
        <w:rPr>
          <w:rFonts w:ascii="宋体" w:hAnsi="宋体"/>
          <w:b/>
          <w:bCs/>
          <w:color w:val="auto"/>
          <w:kern w:val="1"/>
          <w:szCs w:val="21"/>
          <w:highlight w:val="none"/>
        </w:rPr>
      </w:pPr>
    </w:p>
    <w:p w14:paraId="72DB6F56">
      <w:pPr>
        <w:widowControl/>
        <w:autoSpaceDE w:val="0"/>
        <w:autoSpaceDN w:val="0"/>
        <w:adjustRightInd w:val="0"/>
        <w:ind w:right="-481"/>
        <w:jc w:val="center"/>
        <w:rPr>
          <w:rFonts w:ascii="Heiti SC Light" w:eastAsia="Heiti SC Light" w:cs="Heiti SC Light"/>
          <w:color w:val="auto"/>
          <w:kern w:val="1"/>
          <w:sz w:val="32"/>
          <w:szCs w:val="32"/>
          <w:highlight w:val="none"/>
        </w:rPr>
      </w:pPr>
      <w:r>
        <w:rPr>
          <w:rFonts w:hint="eastAsia" w:ascii="Heiti SC Light" w:eastAsia="Heiti SC Light" w:cs="Heiti SC Light"/>
          <w:color w:val="auto"/>
          <w:kern w:val="1"/>
          <w:sz w:val="32"/>
          <w:szCs w:val="32"/>
          <w:highlight w:val="none"/>
        </w:rPr>
        <w:t>包：第</w:t>
      </w:r>
      <w:r>
        <w:rPr>
          <w:rFonts w:ascii="Heiti SC Light" w:eastAsia="Heiti SC Light" w:cs="Heiti SC Light"/>
          <w:color w:val="auto"/>
          <w:kern w:val="1"/>
          <w:sz w:val="32"/>
          <w:szCs w:val="32"/>
          <w:highlight w:val="none"/>
        </w:rPr>
        <w:t xml:space="preserve">  </w:t>
      </w:r>
      <w:r>
        <w:rPr>
          <w:rFonts w:hint="eastAsia" w:ascii="Heiti SC Light" w:eastAsia="Heiti SC Light" w:cs="Heiti SC Light"/>
          <w:color w:val="auto"/>
          <w:kern w:val="1"/>
          <w:sz w:val="32"/>
          <w:szCs w:val="32"/>
          <w:highlight w:val="none"/>
        </w:rPr>
        <w:t>包</w:t>
      </w:r>
      <w:r>
        <w:rPr>
          <w:rFonts w:ascii="Heiti SC Light" w:eastAsia="Heiti SC Light" w:cs="Heiti SC Light"/>
          <w:color w:val="auto"/>
          <w:kern w:val="1"/>
          <w:sz w:val="32"/>
          <w:szCs w:val="32"/>
          <w:highlight w:val="none"/>
        </w:rPr>
        <w:t xml:space="preserve"> </w:t>
      </w:r>
    </w:p>
    <w:p w14:paraId="755787E6">
      <w:pPr>
        <w:widowControl/>
        <w:autoSpaceDE w:val="0"/>
        <w:autoSpaceDN w:val="0"/>
        <w:adjustRightInd w:val="0"/>
        <w:ind w:right="-481"/>
        <w:jc w:val="center"/>
        <w:rPr>
          <w:rFonts w:ascii="宋体" w:hAnsi="宋体"/>
          <w:b/>
          <w:bCs/>
          <w:color w:val="auto"/>
          <w:kern w:val="1"/>
          <w:sz w:val="28"/>
          <w:szCs w:val="28"/>
          <w:highlight w:val="none"/>
        </w:rPr>
      </w:pPr>
    </w:p>
    <w:p w14:paraId="5E2C47D4">
      <w:pPr>
        <w:widowControl/>
        <w:autoSpaceDE w:val="0"/>
        <w:autoSpaceDN w:val="0"/>
        <w:adjustRightInd w:val="0"/>
        <w:ind w:right="-481"/>
        <w:jc w:val="center"/>
        <w:rPr>
          <w:rFonts w:ascii="宋体" w:hAnsi="宋体"/>
          <w:b/>
          <w:bCs/>
          <w:color w:val="auto"/>
          <w:kern w:val="1"/>
          <w:sz w:val="28"/>
          <w:szCs w:val="28"/>
          <w:highlight w:val="none"/>
        </w:rPr>
      </w:pPr>
    </w:p>
    <w:p w14:paraId="0199D91C">
      <w:pPr>
        <w:widowControl/>
        <w:autoSpaceDE w:val="0"/>
        <w:autoSpaceDN w:val="0"/>
        <w:adjustRightInd w:val="0"/>
        <w:spacing w:before="340" w:after="330" w:line="576" w:lineRule="auto"/>
        <w:ind w:right="-481"/>
        <w:jc w:val="center"/>
        <w:rPr>
          <w:rFonts w:hint="eastAsia" w:ascii="宋体" w:hAnsi="宋体"/>
          <w:b/>
          <w:bCs/>
          <w:color w:val="auto"/>
          <w:kern w:val="1"/>
          <w:sz w:val="52"/>
          <w:szCs w:val="52"/>
          <w:highlight w:val="none"/>
        </w:rPr>
      </w:pPr>
      <w:r>
        <w:rPr>
          <w:rFonts w:hint="eastAsia" w:ascii="宋体" w:hAnsi="宋体" w:cs="Heiti SC Light"/>
          <w:b/>
          <w:bCs/>
          <w:color w:val="auto"/>
          <w:kern w:val="1"/>
          <w:sz w:val="52"/>
          <w:szCs w:val="52"/>
          <w:highlight w:val="none"/>
        </w:rPr>
        <w:t>技术文件</w:t>
      </w:r>
    </w:p>
    <w:p w14:paraId="79EC8125">
      <w:pPr>
        <w:widowControl/>
        <w:autoSpaceDE w:val="0"/>
        <w:autoSpaceDN w:val="0"/>
        <w:adjustRightInd w:val="0"/>
        <w:ind w:right="-481"/>
        <w:jc w:val="center"/>
        <w:rPr>
          <w:rFonts w:ascii="宋体" w:hAnsi="宋体"/>
          <w:color w:val="auto"/>
          <w:kern w:val="1"/>
          <w:szCs w:val="21"/>
          <w:highlight w:val="none"/>
        </w:rPr>
      </w:pPr>
    </w:p>
    <w:p w14:paraId="25F557F4">
      <w:pPr>
        <w:widowControl/>
        <w:autoSpaceDE w:val="0"/>
        <w:autoSpaceDN w:val="0"/>
        <w:adjustRightInd w:val="0"/>
        <w:ind w:right="-481"/>
        <w:jc w:val="center"/>
        <w:rPr>
          <w:rFonts w:ascii="宋体" w:hAnsi="宋体"/>
          <w:b/>
          <w:bCs/>
          <w:color w:val="auto"/>
          <w:kern w:val="1"/>
          <w:sz w:val="52"/>
          <w:szCs w:val="52"/>
          <w:highlight w:val="none"/>
        </w:rPr>
      </w:pPr>
    </w:p>
    <w:p w14:paraId="0D8F08E6">
      <w:pPr>
        <w:widowControl/>
        <w:autoSpaceDE w:val="0"/>
        <w:autoSpaceDN w:val="0"/>
        <w:adjustRightInd w:val="0"/>
        <w:ind w:right="-481"/>
        <w:jc w:val="center"/>
        <w:rPr>
          <w:rFonts w:ascii="宋体" w:hAnsi="宋体"/>
          <w:b/>
          <w:bCs/>
          <w:color w:val="auto"/>
          <w:kern w:val="1"/>
          <w:sz w:val="52"/>
          <w:szCs w:val="52"/>
          <w:highlight w:val="none"/>
        </w:rPr>
      </w:pPr>
    </w:p>
    <w:p w14:paraId="4656BFC2">
      <w:pPr>
        <w:widowControl/>
        <w:autoSpaceDE w:val="0"/>
        <w:autoSpaceDN w:val="0"/>
        <w:adjustRightInd w:val="0"/>
        <w:spacing w:line="360" w:lineRule="auto"/>
        <w:ind w:right="-481" w:firstLine="2880"/>
        <w:rPr>
          <w:rFonts w:ascii="仿宋" w:hAnsi="仿宋" w:eastAsia="仿宋" w:cs="仿宋"/>
          <w:color w:val="auto"/>
          <w:kern w:val="1"/>
          <w:sz w:val="28"/>
          <w:szCs w:val="28"/>
          <w:highlight w:val="none"/>
        </w:rPr>
      </w:pPr>
      <w:r>
        <w:rPr>
          <w:rFonts w:hint="eastAsia" w:ascii="仿宋" w:hAnsi="仿宋" w:eastAsia="仿宋" w:cs="仿宋"/>
          <w:color w:val="auto"/>
          <w:kern w:val="1"/>
          <w:sz w:val="32"/>
          <w:szCs w:val="32"/>
          <w:highlight w:val="none"/>
        </w:rPr>
        <w:t>项目名称：</w:t>
      </w:r>
      <w:r>
        <w:rPr>
          <w:rFonts w:ascii="仿宋" w:hAnsi="仿宋" w:eastAsia="仿宋" w:cs="仿宋"/>
          <w:color w:val="auto"/>
          <w:kern w:val="1"/>
          <w:sz w:val="28"/>
          <w:szCs w:val="28"/>
          <w:highlight w:val="none"/>
        </w:rPr>
        <w:t xml:space="preserve"> </w:t>
      </w:r>
    </w:p>
    <w:p w14:paraId="6BAB997A">
      <w:pPr>
        <w:widowControl/>
        <w:autoSpaceDE w:val="0"/>
        <w:autoSpaceDN w:val="0"/>
        <w:adjustRightInd w:val="0"/>
        <w:spacing w:line="600" w:lineRule="auto"/>
        <w:ind w:right="-481" w:firstLine="2880"/>
        <w:rPr>
          <w:rFonts w:ascii="仿宋" w:hAnsi="仿宋" w:eastAsia="仿宋"/>
          <w:color w:val="auto"/>
          <w:kern w:val="1"/>
          <w:sz w:val="28"/>
          <w:szCs w:val="28"/>
          <w:highlight w:val="none"/>
        </w:rPr>
      </w:pPr>
      <w:r>
        <w:rPr>
          <w:rFonts w:hint="eastAsia" w:ascii="仿宋" w:hAnsi="仿宋" w:eastAsia="仿宋" w:cs="仿宋"/>
          <w:color w:val="auto"/>
          <w:kern w:val="1"/>
          <w:sz w:val="32"/>
          <w:szCs w:val="32"/>
          <w:highlight w:val="none"/>
        </w:rPr>
        <w:t>项目编号：</w:t>
      </w:r>
      <w:r>
        <w:rPr>
          <w:rFonts w:ascii="仿宋" w:hAnsi="仿宋" w:eastAsia="仿宋" w:cs="仿宋"/>
          <w:color w:val="auto"/>
          <w:kern w:val="1"/>
          <w:sz w:val="32"/>
          <w:szCs w:val="32"/>
          <w:highlight w:val="none"/>
        </w:rPr>
        <w:t xml:space="preserve"> </w:t>
      </w:r>
    </w:p>
    <w:p w14:paraId="2CCFD940">
      <w:pPr>
        <w:widowControl/>
        <w:autoSpaceDE w:val="0"/>
        <w:autoSpaceDN w:val="0"/>
        <w:adjustRightInd w:val="0"/>
        <w:ind w:right="-481"/>
        <w:rPr>
          <w:rFonts w:ascii="仿宋" w:hAnsi="仿宋" w:eastAsia="仿宋"/>
          <w:color w:val="auto"/>
          <w:kern w:val="1"/>
          <w:sz w:val="28"/>
          <w:szCs w:val="28"/>
          <w:highlight w:val="none"/>
        </w:rPr>
      </w:pPr>
    </w:p>
    <w:p w14:paraId="5D2FF6C7">
      <w:pPr>
        <w:widowControl/>
        <w:autoSpaceDE w:val="0"/>
        <w:autoSpaceDN w:val="0"/>
        <w:adjustRightInd w:val="0"/>
        <w:spacing w:line="360" w:lineRule="auto"/>
        <w:ind w:right="-481" w:firstLine="2880"/>
        <w:rPr>
          <w:rFonts w:ascii="仿宋" w:hAnsi="仿宋" w:eastAsia="仿宋"/>
          <w:color w:val="auto"/>
          <w:kern w:val="1"/>
          <w:sz w:val="32"/>
          <w:szCs w:val="32"/>
          <w:highlight w:val="none"/>
        </w:rPr>
      </w:pPr>
      <w:r>
        <w:rPr>
          <w:rFonts w:hint="eastAsia" w:ascii="仿宋" w:hAnsi="仿宋" w:eastAsia="仿宋" w:cs="仿宋"/>
          <w:color w:val="auto"/>
          <w:kern w:val="1"/>
          <w:sz w:val="32"/>
          <w:szCs w:val="32"/>
          <w:highlight w:val="none"/>
        </w:rPr>
        <w:t>投标单位全称（盖公章）：</w:t>
      </w:r>
    </w:p>
    <w:p w14:paraId="0C463B09">
      <w:pPr>
        <w:widowControl/>
        <w:autoSpaceDE w:val="0"/>
        <w:autoSpaceDN w:val="0"/>
        <w:adjustRightInd w:val="0"/>
        <w:spacing w:line="600" w:lineRule="auto"/>
        <w:ind w:right="-481"/>
        <w:jc w:val="center"/>
        <w:rPr>
          <w:rFonts w:ascii="仿宋" w:hAnsi="仿宋" w:eastAsia="仿宋"/>
          <w:color w:val="auto"/>
          <w:kern w:val="1"/>
          <w:sz w:val="32"/>
          <w:szCs w:val="32"/>
          <w:highlight w:val="none"/>
        </w:rPr>
      </w:pPr>
      <w:r>
        <w:rPr>
          <w:rFonts w:hint="eastAsia" w:ascii="仿宋" w:hAnsi="仿宋" w:eastAsia="仿宋" w:cs="仿宋"/>
          <w:color w:val="auto"/>
          <w:kern w:val="1"/>
          <w:sz w:val="32"/>
          <w:szCs w:val="32"/>
          <w:highlight w:val="none"/>
        </w:rPr>
        <w:t>二〇</w:t>
      </w:r>
      <w:r>
        <w:rPr>
          <w:rFonts w:ascii="仿宋" w:hAnsi="仿宋" w:eastAsia="仿宋" w:cs="仿宋"/>
          <w:color w:val="auto"/>
          <w:kern w:val="1"/>
          <w:sz w:val="32"/>
          <w:szCs w:val="32"/>
          <w:highlight w:val="none"/>
        </w:rPr>
        <w:t xml:space="preserve">   </w:t>
      </w:r>
      <w:r>
        <w:rPr>
          <w:rFonts w:hint="eastAsia" w:ascii="仿宋" w:hAnsi="仿宋" w:eastAsia="仿宋" w:cs="仿宋"/>
          <w:color w:val="auto"/>
          <w:kern w:val="1"/>
          <w:sz w:val="32"/>
          <w:szCs w:val="32"/>
          <w:highlight w:val="none"/>
        </w:rPr>
        <w:t>年</w:t>
      </w:r>
      <w:r>
        <w:rPr>
          <w:rFonts w:ascii="仿宋" w:hAnsi="仿宋" w:eastAsia="仿宋" w:cs="仿宋"/>
          <w:color w:val="auto"/>
          <w:kern w:val="1"/>
          <w:sz w:val="32"/>
          <w:szCs w:val="32"/>
          <w:highlight w:val="none"/>
        </w:rPr>
        <w:t xml:space="preserve">  </w:t>
      </w:r>
      <w:r>
        <w:rPr>
          <w:rFonts w:hint="eastAsia" w:ascii="仿宋" w:hAnsi="仿宋" w:eastAsia="仿宋" w:cs="仿宋"/>
          <w:color w:val="auto"/>
          <w:kern w:val="1"/>
          <w:sz w:val="32"/>
          <w:szCs w:val="32"/>
          <w:highlight w:val="none"/>
        </w:rPr>
        <w:t>月</w:t>
      </w:r>
      <w:r>
        <w:rPr>
          <w:rFonts w:ascii="仿宋" w:hAnsi="仿宋" w:eastAsia="仿宋" w:cs="仿宋"/>
          <w:color w:val="auto"/>
          <w:kern w:val="1"/>
          <w:sz w:val="32"/>
          <w:szCs w:val="32"/>
          <w:highlight w:val="none"/>
        </w:rPr>
        <w:t xml:space="preserve">  </w:t>
      </w:r>
      <w:r>
        <w:rPr>
          <w:rFonts w:hint="eastAsia" w:ascii="仿宋" w:hAnsi="仿宋" w:eastAsia="仿宋" w:cs="仿宋"/>
          <w:color w:val="auto"/>
          <w:kern w:val="1"/>
          <w:sz w:val="32"/>
          <w:szCs w:val="32"/>
          <w:highlight w:val="none"/>
        </w:rPr>
        <w:t>日</w:t>
      </w:r>
    </w:p>
    <w:p w14:paraId="3E89830E">
      <w:pPr>
        <w:widowControl/>
        <w:autoSpaceDE w:val="0"/>
        <w:autoSpaceDN w:val="0"/>
        <w:adjustRightInd w:val="0"/>
        <w:spacing w:line="640" w:lineRule="exact"/>
        <w:ind w:right="-481"/>
        <w:rPr>
          <w:rFonts w:hint="eastAsia" w:ascii="宋体" w:hAnsi="宋体" w:cs="宋体"/>
          <w:color w:val="auto"/>
          <w:kern w:val="1"/>
          <w:sz w:val="30"/>
          <w:szCs w:val="30"/>
          <w:highlight w:val="none"/>
        </w:rPr>
      </w:pPr>
    </w:p>
    <w:p w14:paraId="5B088382">
      <w:pPr>
        <w:widowControl/>
        <w:autoSpaceDE w:val="0"/>
        <w:autoSpaceDN w:val="0"/>
        <w:adjustRightInd w:val="0"/>
        <w:spacing w:before="260" w:after="260" w:line="408" w:lineRule="auto"/>
        <w:ind w:right="-481"/>
        <w:jc w:val="center"/>
        <w:rPr>
          <w:rFonts w:ascii="宋体" w:hAnsi="宋体"/>
          <w:color w:val="auto"/>
          <w:kern w:val="1"/>
          <w:sz w:val="30"/>
          <w:szCs w:val="30"/>
          <w:highlight w:val="none"/>
        </w:rPr>
      </w:pPr>
      <w:r>
        <w:rPr>
          <w:rFonts w:hint="eastAsia" w:ascii="宋体" w:hAnsi="宋体" w:cs="宋体"/>
          <w:color w:val="auto"/>
          <w:kern w:val="1"/>
          <w:sz w:val="30"/>
          <w:szCs w:val="30"/>
          <w:highlight w:val="none"/>
        </w:rPr>
        <w:t>技术文件目录</w:t>
      </w:r>
    </w:p>
    <w:p w14:paraId="2EC56E16">
      <w:pPr>
        <w:widowControl/>
        <w:autoSpaceDE w:val="0"/>
        <w:autoSpaceDN w:val="0"/>
        <w:adjustRightInd w:val="0"/>
        <w:spacing w:line="420" w:lineRule="exact"/>
        <w:ind w:right="-482" w:firstLine="480" w:firstLineChars="200"/>
        <w:jc w:val="left"/>
        <w:rPr>
          <w:rFonts w:ascii="宋体" w:hAnsi="宋体" w:cs="Arial"/>
          <w:color w:val="auto"/>
          <w:kern w:val="1"/>
          <w:sz w:val="24"/>
          <w:szCs w:val="24"/>
          <w:highlight w:val="none"/>
        </w:rPr>
      </w:pPr>
      <w:r>
        <w:rPr>
          <w:rFonts w:hint="eastAsia" w:ascii="仿宋" w:hAnsi="仿宋" w:eastAsia="仿宋" w:cs="仿宋"/>
          <w:color w:val="auto"/>
          <w:sz w:val="24"/>
          <w:highlight w:val="none"/>
          <w:lang w:val="zh-CN"/>
        </w:rPr>
        <w:t>技术文件包含但不限于以下内容：</w:t>
      </w:r>
    </w:p>
    <w:p w14:paraId="478FB9BB">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rPr>
      </w:pPr>
      <w:r>
        <w:rPr>
          <w:rFonts w:ascii="仿宋" w:hAnsi="仿宋" w:eastAsia="仿宋" w:cs="仿宋"/>
          <w:color w:val="auto"/>
          <w:kern w:val="1"/>
          <w:sz w:val="24"/>
          <w:szCs w:val="24"/>
          <w:highlight w:val="none"/>
        </w:rPr>
        <w:t>1</w:t>
      </w:r>
      <w:r>
        <w:rPr>
          <w:rFonts w:hint="eastAsia" w:ascii="仿宋" w:hAnsi="仿宋" w:eastAsia="仿宋" w:cs="仿宋"/>
          <w:color w:val="auto"/>
          <w:kern w:val="1"/>
          <w:sz w:val="24"/>
          <w:szCs w:val="24"/>
          <w:highlight w:val="none"/>
        </w:rPr>
        <w:t>、货物清单（包括产品彩页，</w:t>
      </w:r>
      <w:r>
        <w:rPr>
          <w:rStyle w:val="46"/>
          <w:rFonts w:hint="eastAsia"/>
          <w:color w:val="auto"/>
          <w:sz w:val="24"/>
          <w:szCs w:val="24"/>
          <w:highlight w:val="none"/>
        </w:rPr>
        <w:t>见附件</w:t>
      </w:r>
      <w:r>
        <w:rPr>
          <w:rStyle w:val="46"/>
          <w:rFonts w:hint="eastAsia" w:eastAsia="仿宋"/>
          <w:color w:val="auto"/>
          <w:sz w:val="24"/>
          <w:szCs w:val="24"/>
          <w:highlight w:val="none"/>
          <w:lang w:val="en-US" w:eastAsia="zh-CN"/>
        </w:rPr>
        <w:t>13</w:t>
      </w:r>
      <w:r>
        <w:rPr>
          <w:rFonts w:hint="eastAsia" w:ascii="仿宋" w:hAnsi="仿宋" w:eastAsia="仿宋" w:cs="仿宋"/>
          <w:color w:val="auto"/>
          <w:kern w:val="1"/>
          <w:sz w:val="24"/>
          <w:szCs w:val="24"/>
          <w:highlight w:val="none"/>
        </w:rPr>
        <w:t>）；</w:t>
      </w:r>
    </w:p>
    <w:p w14:paraId="0F0ADB78">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rPr>
      </w:pPr>
      <w:r>
        <w:rPr>
          <w:rStyle w:val="46"/>
          <w:color w:val="auto"/>
          <w:sz w:val="24"/>
          <w:szCs w:val="24"/>
          <w:highlight w:val="none"/>
        </w:rPr>
        <w:t>2</w:t>
      </w:r>
      <w:r>
        <w:rPr>
          <w:rStyle w:val="46"/>
          <w:rFonts w:hint="eastAsia"/>
          <w:color w:val="auto"/>
          <w:sz w:val="24"/>
          <w:szCs w:val="24"/>
          <w:highlight w:val="none"/>
        </w:rPr>
        <w:t>、</w:t>
      </w:r>
      <w:r>
        <w:rPr>
          <w:rFonts w:hint="eastAsia" w:ascii="仿宋" w:hAnsi="仿宋" w:eastAsia="仿宋" w:cs="仿宋"/>
          <w:color w:val="auto"/>
          <w:kern w:val="1"/>
          <w:sz w:val="24"/>
          <w:szCs w:val="24"/>
          <w:highlight w:val="none"/>
        </w:rPr>
        <w:t>技术响应表（</w:t>
      </w:r>
      <w:r>
        <w:rPr>
          <w:rStyle w:val="46"/>
          <w:rFonts w:hint="eastAsia"/>
          <w:color w:val="auto"/>
          <w:sz w:val="24"/>
          <w:szCs w:val="24"/>
          <w:highlight w:val="none"/>
        </w:rPr>
        <w:t>见附件1</w:t>
      </w:r>
      <w:r>
        <w:rPr>
          <w:rStyle w:val="46"/>
          <w:rFonts w:hint="eastAsia" w:eastAsia="仿宋"/>
          <w:color w:val="auto"/>
          <w:sz w:val="24"/>
          <w:szCs w:val="24"/>
          <w:highlight w:val="none"/>
          <w:lang w:val="en-US" w:eastAsia="zh-CN"/>
        </w:rPr>
        <w:t>4</w:t>
      </w:r>
      <w:r>
        <w:rPr>
          <w:rStyle w:val="46"/>
          <w:rFonts w:hint="eastAsia"/>
          <w:color w:val="auto"/>
          <w:sz w:val="24"/>
          <w:szCs w:val="24"/>
          <w:highlight w:val="none"/>
        </w:rPr>
        <w:t>）</w:t>
      </w:r>
      <w:r>
        <w:rPr>
          <w:rFonts w:hint="eastAsia" w:ascii="仿宋" w:hAnsi="仿宋" w:eastAsia="仿宋" w:cs="仿宋"/>
          <w:color w:val="auto"/>
          <w:kern w:val="1"/>
          <w:sz w:val="24"/>
          <w:szCs w:val="24"/>
          <w:highlight w:val="none"/>
        </w:rPr>
        <w:t>；</w:t>
      </w:r>
    </w:p>
    <w:p w14:paraId="17EE566D">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3、选配件、专用耗材、售后服务优惠表（若有，</w:t>
      </w:r>
      <w:r>
        <w:rPr>
          <w:rStyle w:val="46"/>
          <w:rFonts w:hint="eastAsia"/>
          <w:color w:val="auto"/>
          <w:sz w:val="24"/>
          <w:szCs w:val="24"/>
          <w:highlight w:val="none"/>
        </w:rPr>
        <w:t>见附件1</w:t>
      </w:r>
      <w:r>
        <w:rPr>
          <w:rStyle w:val="46"/>
          <w:rFonts w:hint="eastAsia" w:eastAsia="仿宋"/>
          <w:color w:val="auto"/>
          <w:sz w:val="24"/>
          <w:szCs w:val="24"/>
          <w:highlight w:val="none"/>
          <w:lang w:val="en-US" w:eastAsia="zh-CN"/>
        </w:rPr>
        <w:t>5</w:t>
      </w:r>
      <w:r>
        <w:rPr>
          <w:rFonts w:hint="eastAsia" w:ascii="仿宋" w:hAnsi="仿宋" w:eastAsia="仿宋" w:cs="仿宋"/>
          <w:color w:val="auto"/>
          <w:kern w:val="1"/>
          <w:sz w:val="24"/>
          <w:szCs w:val="24"/>
          <w:highlight w:val="none"/>
        </w:rPr>
        <w:t>）；</w:t>
      </w:r>
    </w:p>
    <w:p w14:paraId="74DE01A9">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4、项目实施人员（主要从业人员以及其技术资格）一览表（</w:t>
      </w:r>
      <w:r>
        <w:rPr>
          <w:rStyle w:val="46"/>
          <w:rFonts w:hint="eastAsia"/>
          <w:color w:val="auto"/>
          <w:sz w:val="24"/>
          <w:szCs w:val="24"/>
          <w:highlight w:val="none"/>
        </w:rPr>
        <w:t>见附件1</w:t>
      </w:r>
      <w:r>
        <w:rPr>
          <w:rStyle w:val="46"/>
          <w:rFonts w:hint="eastAsia" w:eastAsia="仿宋"/>
          <w:color w:val="auto"/>
          <w:sz w:val="24"/>
          <w:szCs w:val="24"/>
          <w:highlight w:val="none"/>
          <w:lang w:val="en-US" w:eastAsia="zh-CN"/>
        </w:rPr>
        <w:t>6</w:t>
      </w:r>
      <w:r>
        <w:rPr>
          <w:rFonts w:hint="eastAsia" w:ascii="仿宋" w:hAnsi="仿宋" w:eastAsia="仿宋" w:cs="仿宋"/>
          <w:color w:val="auto"/>
          <w:kern w:val="1"/>
          <w:sz w:val="24"/>
          <w:szCs w:val="24"/>
          <w:highlight w:val="none"/>
        </w:rPr>
        <w:t>）；</w:t>
      </w:r>
    </w:p>
    <w:p w14:paraId="4DD3C191">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lang w:val="en-US" w:eastAsia="zh-CN"/>
        </w:rPr>
      </w:pPr>
      <w:r>
        <w:rPr>
          <w:rFonts w:hint="eastAsia" w:ascii="仿宋" w:hAnsi="仿宋" w:eastAsia="仿宋" w:cs="仿宋"/>
          <w:color w:val="auto"/>
          <w:kern w:val="1"/>
          <w:sz w:val="24"/>
          <w:szCs w:val="24"/>
          <w:highlight w:val="none"/>
          <w:lang w:val="en-US" w:eastAsia="zh-CN"/>
        </w:rPr>
        <w:t>5、产品选型</w:t>
      </w:r>
    </w:p>
    <w:p w14:paraId="6E05CF9F">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lang w:val="en-US" w:eastAsia="zh-CN"/>
        </w:rPr>
      </w:pPr>
      <w:r>
        <w:rPr>
          <w:rFonts w:hint="eastAsia" w:ascii="仿宋" w:hAnsi="仿宋" w:eastAsia="仿宋" w:cs="仿宋"/>
          <w:color w:val="auto"/>
          <w:kern w:val="1"/>
          <w:sz w:val="24"/>
          <w:szCs w:val="24"/>
          <w:highlight w:val="none"/>
          <w:lang w:val="en-US" w:eastAsia="zh-CN"/>
        </w:rPr>
        <w:t>6、使用安全性、便捷性及备品备件</w:t>
      </w:r>
    </w:p>
    <w:p w14:paraId="4B0F0C4D">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lang w:val="en-US" w:eastAsia="zh-CN"/>
        </w:rPr>
      </w:pPr>
      <w:r>
        <w:rPr>
          <w:rFonts w:hint="eastAsia" w:ascii="仿宋" w:hAnsi="仿宋" w:eastAsia="仿宋" w:cs="仿宋"/>
          <w:color w:val="auto"/>
          <w:kern w:val="1"/>
          <w:sz w:val="24"/>
          <w:szCs w:val="24"/>
          <w:highlight w:val="none"/>
          <w:lang w:val="en-US" w:eastAsia="zh-CN"/>
        </w:rPr>
        <w:t>7、所投产品完整性与兼容性</w:t>
      </w:r>
    </w:p>
    <w:p w14:paraId="3F61C219">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lang w:val="en-US" w:eastAsia="zh-CN"/>
        </w:rPr>
      </w:pPr>
      <w:r>
        <w:rPr>
          <w:rFonts w:hint="eastAsia" w:ascii="仿宋" w:hAnsi="仿宋" w:eastAsia="仿宋" w:cs="仿宋"/>
          <w:color w:val="auto"/>
          <w:kern w:val="1"/>
          <w:sz w:val="24"/>
          <w:szCs w:val="24"/>
          <w:highlight w:val="none"/>
          <w:lang w:val="en-US" w:eastAsia="zh-CN"/>
        </w:rPr>
        <w:t>8、供货组织方案及技术保证措施</w:t>
      </w:r>
    </w:p>
    <w:p w14:paraId="06B9905B">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lang w:val="en-US" w:eastAsia="zh-CN"/>
        </w:rPr>
      </w:pPr>
      <w:r>
        <w:rPr>
          <w:rFonts w:hint="eastAsia" w:ascii="仿宋" w:hAnsi="仿宋" w:eastAsia="仿宋" w:cs="仿宋"/>
          <w:color w:val="auto"/>
          <w:kern w:val="1"/>
          <w:sz w:val="24"/>
          <w:szCs w:val="24"/>
          <w:highlight w:val="none"/>
          <w:lang w:val="en-US" w:eastAsia="zh-CN"/>
        </w:rPr>
        <w:t>9、培训方案</w:t>
      </w:r>
    </w:p>
    <w:p w14:paraId="3FC6C237">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lang w:val="en-US" w:eastAsia="zh-CN"/>
        </w:rPr>
      </w:pPr>
      <w:r>
        <w:rPr>
          <w:rFonts w:hint="eastAsia" w:ascii="仿宋" w:hAnsi="仿宋" w:eastAsia="仿宋" w:cs="仿宋"/>
          <w:color w:val="auto"/>
          <w:kern w:val="1"/>
          <w:sz w:val="24"/>
          <w:szCs w:val="24"/>
          <w:highlight w:val="none"/>
          <w:lang w:val="en-US" w:eastAsia="zh-CN"/>
        </w:rPr>
        <w:t>10、售后服务方案</w:t>
      </w:r>
    </w:p>
    <w:p w14:paraId="147A3FE0">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lang w:eastAsia="zh-CN"/>
        </w:rPr>
      </w:pPr>
      <w:r>
        <w:rPr>
          <w:rFonts w:hint="eastAsia" w:ascii="仿宋" w:hAnsi="仿宋" w:eastAsia="仿宋" w:cs="仿宋"/>
          <w:color w:val="auto"/>
          <w:kern w:val="1"/>
          <w:sz w:val="24"/>
          <w:szCs w:val="24"/>
          <w:highlight w:val="none"/>
          <w:lang w:val="en-US" w:eastAsia="zh-CN"/>
        </w:rPr>
        <w:t>11、耗材情况</w:t>
      </w:r>
    </w:p>
    <w:p w14:paraId="10436CDA">
      <w:pPr>
        <w:widowControl/>
        <w:autoSpaceDE w:val="0"/>
        <w:autoSpaceDN w:val="0"/>
        <w:adjustRightInd w:val="0"/>
        <w:spacing w:line="360" w:lineRule="auto"/>
        <w:ind w:right="-482" w:firstLine="480"/>
        <w:jc w:val="left"/>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lang w:val="en-US" w:eastAsia="zh-CN"/>
        </w:rPr>
        <w:t>12</w:t>
      </w:r>
      <w:r>
        <w:rPr>
          <w:rFonts w:hint="eastAsia" w:ascii="仿宋" w:hAnsi="仿宋" w:eastAsia="仿宋" w:cs="仿宋"/>
          <w:color w:val="auto"/>
          <w:kern w:val="1"/>
          <w:sz w:val="24"/>
          <w:szCs w:val="24"/>
          <w:highlight w:val="none"/>
        </w:rPr>
        <w:t>、招标文件技术评标办法中要求提交的相关证明材料复印件；</w:t>
      </w:r>
    </w:p>
    <w:p w14:paraId="7E3E5B73">
      <w:pPr>
        <w:widowControl/>
        <w:autoSpaceDE w:val="0"/>
        <w:autoSpaceDN w:val="0"/>
        <w:adjustRightInd w:val="0"/>
        <w:spacing w:line="360" w:lineRule="auto"/>
        <w:ind w:right="-482" w:firstLine="480"/>
        <w:jc w:val="left"/>
        <w:rPr>
          <w:rFonts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1</w:t>
      </w:r>
      <w:r>
        <w:rPr>
          <w:rFonts w:hint="eastAsia" w:ascii="仿宋" w:hAnsi="仿宋" w:eastAsia="仿宋" w:cs="仿宋"/>
          <w:color w:val="auto"/>
          <w:kern w:val="1"/>
          <w:sz w:val="24"/>
          <w:szCs w:val="24"/>
          <w:highlight w:val="none"/>
          <w:lang w:val="en-US" w:eastAsia="zh-CN"/>
        </w:rPr>
        <w:t>3</w:t>
      </w:r>
      <w:r>
        <w:rPr>
          <w:rFonts w:hint="eastAsia" w:ascii="仿宋" w:hAnsi="仿宋" w:eastAsia="仿宋" w:cs="仿宋"/>
          <w:color w:val="auto"/>
          <w:kern w:val="1"/>
          <w:sz w:val="24"/>
          <w:szCs w:val="24"/>
          <w:highlight w:val="none"/>
        </w:rPr>
        <w:t>、投标人认为应介绍或者提交的资料和文件。</w:t>
      </w:r>
    </w:p>
    <w:p w14:paraId="1DE4083E">
      <w:pPr>
        <w:wordWrap w:val="0"/>
        <w:spacing w:line="420" w:lineRule="exact"/>
        <w:ind w:firstLine="480" w:firstLineChars="200"/>
        <w:rPr>
          <w:rFonts w:hint="eastAsia" w:ascii="仿宋" w:hAnsi="仿宋" w:eastAsia="仿宋"/>
          <w:color w:val="auto"/>
          <w:kern w:val="1"/>
          <w:sz w:val="24"/>
          <w:szCs w:val="24"/>
          <w:highlight w:val="none"/>
          <w:lang w:val="en-US" w:eastAsia="zh-CN"/>
        </w:rPr>
      </w:pPr>
      <w:r>
        <w:rPr>
          <w:rFonts w:hint="eastAsia" w:ascii="仿宋" w:hAnsi="仿宋" w:eastAsia="仿宋" w:cs="仿宋"/>
          <w:color w:val="auto"/>
          <w:sz w:val="24"/>
          <w:highlight w:val="none"/>
          <w:lang w:val="zh-CN"/>
        </w:rPr>
        <w:t>注：以上未提供格式的，格式自拟。</w:t>
      </w:r>
    </w:p>
    <w:p w14:paraId="06F9A079">
      <w:pPr>
        <w:widowControl/>
        <w:autoSpaceDE w:val="0"/>
        <w:autoSpaceDN w:val="0"/>
        <w:adjustRightInd w:val="0"/>
        <w:spacing w:line="420" w:lineRule="exact"/>
        <w:ind w:right="-482"/>
        <w:jc w:val="left"/>
        <w:rPr>
          <w:rFonts w:ascii="宋体" w:hAnsi="宋体"/>
          <w:color w:val="auto"/>
          <w:kern w:val="1"/>
          <w:sz w:val="24"/>
          <w:szCs w:val="24"/>
          <w:highlight w:val="none"/>
        </w:rPr>
      </w:pPr>
    </w:p>
    <w:p w14:paraId="00FDE0A0">
      <w:pPr>
        <w:widowControl/>
        <w:autoSpaceDE w:val="0"/>
        <w:autoSpaceDN w:val="0"/>
        <w:adjustRightInd w:val="0"/>
        <w:spacing w:line="640" w:lineRule="exact"/>
        <w:ind w:right="-481"/>
        <w:rPr>
          <w:rFonts w:ascii="宋体" w:hAnsi="宋体" w:cs="宋体"/>
          <w:color w:val="auto"/>
          <w:kern w:val="1"/>
          <w:sz w:val="30"/>
          <w:szCs w:val="30"/>
          <w:highlight w:val="none"/>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74CB3BA9">
      <w:pPr>
        <w:widowControl/>
        <w:autoSpaceDE w:val="0"/>
        <w:autoSpaceDN w:val="0"/>
        <w:adjustRightInd w:val="0"/>
        <w:ind w:right="-481"/>
        <w:jc w:val="left"/>
        <w:rPr>
          <w:rStyle w:val="46"/>
          <w:color w:val="auto"/>
          <w:sz w:val="24"/>
          <w:szCs w:val="24"/>
          <w:highlight w:val="none"/>
        </w:rPr>
      </w:pPr>
      <w:r>
        <w:rPr>
          <w:rStyle w:val="46"/>
          <w:rFonts w:hint="eastAsia"/>
          <w:color w:val="auto"/>
          <w:sz w:val="24"/>
          <w:szCs w:val="24"/>
          <w:highlight w:val="none"/>
        </w:rPr>
        <w:t>附件1</w:t>
      </w:r>
      <w:r>
        <w:rPr>
          <w:rStyle w:val="46"/>
          <w:rFonts w:hint="eastAsia" w:eastAsia="仿宋"/>
          <w:color w:val="auto"/>
          <w:sz w:val="24"/>
          <w:szCs w:val="24"/>
          <w:highlight w:val="none"/>
          <w:lang w:val="en-US" w:eastAsia="zh-CN"/>
        </w:rPr>
        <w:t>3</w:t>
      </w:r>
      <w:r>
        <w:rPr>
          <w:rStyle w:val="46"/>
          <w:rFonts w:hint="eastAsia"/>
          <w:color w:val="auto"/>
          <w:sz w:val="24"/>
          <w:szCs w:val="24"/>
          <w:highlight w:val="none"/>
        </w:rPr>
        <w:t>：</w:t>
      </w:r>
    </w:p>
    <w:p w14:paraId="205B3F67">
      <w:pPr>
        <w:widowControl/>
        <w:autoSpaceDE w:val="0"/>
        <w:autoSpaceDN w:val="0"/>
        <w:adjustRightInd w:val="0"/>
        <w:spacing w:before="120" w:after="120" w:line="300" w:lineRule="auto"/>
        <w:ind w:right="-481"/>
        <w:jc w:val="center"/>
        <w:rPr>
          <w:rFonts w:ascii="仿宋" w:hAnsi="仿宋" w:eastAsia="仿宋"/>
          <w:color w:val="auto"/>
          <w:kern w:val="1"/>
          <w:sz w:val="28"/>
          <w:szCs w:val="28"/>
          <w:highlight w:val="none"/>
        </w:rPr>
      </w:pPr>
      <w:r>
        <w:rPr>
          <w:rFonts w:hint="eastAsia" w:ascii="仿宋" w:hAnsi="仿宋" w:eastAsia="仿宋" w:cs="宋体"/>
          <w:color w:val="auto"/>
          <w:kern w:val="1"/>
          <w:sz w:val="28"/>
          <w:szCs w:val="28"/>
          <w:highlight w:val="none"/>
        </w:rPr>
        <w:t>货物清单</w:t>
      </w:r>
    </w:p>
    <w:p w14:paraId="5356FC2D">
      <w:pPr>
        <w:widowControl/>
        <w:autoSpaceDE w:val="0"/>
        <w:autoSpaceDN w:val="0"/>
        <w:adjustRightInd w:val="0"/>
        <w:spacing w:before="120" w:after="120" w:line="300" w:lineRule="auto"/>
        <w:ind w:right="-481" w:firstLine="630"/>
        <w:jc w:val="center"/>
        <w:rPr>
          <w:rFonts w:ascii="仿宋" w:hAnsi="仿宋" w:eastAsia="仿宋"/>
          <w:color w:val="auto"/>
          <w:kern w:val="1"/>
          <w:sz w:val="24"/>
          <w:szCs w:val="24"/>
          <w:highlight w:val="none"/>
        </w:rPr>
      </w:pPr>
    </w:p>
    <w:p w14:paraId="47EB6526">
      <w:pPr>
        <w:widowControl/>
        <w:autoSpaceDE w:val="0"/>
        <w:autoSpaceDN w:val="0"/>
        <w:adjustRightInd w:val="0"/>
        <w:spacing w:after="240"/>
        <w:ind w:right="-481"/>
        <w:rPr>
          <w:rFonts w:ascii="仿宋" w:hAnsi="仿宋" w:eastAsia="仿宋"/>
          <w:b/>
          <w:bCs/>
          <w:color w:val="auto"/>
          <w:kern w:val="1"/>
          <w:sz w:val="24"/>
          <w:szCs w:val="24"/>
          <w:highlight w:val="none"/>
        </w:rPr>
      </w:pPr>
      <w:r>
        <w:rPr>
          <w:rStyle w:val="46"/>
          <w:rFonts w:hint="eastAsia"/>
          <w:color w:val="auto"/>
          <w:sz w:val="24"/>
          <w:szCs w:val="24"/>
          <w:highlight w:val="none"/>
        </w:rPr>
        <w:t>投标包：第</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包</w:t>
      </w:r>
      <w:r>
        <w:rPr>
          <w:rStyle w:val="46"/>
          <w:color w:val="auto"/>
          <w:sz w:val="24"/>
          <w:szCs w:val="24"/>
          <w:highlight w:val="none"/>
        </w:rPr>
        <w:t xml:space="preserve">                             </w:t>
      </w:r>
      <w:r>
        <w:rPr>
          <w:rStyle w:val="46"/>
          <w:rFonts w:hint="eastAsia"/>
          <w:color w:val="auto"/>
          <w:sz w:val="24"/>
          <w:szCs w:val="24"/>
          <w:highlight w:val="none"/>
        </w:rPr>
        <w:t>包名称：</w:t>
      </w:r>
      <w:r>
        <w:rPr>
          <w:rFonts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u w:val="single"/>
        </w:rPr>
        <w:t xml:space="preserve">       </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900"/>
        <w:gridCol w:w="1080"/>
        <w:gridCol w:w="1260"/>
        <w:gridCol w:w="3497"/>
      </w:tblGrid>
      <w:tr w14:paraId="0F037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tcMar>
              <w:top w:w="100" w:type="dxa"/>
              <w:right w:w="100" w:type="dxa"/>
            </w:tcMar>
            <w:vAlign w:val="center"/>
          </w:tcPr>
          <w:p w14:paraId="42EE4E98">
            <w:pPr>
              <w:widowControl/>
              <w:autoSpaceDE w:val="0"/>
              <w:autoSpaceDN w:val="0"/>
              <w:adjustRightInd w:val="0"/>
              <w:spacing w:before="50" w:after="50"/>
              <w:jc w:val="center"/>
              <w:rPr>
                <w:rStyle w:val="46"/>
                <w:color w:val="auto"/>
                <w:sz w:val="24"/>
                <w:szCs w:val="24"/>
                <w:highlight w:val="none"/>
              </w:rPr>
            </w:pPr>
            <w:r>
              <w:rPr>
                <w:rStyle w:val="46"/>
                <w:rFonts w:hint="eastAsia"/>
                <w:color w:val="auto"/>
                <w:sz w:val="24"/>
                <w:szCs w:val="24"/>
                <w:highlight w:val="none"/>
              </w:rPr>
              <w:t>序号</w:t>
            </w:r>
          </w:p>
        </w:tc>
        <w:tc>
          <w:tcPr>
            <w:tcW w:w="1440" w:type="dxa"/>
            <w:noWrap w:val="0"/>
            <w:tcMar>
              <w:top w:w="100" w:type="dxa"/>
              <w:right w:w="100" w:type="dxa"/>
            </w:tcMar>
            <w:vAlign w:val="center"/>
          </w:tcPr>
          <w:p w14:paraId="5EE9B761">
            <w:pPr>
              <w:widowControl/>
              <w:autoSpaceDE w:val="0"/>
              <w:autoSpaceDN w:val="0"/>
              <w:adjustRightInd w:val="0"/>
              <w:spacing w:before="50" w:after="50"/>
              <w:jc w:val="center"/>
              <w:rPr>
                <w:rStyle w:val="46"/>
                <w:color w:val="auto"/>
                <w:sz w:val="24"/>
                <w:szCs w:val="24"/>
                <w:highlight w:val="none"/>
              </w:rPr>
            </w:pPr>
            <w:r>
              <w:rPr>
                <w:rStyle w:val="46"/>
                <w:rFonts w:hint="eastAsia"/>
                <w:color w:val="auto"/>
                <w:sz w:val="24"/>
                <w:szCs w:val="24"/>
                <w:highlight w:val="none"/>
              </w:rPr>
              <w:t>货物名称</w:t>
            </w:r>
          </w:p>
        </w:tc>
        <w:tc>
          <w:tcPr>
            <w:tcW w:w="900" w:type="dxa"/>
            <w:noWrap w:val="0"/>
            <w:tcMar>
              <w:top w:w="100" w:type="dxa"/>
              <w:right w:w="100" w:type="dxa"/>
            </w:tcMar>
            <w:vAlign w:val="center"/>
          </w:tcPr>
          <w:p w14:paraId="7BBE1778">
            <w:pPr>
              <w:widowControl/>
              <w:autoSpaceDE w:val="0"/>
              <w:autoSpaceDN w:val="0"/>
              <w:adjustRightInd w:val="0"/>
              <w:spacing w:before="50" w:after="50"/>
              <w:jc w:val="center"/>
              <w:rPr>
                <w:rStyle w:val="46"/>
                <w:color w:val="auto"/>
                <w:sz w:val="24"/>
                <w:szCs w:val="24"/>
                <w:highlight w:val="none"/>
              </w:rPr>
            </w:pPr>
            <w:r>
              <w:rPr>
                <w:rStyle w:val="46"/>
                <w:rFonts w:hint="eastAsia"/>
                <w:color w:val="auto"/>
                <w:sz w:val="24"/>
                <w:szCs w:val="24"/>
                <w:highlight w:val="none"/>
              </w:rPr>
              <w:t>品牌</w:t>
            </w:r>
          </w:p>
        </w:tc>
        <w:tc>
          <w:tcPr>
            <w:tcW w:w="1080" w:type="dxa"/>
            <w:noWrap w:val="0"/>
            <w:tcMar>
              <w:top w:w="100" w:type="dxa"/>
              <w:right w:w="100" w:type="dxa"/>
            </w:tcMar>
            <w:vAlign w:val="center"/>
          </w:tcPr>
          <w:p w14:paraId="0F4E59C9">
            <w:pPr>
              <w:widowControl/>
              <w:autoSpaceDE w:val="0"/>
              <w:autoSpaceDN w:val="0"/>
              <w:adjustRightInd w:val="0"/>
              <w:spacing w:before="50" w:after="50"/>
              <w:jc w:val="center"/>
              <w:rPr>
                <w:rStyle w:val="46"/>
                <w:color w:val="auto"/>
                <w:sz w:val="24"/>
                <w:szCs w:val="24"/>
                <w:highlight w:val="none"/>
              </w:rPr>
            </w:pPr>
            <w:r>
              <w:rPr>
                <w:rStyle w:val="46"/>
                <w:rFonts w:hint="eastAsia"/>
                <w:color w:val="auto"/>
                <w:sz w:val="24"/>
                <w:szCs w:val="24"/>
                <w:highlight w:val="none"/>
              </w:rPr>
              <w:t>产地</w:t>
            </w:r>
          </w:p>
        </w:tc>
        <w:tc>
          <w:tcPr>
            <w:tcW w:w="1260" w:type="dxa"/>
            <w:noWrap w:val="0"/>
            <w:tcMar>
              <w:top w:w="100" w:type="dxa"/>
              <w:right w:w="100" w:type="dxa"/>
            </w:tcMar>
            <w:vAlign w:val="center"/>
          </w:tcPr>
          <w:p w14:paraId="25B79364">
            <w:pPr>
              <w:widowControl/>
              <w:autoSpaceDE w:val="0"/>
              <w:autoSpaceDN w:val="0"/>
              <w:adjustRightInd w:val="0"/>
              <w:spacing w:before="50" w:after="50"/>
              <w:jc w:val="center"/>
              <w:rPr>
                <w:rStyle w:val="46"/>
                <w:color w:val="auto"/>
                <w:sz w:val="24"/>
                <w:szCs w:val="24"/>
                <w:highlight w:val="none"/>
              </w:rPr>
            </w:pPr>
            <w:r>
              <w:rPr>
                <w:rStyle w:val="46"/>
                <w:rFonts w:hint="eastAsia"/>
                <w:color w:val="auto"/>
                <w:sz w:val="24"/>
                <w:szCs w:val="24"/>
                <w:highlight w:val="none"/>
              </w:rPr>
              <w:t>规格型号</w:t>
            </w:r>
          </w:p>
        </w:tc>
        <w:tc>
          <w:tcPr>
            <w:tcW w:w="3497" w:type="dxa"/>
            <w:noWrap w:val="0"/>
            <w:tcMar>
              <w:top w:w="100" w:type="dxa"/>
              <w:right w:w="100" w:type="dxa"/>
            </w:tcMar>
            <w:vAlign w:val="center"/>
          </w:tcPr>
          <w:p w14:paraId="7F15F3AC">
            <w:pPr>
              <w:widowControl/>
              <w:autoSpaceDE w:val="0"/>
              <w:autoSpaceDN w:val="0"/>
              <w:adjustRightInd w:val="0"/>
              <w:spacing w:before="50" w:after="50"/>
              <w:jc w:val="center"/>
              <w:rPr>
                <w:rStyle w:val="46"/>
                <w:color w:val="auto"/>
                <w:sz w:val="24"/>
                <w:szCs w:val="24"/>
                <w:highlight w:val="none"/>
              </w:rPr>
            </w:pPr>
            <w:r>
              <w:rPr>
                <w:rStyle w:val="46"/>
                <w:rFonts w:hint="eastAsia"/>
                <w:color w:val="auto"/>
                <w:sz w:val="24"/>
                <w:szCs w:val="24"/>
                <w:highlight w:val="none"/>
              </w:rPr>
              <w:t>性能以及指标</w:t>
            </w:r>
          </w:p>
        </w:tc>
      </w:tr>
      <w:tr w14:paraId="66AD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tcMar>
              <w:top w:w="100" w:type="dxa"/>
              <w:right w:w="100" w:type="dxa"/>
            </w:tcMar>
            <w:vAlign w:val="center"/>
          </w:tcPr>
          <w:p w14:paraId="688B4112">
            <w:pPr>
              <w:widowControl/>
              <w:autoSpaceDE w:val="0"/>
              <w:autoSpaceDN w:val="0"/>
              <w:adjustRightInd w:val="0"/>
              <w:spacing w:before="50" w:after="50"/>
              <w:jc w:val="center"/>
              <w:rPr>
                <w:rStyle w:val="46"/>
                <w:color w:val="auto"/>
                <w:sz w:val="24"/>
                <w:szCs w:val="24"/>
                <w:highlight w:val="none"/>
              </w:rPr>
            </w:pPr>
            <w:r>
              <w:rPr>
                <w:rStyle w:val="46"/>
                <w:color w:val="auto"/>
                <w:sz w:val="24"/>
                <w:szCs w:val="24"/>
                <w:highlight w:val="none"/>
              </w:rPr>
              <w:t>1</w:t>
            </w:r>
          </w:p>
        </w:tc>
        <w:tc>
          <w:tcPr>
            <w:tcW w:w="1440" w:type="dxa"/>
            <w:noWrap w:val="0"/>
            <w:tcMar>
              <w:top w:w="100" w:type="dxa"/>
              <w:right w:w="100" w:type="dxa"/>
            </w:tcMar>
            <w:vAlign w:val="center"/>
          </w:tcPr>
          <w:p w14:paraId="62ABBB54">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900" w:type="dxa"/>
            <w:noWrap w:val="0"/>
            <w:tcMar>
              <w:top w:w="100" w:type="dxa"/>
              <w:right w:w="100" w:type="dxa"/>
            </w:tcMar>
            <w:vAlign w:val="center"/>
          </w:tcPr>
          <w:p w14:paraId="50D80AC3">
            <w:pPr>
              <w:widowControl/>
              <w:autoSpaceDE w:val="0"/>
              <w:autoSpaceDN w:val="0"/>
              <w:adjustRightInd w:val="0"/>
              <w:spacing w:before="50" w:after="50"/>
              <w:ind w:left="480" w:hanging="480"/>
              <w:jc w:val="center"/>
              <w:rPr>
                <w:rFonts w:ascii="仿宋" w:hAnsi="仿宋" w:eastAsia="仿宋"/>
                <w:color w:val="auto"/>
                <w:kern w:val="1"/>
                <w:sz w:val="24"/>
                <w:szCs w:val="24"/>
                <w:highlight w:val="none"/>
              </w:rPr>
            </w:pPr>
          </w:p>
        </w:tc>
        <w:tc>
          <w:tcPr>
            <w:tcW w:w="1080" w:type="dxa"/>
            <w:noWrap w:val="0"/>
            <w:tcMar>
              <w:top w:w="100" w:type="dxa"/>
              <w:right w:w="100" w:type="dxa"/>
            </w:tcMar>
            <w:vAlign w:val="top"/>
          </w:tcPr>
          <w:p w14:paraId="28BDB8D2">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1260" w:type="dxa"/>
            <w:noWrap w:val="0"/>
            <w:tcMar>
              <w:top w:w="100" w:type="dxa"/>
              <w:right w:w="100" w:type="dxa"/>
            </w:tcMar>
            <w:vAlign w:val="center"/>
          </w:tcPr>
          <w:p w14:paraId="0B09F703">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3497" w:type="dxa"/>
            <w:noWrap w:val="0"/>
            <w:tcMar>
              <w:top w:w="100" w:type="dxa"/>
              <w:right w:w="100" w:type="dxa"/>
            </w:tcMar>
            <w:vAlign w:val="center"/>
          </w:tcPr>
          <w:p w14:paraId="4B28DB57">
            <w:pPr>
              <w:widowControl/>
              <w:autoSpaceDE w:val="0"/>
              <w:autoSpaceDN w:val="0"/>
              <w:adjustRightInd w:val="0"/>
              <w:spacing w:before="50" w:after="50"/>
              <w:jc w:val="center"/>
              <w:rPr>
                <w:rFonts w:ascii="仿宋" w:hAnsi="仿宋" w:eastAsia="仿宋"/>
                <w:color w:val="auto"/>
                <w:kern w:val="1"/>
                <w:sz w:val="24"/>
                <w:szCs w:val="24"/>
                <w:highlight w:val="none"/>
              </w:rPr>
            </w:pPr>
          </w:p>
        </w:tc>
      </w:tr>
      <w:tr w14:paraId="7011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tcMar>
              <w:top w:w="100" w:type="dxa"/>
              <w:right w:w="100" w:type="dxa"/>
            </w:tcMar>
            <w:vAlign w:val="center"/>
          </w:tcPr>
          <w:p w14:paraId="5D32ADFF">
            <w:pPr>
              <w:widowControl/>
              <w:autoSpaceDE w:val="0"/>
              <w:autoSpaceDN w:val="0"/>
              <w:adjustRightInd w:val="0"/>
              <w:spacing w:before="50" w:after="50"/>
              <w:jc w:val="center"/>
              <w:rPr>
                <w:rStyle w:val="46"/>
                <w:color w:val="auto"/>
                <w:sz w:val="24"/>
                <w:szCs w:val="24"/>
                <w:highlight w:val="none"/>
              </w:rPr>
            </w:pPr>
            <w:r>
              <w:rPr>
                <w:rStyle w:val="46"/>
                <w:color w:val="auto"/>
                <w:sz w:val="24"/>
                <w:szCs w:val="24"/>
                <w:highlight w:val="none"/>
              </w:rPr>
              <w:t>2</w:t>
            </w:r>
          </w:p>
        </w:tc>
        <w:tc>
          <w:tcPr>
            <w:tcW w:w="1440" w:type="dxa"/>
            <w:noWrap w:val="0"/>
            <w:tcMar>
              <w:top w:w="100" w:type="dxa"/>
              <w:right w:w="100" w:type="dxa"/>
            </w:tcMar>
            <w:vAlign w:val="center"/>
          </w:tcPr>
          <w:p w14:paraId="72B526BC">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900" w:type="dxa"/>
            <w:noWrap w:val="0"/>
            <w:tcMar>
              <w:top w:w="100" w:type="dxa"/>
              <w:right w:w="100" w:type="dxa"/>
            </w:tcMar>
            <w:vAlign w:val="center"/>
          </w:tcPr>
          <w:p w14:paraId="2E4CE297">
            <w:pPr>
              <w:widowControl/>
              <w:autoSpaceDE w:val="0"/>
              <w:autoSpaceDN w:val="0"/>
              <w:adjustRightInd w:val="0"/>
              <w:spacing w:before="50" w:after="50"/>
              <w:ind w:left="480" w:hanging="480"/>
              <w:jc w:val="center"/>
              <w:rPr>
                <w:rFonts w:ascii="仿宋" w:hAnsi="仿宋" w:eastAsia="仿宋"/>
                <w:color w:val="auto"/>
                <w:kern w:val="1"/>
                <w:sz w:val="24"/>
                <w:szCs w:val="24"/>
                <w:highlight w:val="none"/>
              </w:rPr>
            </w:pPr>
          </w:p>
        </w:tc>
        <w:tc>
          <w:tcPr>
            <w:tcW w:w="1080" w:type="dxa"/>
            <w:noWrap w:val="0"/>
            <w:tcMar>
              <w:top w:w="100" w:type="dxa"/>
              <w:right w:w="100" w:type="dxa"/>
            </w:tcMar>
            <w:vAlign w:val="top"/>
          </w:tcPr>
          <w:p w14:paraId="7BB86F81">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1260" w:type="dxa"/>
            <w:noWrap w:val="0"/>
            <w:tcMar>
              <w:top w:w="100" w:type="dxa"/>
              <w:right w:w="100" w:type="dxa"/>
            </w:tcMar>
            <w:vAlign w:val="center"/>
          </w:tcPr>
          <w:p w14:paraId="0E19CA1A">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3497" w:type="dxa"/>
            <w:noWrap w:val="0"/>
            <w:tcMar>
              <w:top w:w="100" w:type="dxa"/>
              <w:right w:w="100" w:type="dxa"/>
            </w:tcMar>
            <w:vAlign w:val="center"/>
          </w:tcPr>
          <w:p w14:paraId="3D946CAB">
            <w:pPr>
              <w:widowControl/>
              <w:autoSpaceDE w:val="0"/>
              <w:autoSpaceDN w:val="0"/>
              <w:adjustRightInd w:val="0"/>
              <w:spacing w:before="50" w:after="50"/>
              <w:jc w:val="center"/>
              <w:rPr>
                <w:rFonts w:ascii="仿宋" w:hAnsi="仿宋" w:eastAsia="仿宋"/>
                <w:color w:val="auto"/>
                <w:kern w:val="1"/>
                <w:sz w:val="24"/>
                <w:szCs w:val="24"/>
                <w:highlight w:val="none"/>
              </w:rPr>
            </w:pPr>
          </w:p>
        </w:tc>
      </w:tr>
      <w:tr w14:paraId="2A80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tcMar>
              <w:top w:w="100" w:type="dxa"/>
              <w:right w:w="100" w:type="dxa"/>
            </w:tcMar>
            <w:vAlign w:val="center"/>
          </w:tcPr>
          <w:p w14:paraId="71A2D83A">
            <w:pPr>
              <w:widowControl/>
              <w:autoSpaceDE w:val="0"/>
              <w:autoSpaceDN w:val="0"/>
              <w:adjustRightInd w:val="0"/>
              <w:spacing w:before="50" w:after="50"/>
              <w:jc w:val="center"/>
              <w:rPr>
                <w:rStyle w:val="46"/>
                <w:color w:val="auto"/>
                <w:sz w:val="24"/>
                <w:szCs w:val="24"/>
                <w:highlight w:val="none"/>
              </w:rPr>
            </w:pPr>
            <w:r>
              <w:rPr>
                <w:rStyle w:val="46"/>
                <w:color w:val="auto"/>
                <w:sz w:val="24"/>
                <w:szCs w:val="24"/>
                <w:highlight w:val="none"/>
              </w:rPr>
              <w:t>3</w:t>
            </w:r>
          </w:p>
        </w:tc>
        <w:tc>
          <w:tcPr>
            <w:tcW w:w="1440" w:type="dxa"/>
            <w:noWrap w:val="0"/>
            <w:tcMar>
              <w:top w:w="100" w:type="dxa"/>
              <w:right w:w="100" w:type="dxa"/>
            </w:tcMar>
            <w:vAlign w:val="center"/>
          </w:tcPr>
          <w:p w14:paraId="6325BC20">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900" w:type="dxa"/>
            <w:noWrap w:val="0"/>
            <w:tcMar>
              <w:top w:w="100" w:type="dxa"/>
              <w:right w:w="100" w:type="dxa"/>
            </w:tcMar>
            <w:vAlign w:val="center"/>
          </w:tcPr>
          <w:p w14:paraId="29661872">
            <w:pPr>
              <w:widowControl/>
              <w:autoSpaceDE w:val="0"/>
              <w:autoSpaceDN w:val="0"/>
              <w:adjustRightInd w:val="0"/>
              <w:spacing w:before="50" w:after="50"/>
              <w:ind w:left="480" w:hanging="480"/>
              <w:jc w:val="center"/>
              <w:rPr>
                <w:rFonts w:ascii="仿宋" w:hAnsi="仿宋" w:eastAsia="仿宋"/>
                <w:color w:val="auto"/>
                <w:kern w:val="1"/>
                <w:sz w:val="24"/>
                <w:szCs w:val="24"/>
                <w:highlight w:val="none"/>
              </w:rPr>
            </w:pPr>
          </w:p>
        </w:tc>
        <w:tc>
          <w:tcPr>
            <w:tcW w:w="1080" w:type="dxa"/>
            <w:noWrap w:val="0"/>
            <w:tcMar>
              <w:top w:w="100" w:type="dxa"/>
              <w:right w:w="100" w:type="dxa"/>
            </w:tcMar>
            <w:vAlign w:val="top"/>
          </w:tcPr>
          <w:p w14:paraId="499F11D3">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1260" w:type="dxa"/>
            <w:noWrap w:val="0"/>
            <w:tcMar>
              <w:top w:w="100" w:type="dxa"/>
              <w:right w:w="100" w:type="dxa"/>
            </w:tcMar>
            <w:vAlign w:val="center"/>
          </w:tcPr>
          <w:p w14:paraId="411A5D9F">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3497" w:type="dxa"/>
            <w:noWrap w:val="0"/>
            <w:tcMar>
              <w:top w:w="100" w:type="dxa"/>
              <w:right w:w="100" w:type="dxa"/>
            </w:tcMar>
            <w:vAlign w:val="center"/>
          </w:tcPr>
          <w:p w14:paraId="45B09B9E">
            <w:pPr>
              <w:widowControl/>
              <w:autoSpaceDE w:val="0"/>
              <w:autoSpaceDN w:val="0"/>
              <w:adjustRightInd w:val="0"/>
              <w:spacing w:before="50" w:after="50"/>
              <w:jc w:val="center"/>
              <w:rPr>
                <w:rFonts w:ascii="仿宋" w:hAnsi="仿宋" w:eastAsia="仿宋"/>
                <w:color w:val="auto"/>
                <w:kern w:val="1"/>
                <w:sz w:val="24"/>
                <w:szCs w:val="24"/>
                <w:highlight w:val="none"/>
              </w:rPr>
            </w:pPr>
          </w:p>
        </w:tc>
      </w:tr>
      <w:tr w14:paraId="76DF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tcMar>
              <w:top w:w="100" w:type="dxa"/>
              <w:right w:w="100" w:type="dxa"/>
            </w:tcMar>
            <w:vAlign w:val="center"/>
          </w:tcPr>
          <w:p w14:paraId="615F182D">
            <w:pPr>
              <w:widowControl/>
              <w:autoSpaceDE w:val="0"/>
              <w:autoSpaceDN w:val="0"/>
              <w:adjustRightInd w:val="0"/>
              <w:spacing w:before="50" w:after="50"/>
              <w:jc w:val="center"/>
              <w:rPr>
                <w:rStyle w:val="46"/>
                <w:color w:val="auto"/>
                <w:sz w:val="24"/>
                <w:szCs w:val="24"/>
                <w:highlight w:val="none"/>
              </w:rPr>
            </w:pPr>
            <w:r>
              <w:rPr>
                <w:rStyle w:val="46"/>
                <w:color w:val="auto"/>
                <w:sz w:val="24"/>
                <w:szCs w:val="24"/>
                <w:highlight w:val="none"/>
              </w:rPr>
              <w:t>4</w:t>
            </w:r>
          </w:p>
        </w:tc>
        <w:tc>
          <w:tcPr>
            <w:tcW w:w="1440" w:type="dxa"/>
            <w:noWrap w:val="0"/>
            <w:tcMar>
              <w:top w:w="100" w:type="dxa"/>
              <w:right w:w="100" w:type="dxa"/>
            </w:tcMar>
            <w:vAlign w:val="center"/>
          </w:tcPr>
          <w:p w14:paraId="758A8DDE">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900" w:type="dxa"/>
            <w:noWrap w:val="0"/>
            <w:tcMar>
              <w:top w:w="100" w:type="dxa"/>
              <w:right w:w="100" w:type="dxa"/>
            </w:tcMar>
            <w:vAlign w:val="center"/>
          </w:tcPr>
          <w:p w14:paraId="41BD7113">
            <w:pPr>
              <w:widowControl/>
              <w:autoSpaceDE w:val="0"/>
              <w:autoSpaceDN w:val="0"/>
              <w:adjustRightInd w:val="0"/>
              <w:spacing w:before="50" w:after="50"/>
              <w:ind w:left="480" w:hanging="480"/>
              <w:jc w:val="center"/>
              <w:rPr>
                <w:rFonts w:ascii="仿宋" w:hAnsi="仿宋" w:eastAsia="仿宋"/>
                <w:color w:val="auto"/>
                <w:kern w:val="1"/>
                <w:sz w:val="24"/>
                <w:szCs w:val="24"/>
                <w:highlight w:val="none"/>
              </w:rPr>
            </w:pPr>
          </w:p>
        </w:tc>
        <w:tc>
          <w:tcPr>
            <w:tcW w:w="1080" w:type="dxa"/>
            <w:noWrap w:val="0"/>
            <w:tcMar>
              <w:top w:w="100" w:type="dxa"/>
              <w:right w:w="100" w:type="dxa"/>
            </w:tcMar>
            <w:vAlign w:val="top"/>
          </w:tcPr>
          <w:p w14:paraId="27D31001">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1260" w:type="dxa"/>
            <w:noWrap w:val="0"/>
            <w:tcMar>
              <w:top w:w="100" w:type="dxa"/>
              <w:right w:w="100" w:type="dxa"/>
            </w:tcMar>
            <w:vAlign w:val="center"/>
          </w:tcPr>
          <w:p w14:paraId="0A2C38C5">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3497" w:type="dxa"/>
            <w:noWrap w:val="0"/>
            <w:tcMar>
              <w:top w:w="100" w:type="dxa"/>
              <w:right w:w="100" w:type="dxa"/>
            </w:tcMar>
            <w:vAlign w:val="center"/>
          </w:tcPr>
          <w:p w14:paraId="2592859C">
            <w:pPr>
              <w:widowControl/>
              <w:autoSpaceDE w:val="0"/>
              <w:autoSpaceDN w:val="0"/>
              <w:adjustRightInd w:val="0"/>
              <w:spacing w:before="50" w:after="50"/>
              <w:jc w:val="center"/>
              <w:rPr>
                <w:rFonts w:ascii="仿宋" w:hAnsi="仿宋" w:eastAsia="仿宋"/>
                <w:color w:val="auto"/>
                <w:kern w:val="1"/>
                <w:sz w:val="24"/>
                <w:szCs w:val="24"/>
                <w:highlight w:val="none"/>
              </w:rPr>
            </w:pPr>
          </w:p>
        </w:tc>
      </w:tr>
      <w:tr w14:paraId="65DE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tcMar>
              <w:top w:w="100" w:type="dxa"/>
              <w:right w:w="100" w:type="dxa"/>
            </w:tcMar>
            <w:vAlign w:val="center"/>
          </w:tcPr>
          <w:p w14:paraId="0B2F4047">
            <w:pPr>
              <w:widowControl/>
              <w:autoSpaceDE w:val="0"/>
              <w:autoSpaceDN w:val="0"/>
              <w:adjustRightInd w:val="0"/>
              <w:spacing w:before="50" w:after="50"/>
              <w:jc w:val="center"/>
              <w:rPr>
                <w:rStyle w:val="46"/>
                <w:color w:val="auto"/>
                <w:sz w:val="24"/>
                <w:szCs w:val="24"/>
                <w:highlight w:val="none"/>
              </w:rPr>
            </w:pPr>
            <w:r>
              <w:rPr>
                <w:rStyle w:val="46"/>
                <w:color w:val="auto"/>
                <w:sz w:val="24"/>
                <w:szCs w:val="24"/>
                <w:highlight w:val="none"/>
              </w:rPr>
              <w:t>5</w:t>
            </w:r>
          </w:p>
        </w:tc>
        <w:tc>
          <w:tcPr>
            <w:tcW w:w="1440" w:type="dxa"/>
            <w:noWrap w:val="0"/>
            <w:tcMar>
              <w:top w:w="100" w:type="dxa"/>
              <w:right w:w="100" w:type="dxa"/>
            </w:tcMar>
            <w:vAlign w:val="center"/>
          </w:tcPr>
          <w:p w14:paraId="0D922982">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900" w:type="dxa"/>
            <w:noWrap w:val="0"/>
            <w:tcMar>
              <w:top w:w="100" w:type="dxa"/>
              <w:right w:w="100" w:type="dxa"/>
            </w:tcMar>
            <w:vAlign w:val="center"/>
          </w:tcPr>
          <w:p w14:paraId="0A9AE143">
            <w:pPr>
              <w:widowControl/>
              <w:autoSpaceDE w:val="0"/>
              <w:autoSpaceDN w:val="0"/>
              <w:adjustRightInd w:val="0"/>
              <w:spacing w:before="50" w:after="50"/>
              <w:ind w:left="480" w:hanging="480"/>
              <w:jc w:val="center"/>
              <w:rPr>
                <w:rFonts w:ascii="仿宋" w:hAnsi="仿宋" w:eastAsia="仿宋"/>
                <w:color w:val="auto"/>
                <w:kern w:val="1"/>
                <w:sz w:val="24"/>
                <w:szCs w:val="24"/>
                <w:highlight w:val="none"/>
              </w:rPr>
            </w:pPr>
          </w:p>
        </w:tc>
        <w:tc>
          <w:tcPr>
            <w:tcW w:w="1080" w:type="dxa"/>
            <w:noWrap w:val="0"/>
            <w:tcMar>
              <w:top w:w="100" w:type="dxa"/>
              <w:right w:w="100" w:type="dxa"/>
            </w:tcMar>
            <w:vAlign w:val="top"/>
          </w:tcPr>
          <w:p w14:paraId="0D52ABD0">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1260" w:type="dxa"/>
            <w:noWrap w:val="0"/>
            <w:tcMar>
              <w:top w:w="100" w:type="dxa"/>
              <w:right w:w="100" w:type="dxa"/>
            </w:tcMar>
            <w:vAlign w:val="center"/>
          </w:tcPr>
          <w:p w14:paraId="76C4847A">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3497" w:type="dxa"/>
            <w:noWrap w:val="0"/>
            <w:tcMar>
              <w:top w:w="100" w:type="dxa"/>
              <w:right w:w="100" w:type="dxa"/>
            </w:tcMar>
            <w:vAlign w:val="center"/>
          </w:tcPr>
          <w:p w14:paraId="3438C6A8">
            <w:pPr>
              <w:widowControl/>
              <w:autoSpaceDE w:val="0"/>
              <w:autoSpaceDN w:val="0"/>
              <w:adjustRightInd w:val="0"/>
              <w:spacing w:before="50" w:after="50"/>
              <w:jc w:val="center"/>
              <w:rPr>
                <w:rFonts w:ascii="仿宋" w:hAnsi="仿宋" w:eastAsia="仿宋"/>
                <w:color w:val="auto"/>
                <w:kern w:val="1"/>
                <w:sz w:val="24"/>
                <w:szCs w:val="24"/>
                <w:highlight w:val="none"/>
              </w:rPr>
            </w:pPr>
          </w:p>
        </w:tc>
      </w:tr>
      <w:tr w14:paraId="5F56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tcMar>
              <w:top w:w="100" w:type="dxa"/>
              <w:right w:w="100" w:type="dxa"/>
            </w:tcMar>
            <w:vAlign w:val="center"/>
          </w:tcPr>
          <w:p w14:paraId="5A49605A">
            <w:pPr>
              <w:widowControl/>
              <w:autoSpaceDE w:val="0"/>
              <w:autoSpaceDN w:val="0"/>
              <w:adjustRightInd w:val="0"/>
              <w:spacing w:before="50" w:after="50"/>
              <w:jc w:val="center"/>
              <w:rPr>
                <w:rFonts w:ascii="仿宋" w:hAnsi="仿宋" w:eastAsia="仿宋" w:cs="仿宋"/>
                <w:color w:val="auto"/>
                <w:kern w:val="1"/>
                <w:sz w:val="24"/>
                <w:szCs w:val="24"/>
                <w:highlight w:val="none"/>
              </w:rPr>
            </w:pPr>
            <w:r>
              <w:rPr>
                <w:rFonts w:ascii="仿宋" w:hAnsi="仿宋" w:eastAsia="仿宋" w:cs="仿宋"/>
                <w:color w:val="auto"/>
                <w:kern w:val="1"/>
                <w:sz w:val="24"/>
                <w:szCs w:val="24"/>
                <w:highlight w:val="none"/>
              </w:rPr>
              <w:t>6</w:t>
            </w:r>
          </w:p>
        </w:tc>
        <w:tc>
          <w:tcPr>
            <w:tcW w:w="1440" w:type="dxa"/>
            <w:noWrap w:val="0"/>
            <w:tcMar>
              <w:top w:w="100" w:type="dxa"/>
              <w:right w:w="100" w:type="dxa"/>
            </w:tcMar>
            <w:vAlign w:val="center"/>
          </w:tcPr>
          <w:p w14:paraId="35CA062F">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900" w:type="dxa"/>
            <w:noWrap w:val="0"/>
            <w:tcMar>
              <w:top w:w="100" w:type="dxa"/>
              <w:right w:w="100" w:type="dxa"/>
            </w:tcMar>
            <w:vAlign w:val="center"/>
          </w:tcPr>
          <w:p w14:paraId="3D289B51">
            <w:pPr>
              <w:widowControl/>
              <w:autoSpaceDE w:val="0"/>
              <w:autoSpaceDN w:val="0"/>
              <w:adjustRightInd w:val="0"/>
              <w:spacing w:before="50" w:after="50"/>
              <w:ind w:left="480" w:hanging="480"/>
              <w:jc w:val="center"/>
              <w:rPr>
                <w:rFonts w:ascii="仿宋" w:hAnsi="仿宋" w:eastAsia="仿宋"/>
                <w:color w:val="auto"/>
                <w:kern w:val="1"/>
                <w:sz w:val="24"/>
                <w:szCs w:val="24"/>
                <w:highlight w:val="none"/>
              </w:rPr>
            </w:pPr>
          </w:p>
        </w:tc>
        <w:tc>
          <w:tcPr>
            <w:tcW w:w="1080" w:type="dxa"/>
            <w:noWrap w:val="0"/>
            <w:tcMar>
              <w:top w:w="100" w:type="dxa"/>
              <w:right w:w="100" w:type="dxa"/>
            </w:tcMar>
            <w:vAlign w:val="top"/>
          </w:tcPr>
          <w:p w14:paraId="186E71DE">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1260" w:type="dxa"/>
            <w:noWrap w:val="0"/>
            <w:tcMar>
              <w:top w:w="100" w:type="dxa"/>
              <w:right w:w="100" w:type="dxa"/>
            </w:tcMar>
            <w:vAlign w:val="center"/>
          </w:tcPr>
          <w:p w14:paraId="0C0B585C">
            <w:pPr>
              <w:widowControl/>
              <w:autoSpaceDE w:val="0"/>
              <w:autoSpaceDN w:val="0"/>
              <w:adjustRightInd w:val="0"/>
              <w:spacing w:before="50" w:after="50"/>
              <w:jc w:val="center"/>
              <w:rPr>
                <w:rFonts w:ascii="仿宋" w:hAnsi="仿宋" w:eastAsia="仿宋"/>
                <w:color w:val="auto"/>
                <w:kern w:val="1"/>
                <w:sz w:val="24"/>
                <w:szCs w:val="24"/>
                <w:highlight w:val="none"/>
              </w:rPr>
            </w:pPr>
          </w:p>
        </w:tc>
        <w:tc>
          <w:tcPr>
            <w:tcW w:w="3497" w:type="dxa"/>
            <w:noWrap w:val="0"/>
            <w:tcMar>
              <w:top w:w="100" w:type="dxa"/>
              <w:right w:w="100" w:type="dxa"/>
            </w:tcMar>
            <w:vAlign w:val="center"/>
          </w:tcPr>
          <w:p w14:paraId="149C14A2">
            <w:pPr>
              <w:widowControl/>
              <w:autoSpaceDE w:val="0"/>
              <w:autoSpaceDN w:val="0"/>
              <w:adjustRightInd w:val="0"/>
              <w:spacing w:before="50" w:after="50"/>
              <w:jc w:val="center"/>
              <w:rPr>
                <w:rFonts w:ascii="仿宋" w:hAnsi="仿宋" w:eastAsia="仿宋"/>
                <w:color w:val="auto"/>
                <w:kern w:val="1"/>
                <w:sz w:val="24"/>
                <w:szCs w:val="24"/>
                <w:highlight w:val="none"/>
              </w:rPr>
            </w:pPr>
          </w:p>
        </w:tc>
      </w:tr>
    </w:tbl>
    <w:p w14:paraId="08C20C2F">
      <w:pPr>
        <w:widowControl/>
        <w:autoSpaceDE w:val="0"/>
        <w:autoSpaceDN w:val="0"/>
        <w:adjustRightInd w:val="0"/>
        <w:spacing w:before="120"/>
        <w:ind w:right="-481" w:firstLine="480"/>
        <w:rPr>
          <w:rFonts w:hint="eastAsia" w:ascii="仿宋" w:hAnsi="仿宋" w:eastAsia="仿宋"/>
          <w:color w:val="auto"/>
          <w:kern w:val="1"/>
          <w:sz w:val="24"/>
          <w:szCs w:val="24"/>
          <w:highlight w:val="none"/>
        </w:rPr>
      </w:pPr>
    </w:p>
    <w:p w14:paraId="609DA6E6">
      <w:pPr>
        <w:widowControl/>
        <w:autoSpaceDE w:val="0"/>
        <w:autoSpaceDN w:val="0"/>
        <w:adjustRightInd w:val="0"/>
        <w:spacing w:before="120"/>
        <w:ind w:right="-481" w:firstLine="480"/>
        <w:rPr>
          <w:rFonts w:hint="eastAsia" w:ascii="仿宋" w:hAnsi="仿宋" w:eastAsia="仿宋"/>
          <w:color w:val="auto"/>
          <w:kern w:val="1"/>
          <w:sz w:val="24"/>
          <w:szCs w:val="24"/>
          <w:highlight w:val="none"/>
        </w:rPr>
      </w:pPr>
    </w:p>
    <w:p w14:paraId="705B0F67">
      <w:pPr>
        <w:widowControl/>
        <w:autoSpaceDE w:val="0"/>
        <w:autoSpaceDN w:val="0"/>
        <w:adjustRightInd w:val="0"/>
        <w:spacing w:before="120"/>
        <w:ind w:right="-481" w:firstLine="480"/>
        <w:rPr>
          <w:rFonts w:hint="eastAsia" w:ascii="仿宋" w:hAnsi="仿宋" w:eastAsia="仿宋"/>
          <w:color w:val="auto"/>
          <w:kern w:val="1"/>
          <w:sz w:val="24"/>
          <w:szCs w:val="24"/>
          <w:highlight w:val="none"/>
        </w:rPr>
      </w:pPr>
    </w:p>
    <w:p w14:paraId="21852F4F">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投标人名称（盖公章）：</w:t>
      </w:r>
    </w:p>
    <w:p w14:paraId="0BAC0C0F">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投标人法定代表人或者被授权代表（签字或盖章）：</w:t>
      </w:r>
    </w:p>
    <w:p w14:paraId="4FFCC25B">
      <w:pPr>
        <w:widowControl/>
        <w:autoSpaceDE w:val="0"/>
        <w:autoSpaceDN w:val="0"/>
        <w:adjustRightInd w:val="0"/>
        <w:spacing w:line="360" w:lineRule="auto"/>
        <w:ind w:right="-481"/>
        <w:rPr>
          <w:rFonts w:ascii="仿宋" w:hAnsi="仿宋" w:eastAsia="仿宋"/>
          <w:color w:val="auto"/>
          <w:kern w:val="1"/>
          <w:sz w:val="24"/>
          <w:szCs w:val="24"/>
          <w:highlight w:val="none"/>
        </w:rPr>
      </w:pPr>
      <w:r>
        <w:rPr>
          <w:rStyle w:val="46"/>
          <w:rFonts w:hint="eastAsia"/>
          <w:color w:val="auto"/>
          <w:sz w:val="24"/>
          <w:szCs w:val="24"/>
          <w:highlight w:val="none"/>
        </w:rPr>
        <w:t>时间：</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年</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r>
        <w:rPr>
          <w:rStyle w:val="46"/>
          <w:rFonts w:hint="eastAsia"/>
          <w:color w:val="auto"/>
          <w:sz w:val="24"/>
          <w:szCs w:val="24"/>
          <w:highlight w:val="none"/>
        </w:rPr>
        <w:t>月</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日</w:t>
      </w:r>
    </w:p>
    <w:p w14:paraId="678AD7E6">
      <w:pPr>
        <w:widowControl/>
        <w:autoSpaceDE w:val="0"/>
        <w:autoSpaceDN w:val="0"/>
        <w:adjustRightInd w:val="0"/>
        <w:spacing w:before="295" w:after="295"/>
        <w:ind w:right="-481"/>
        <w:rPr>
          <w:rStyle w:val="46"/>
          <w:color w:val="auto"/>
          <w:sz w:val="24"/>
          <w:szCs w:val="24"/>
          <w:highlight w:val="none"/>
        </w:rPr>
      </w:pPr>
      <w:r>
        <w:rPr>
          <w:rFonts w:ascii="宋体" w:hAnsi="宋体"/>
          <w:color w:val="auto"/>
          <w:kern w:val="1"/>
          <w:highlight w:val="none"/>
        </w:rPr>
        <w:br w:type="page"/>
      </w:r>
      <w:r>
        <w:rPr>
          <w:rStyle w:val="46"/>
          <w:rFonts w:hint="eastAsia"/>
          <w:color w:val="auto"/>
          <w:sz w:val="24"/>
          <w:szCs w:val="24"/>
          <w:highlight w:val="none"/>
        </w:rPr>
        <w:t>附件1</w:t>
      </w:r>
      <w:r>
        <w:rPr>
          <w:rStyle w:val="46"/>
          <w:rFonts w:hint="eastAsia" w:eastAsia="仿宋"/>
          <w:color w:val="auto"/>
          <w:sz w:val="24"/>
          <w:szCs w:val="24"/>
          <w:highlight w:val="none"/>
          <w:lang w:val="en-US" w:eastAsia="zh-CN"/>
        </w:rPr>
        <w:t>4</w:t>
      </w:r>
      <w:r>
        <w:rPr>
          <w:rStyle w:val="46"/>
          <w:rFonts w:hint="eastAsia"/>
          <w:color w:val="auto"/>
          <w:sz w:val="24"/>
          <w:szCs w:val="24"/>
          <w:highlight w:val="none"/>
        </w:rPr>
        <w:t>：</w:t>
      </w:r>
    </w:p>
    <w:p w14:paraId="0D0A1D9C">
      <w:pPr>
        <w:widowControl/>
        <w:autoSpaceDE w:val="0"/>
        <w:autoSpaceDN w:val="0"/>
        <w:adjustRightInd w:val="0"/>
        <w:spacing w:before="120" w:after="120" w:line="300" w:lineRule="auto"/>
        <w:ind w:right="-481"/>
        <w:jc w:val="center"/>
        <w:rPr>
          <w:rFonts w:ascii="仿宋" w:hAnsi="仿宋" w:eastAsia="仿宋"/>
          <w:color w:val="auto"/>
          <w:kern w:val="1"/>
          <w:sz w:val="28"/>
          <w:szCs w:val="28"/>
          <w:highlight w:val="none"/>
        </w:rPr>
      </w:pPr>
      <w:r>
        <w:rPr>
          <w:rFonts w:hint="eastAsia" w:ascii="仿宋" w:hAnsi="仿宋" w:eastAsia="仿宋" w:cs="宋体"/>
          <w:color w:val="auto"/>
          <w:kern w:val="1"/>
          <w:sz w:val="28"/>
          <w:szCs w:val="28"/>
          <w:highlight w:val="none"/>
        </w:rPr>
        <w:t>技术响应表</w:t>
      </w:r>
    </w:p>
    <w:p w14:paraId="147A2CD4">
      <w:pPr>
        <w:widowControl/>
        <w:autoSpaceDE w:val="0"/>
        <w:autoSpaceDN w:val="0"/>
        <w:adjustRightInd w:val="0"/>
        <w:spacing w:after="240"/>
        <w:ind w:right="-481"/>
        <w:rPr>
          <w:rFonts w:ascii="仿宋" w:hAnsi="仿宋" w:eastAsia="仿宋"/>
          <w:b/>
          <w:bCs/>
          <w:color w:val="auto"/>
          <w:kern w:val="1"/>
          <w:sz w:val="24"/>
          <w:szCs w:val="24"/>
          <w:highlight w:val="none"/>
        </w:rPr>
      </w:pPr>
      <w:r>
        <w:rPr>
          <w:rStyle w:val="46"/>
          <w:rFonts w:hint="eastAsia"/>
          <w:color w:val="auto"/>
          <w:sz w:val="24"/>
          <w:szCs w:val="24"/>
          <w:highlight w:val="none"/>
        </w:rPr>
        <w:t>投标包：第</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包</w:t>
      </w:r>
      <w:r>
        <w:rPr>
          <w:rStyle w:val="46"/>
          <w:color w:val="auto"/>
          <w:sz w:val="24"/>
          <w:szCs w:val="24"/>
          <w:highlight w:val="none"/>
        </w:rPr>
        <w:t xml:space="preserve">                             </w:t>
      </w:r>
      <w:r>
        <w:rPr>
          <w:rStyle w:val="46"/>
          <w:rFonts w:hint="eastAsia"/>
          <w:color w:val="auto"/>
          <w:sz w:val="24"/>
          <w:szCs w:val="24"/>
          <w:highlight w:val="none"/>
        </w:rPr>
        <w:t>包名称：</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92"/>
        <w:gridCol w:w="2862"/>
        <w:gridCol w:w="2126"/>
      </w:tblGrid>
      <w:tr w14:paraId="467B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tcMar>
              <w:top w:w="100" w:type="dxa"/>
              <w:right w:w="100" w:type="dxa"/>
            </w:tcMar>
            <w:vAlign w:val="center"/>
          </w:tcPr>
          <w:p w14:paraId="22E696EB">
            <w:pPr>
              <w:widowControl/>
              <w:autoSpaceDE w:val="0"/>
              <w:autoSpaceDN w:val="0"/>
              <w:adjustRightInd w:val="0"/>
              <w:jc w:val="center"/>
              <w:rPr>
                <w:rStyle w:val="46"/>
                <w:color w:val="auto"/>
                <w:sz w:val="24"/>
                <w:szCs w:val="24"/>
                <w:highlight w:val="none"/>
              </w:rPr>
            </w:pPr>
            <w:r>
              <w:rPr>
                <w:rStyle w:val="46"/>
                <w:rFonts w:hint="eastAsia"/>
                <w:color w:val="auto"/>
                <w:sz w:val="24"/>
                <w:szCs w:val="24"/>
                <w:highlight w:val="none"/>
              </w:rPr>
              <w:t>序号</w:t>
            </w:r>
          </w:p>
        </w:tc>
        <w:tc>
          <w:tcPr>
            <w:tcW w:w="3092" w:type="dxa"/>
            <w:noWrap w:val="0"/>
            <w:tcMar>
              <w:top w:w="100" w:type="dxa"/>
              <w:right w:w="100" w:type="dxa"/>
            </w:tcMar>
            <w:vAlign w:val="center"/>
          </w:tcPr>
          <w:p w14:paraId="471999FE">
            <w:pPr>
              <w:widowControl/>
              <w:autoSpaceDE w:val="0"/>
              <w:autoSpaceDN w:val="0"/>
              <w:adjustRightInd w:val="0"/>
              <w:jc w:val="center"/>
              <w:rPr>
                <w:rStyle w:val="46"/>
                <w:color w:val="auto"/>
                <w:sz w:val="24"/>
                <w:szCs w:val="24"/>
                <w:highlight w:val="none"/>
              </w:rPr>
            </w:pPr>
            <w:r>
              <w:rPr>
                <w:rStyle w:val="46"/>
                <w:rFonts w:hint="eastAsia"/>
                <w:color w:val="auto"/>
                <w:sz w:val="24"/>
                <w:szCs w:val="24"/>
                <w:highlight w:val="none"/>
              </w:rPr>
              <w:t>招标文件要求</w:t>
            </w:r>
          </w:p>
        </w:tc>
        <w:tc>
          <w:tcPr>
            <w:tcW w:w="2862" w:type="dxa"/>
            <w:noWrap w:val="0"/>
            <w:tcMar>
              <w:top w:w="100" w:type="dxa"/>
              <w:right w:w="100" w:type="dxa"/>
            </w:tcMar>
            <w:vAlign w:val="center"/>
          </w:tcPr>
          <w:p w14:paraId="76A0584A">
            <w:pPr>
              <w:widowControl/>
              <w:autoSpaceDE w:val="0"/>
              <w:autoSpaceDN w:val="0"/>
              <w:adjustRightInd w:val="0"/>
              <w:jc w:val="center"/>
              <w:rPr>
                <w:rStyle w:val="46"/>
                <w:color w:val="auto"/>
                <w:sz w:val="24"/>
                <w:szCs w:val="24"/>
                <w:highlight w:val="none"/>
              </w:rPr>
            </w:pPr>
            <w:r>
              <w:rPr>
                <w:rStyle w:val="46"/>
                <w:rFonts w:hint="eastAsia"/>
                <w:color w:val="auto"/>
                <w:sz w:val="24"/>
                <w:szCs w:val="24"/>
                <w:highlight w:val="none"/>
              </w:rPr>
              <w:t>投标文件响应</w:t>
            </w:r>
          </w:p>
        </w:tc>
        <w:tc>
          <w:tcPr>
            <w:tcW w:w="2126" w:type="dxa"/>
            <w:noWrap w:val="0"/>
            <w:tcMar>
              <w:top w:w="100" w:type="dxa"/>
              <w:right w:w="100" w:type="dxa"/>
            </w:tcMar>
            <w:vAlign w:val="center"/>
          </w:tcPr>
          <w:p w14:paraId="256E45B5">
            <w:pPr>
              <w:widowControl/>
              <w:autoSpaceDE w:val="0"/>
              <w:autoSpaceDN w:val="0"/>
              <w:adjustRightInd w:val="0"/>
              <w:jc w:val="center"/>
              <w:rPr>
                <w:rStyle w:val="46"/>
                <w:color w:val="auto"/>
                <w:sz w:val="24"/>
                <w:szCs w:val="24"/>
                <w:highlight w:val="none"/>
              </w:rPr>
            </w:pPr>
            <w:r>
              <w:rPr>
                <w:rStyle w:val="46"/>
                <w:rFonts w:hint="eastAsia"/>
                <w:color w:val="auto"/>
                <w:sz w:val="24"/>
                <w:szCs w:val="24"/>
                <w:highlight w:val="none"/>
              </w:rPr>
              <w:t>偏离情况</w:t>
            </w:r>
          </w:p>
        </w:tc>
      </w:tr>
      <w:tr w14:paraId="2817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tcMar>
              <w:top w:w="100" w:type="dxa"/>
              <w:right w:w="100" w:type="dxa"/>
            </w:tcMar>
            <w:vAlign w:val="center"/>
          </w:tcPr>
          <w:p w14:paraId="36CD10B8">
            <w:pPr>
              <w:widowControl/>
              <w:autoSpaceDE w:val="0"/>
              <w:autoSpaceDN w:val="0"/>
              <w:adjustRightInd w:val="0"/>
              <w:spacing w:before="120" w:after="120"/>
              <w:jc w:val="center"/>
              <w:rPr>
                <w:rStyle w:val="46"/>
                <w:color w:val="auto"/>
                <w:sz w:val="24"/>
                <w:szCs w:val="24"/>
                <w:highlight w:val="none"/>
              </w:rPr>
            </w:pPr>
            <w:r>
              <w:rPr>
                <w:rStyle w:val="46"/>
                <w:color w:val="auto"/>
                <w:sz w:val="24"/>
                <w:szCs w:val="24"/>
                <w:highlight w:val="none"/>
              </w:rPr>
              <w:t>1</w:t>
            </w:r>
          </w:p>
        </w:tc>
        <w:tc>
          <w:tcPr>
            <w:tcW w:w="3092" w:type="dxa"/>
            <w:noWrap w:val="0"/>
            <w:tcMar>
              <w:top w:w="100" w:type="dxa"/>
              <w:right w:w="100" w:type="dxa"/>
            </w:tcMar>
            <w:vAlign w:val="center"/>
          </w:tcPr>
          <w:p w14:paraId="116BE74E">
            <w:pPr>
              <w:widowControl/>
              <w:autoSpaceDE w:val="0"/>
              <w:autoSpaceDN w:val="0"/>
              <w:adjustRightInd w:val="0"/>
              <w:spacing w:before="120" w:after="120"/>
              <w:rPr>
                <w:rFonts w:ascii="仿宋" w:hAnsi="仿宋" w:eastAsia="仿宋"/>
                <w:color w:val="auto"/>
                <w:kern w:val="1"/>
                <w:sz w:val="24"/>
                <w:szCs w:val="24"/>
                <w:highlight w:val="none"/>
              </w:rPr>
            </w:pPr>
          </w:p>
        </w:tc>
        <w:tc>
          <w:tcPr>
            <w:tcW w:w="2862" w:type="dxa"/>
            <w:noWrap w:val="0"/>
            <w:tcMar>
              <w:top w:w="100" w:type="dxa"/>
              <w:right w:w="100" w:type="dxa"/>
            </w:tcMar>
            <w:vAlign w:val="top"/>
          </w:tcPr>
          <w:p w14:paraId="05B24231">
            <w:pPr>
              <w:widowControl/>
              <w:autoSpaceDE w:val="0"/>
              <w:autoSpaceDN w:val="0"/>
              <w:adjustRightInd w:val="0"/>
              <w:spacing w:before="295" w:after="295"/>
              <w:rPr>
                <w:rFonts w:ascii="仿宋" w:hAnsi="仿宋" w:eastAsia="仿宋"/>
                <w:color w:val="auto"/>
                <w:kern w:val="1"/>
                <w:sz w:val="24"/>
                <w:szCs w:val="24"/>
                <w:highlight w:val="none"/>
              </w:rPr>
            </w:pPr>
          </w:p>
        </w:tc>
        <w:tc>
          <w:tcPr>
            <w:tcW w:w="2126" w:type="dxa"/>
            <w:noWrap w:val="0"/>
            <w:tcMar>
              <w:top w:w="100" w:type="dxa"/>
              <w:right w:w="100" w:type="dxa"/>
            </w:tcMar>
            <w:vAlign w:val="top"/>
          </w:tcPr>
          <w:p w14:paraId="5522F190">
            <w:pPr>
              <w:widowControl/>
              <w:autoSpaceDE w:val="0"/>
              <w:autoSpaceDN w:val="0"/>
              <w:adjustRightInd w:val="0"/>
              <w:spacing w:before="295" w:after="295"/>
              <w:rPr>
                <w:rFonts w:ascii="仿宋" w:hAnsi="仿宋" w:eastAsia="仿宋"/>
                <w:color w:val="auto"/>
                <w:kern w:val="1"/>
                <w:sz w:val="24"/>
                <w:szCs w:val="24"/>
                <w:highlight w:val="none"/>
              </w:rPr>
            </w:pPr>
          </w:p>
        </w:tc>
      </w:tr>
      <w:tr w14:paraId="5152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tcMar>
              <w:top w:w="100" w:type="dxa"/>
              <w:right w:w="100" w:type="dxa"/>
            </w:tcMar>
            <w:vAlign w:val="center"/>
          </w:tcPr>
          <w:p w14:paraId="04C4DF32">
            <w:pPr>
              <w:widowControl/>
              <w:autoSpaceDE w:val="0"/>
              <w:autoSpaceDN w:val="0"/>
              <w:adjustRightInd w:val="0"/>
              <w:spacing w:before="120" w:after="120"/>
              <w:jc w:val="center"/>
              <w:rPr>
                <w:rStyle w:val="46"/>
                <w:color w:val="auto"/>
                <w:sz w:val="24"/>
                <w:szCs w:val="24"/>
                <w:highlight w:val="none"/>
              </w:rPr>
            </w:pPr>
            <w:r>
              <w:rPr>
                <w:rStyle w:val="46"/>
                <w:color w:val="auto"/>
                <w:sz w:val="24"/>
                <w:szCs w:val="24"/>
                <w:highlight w:val="none"/>
              </w:rPr>
              <w:t>2</w:t>
            </w:r>
          </w:p>
        </w:tc>
        <w:tc>
          <w:tcPr>
            <w:tcW w:w="3092" w:type="dxa"/>
            <w:noWrap w:val="0"/>
            <w:tcMar>
              <w:top w:w="100" w:type="dxa"/>
              <w:right w:w="100" w:type="dxa"/>
            </w:tcMar>
            <w:vAlign w:val="center"/>
          </w:tcPr>
          <w:p w14:paraId="6AF4CC15">
            <w:pPr>
              <w:widowControl/>
              <w:autoSpaceDE w:val="0"/>
              <w:autoSpaceDN w:val="0"/>
              <w:adjustRightInd w:val="0"/>
              <w:spacing w:before="120" w:after="120"/>
              <w:rPr>
                <w:rFonts w:ascii="仿宋" w:hAnsi="仿宋" w:eastAsia="仿宋"/>
                <w:color w:val="auto"/>
                <w:kern w:val="1"/>
                <w:sz w:val="24"/>
                <w:szCs w:val="24"/>
                <w:highlight w:val="none"/>
              </w:rPr>
            </w:pPr>
          </w:p>
        </w:tc>
        <w:tc>
          <w:tcPr>
            <w:tcW w:w="2862" w:type="dxa"/>
            <w:noWrap w:val="0"/>
            <w:tcMar>
              <w:top w:w="100" w:type="dxa"/>
              <w:right w:w="100" w:type="dxa"/>
            </w:tcMar>
            <w:vAlign w:val="top"/>
          </w:tcPr>
          <w:p w14:paraId="394C7496">
            <w:pPr>
              <w:widowControl/>
              <w:autoSpaceDE w:val="0"/>
              <w:autoSpaceDN w:val="0"/>
              <w:adjustRightInd w:val="0"/>
              <w:spacing w:before="295" w:after="295"/>
              <w:rPr>
                <w:rFonts w:ascii="仿宋" w:hAnsi="仿宋" w:eastAsia="仿宋"/>
                <w:color w:val="auto"/>
                <w:kern w:val="1"/>
                <w:sz w:val="24"/>
                <w:szCs w:val="24"/>
                <w:highlight w:val="none"/>
              </w:rPr>
            </w:pPr>
          </w:p>
        </w:tc>
        <w:tc>
          <w:tcPr>
            <w:tcW w:w="2126" w:type="dxa"/>
            <w:noWrap w:val="0"/>
            <w:tcMar>
              <w:top w:w="100" w:type="dxa"/>
              <w:right w:w="100" w:type="dxa"/>
            </w:tcMar>
            <w:vAlign w:val="top"/>
          </w:tcPr>
          <w:p w14:paraId="3CE5533C">
            <w:pPr>
              <w:widowControl/>
              <w:autoSpaceDE w:val="0"/>
              <w:autoSpaceDN w:val="0"/>
              <w:adjustRightInd w:val="0"/>
              <w:spacing w:before="295" w:after="295"/>
              <w:rPr>
                <w:rFonts w:ascii="仿宋" w:hAnsi="仿宋" w:eastAsia="仿宋"/>
                <w:color w:val="auto"/>
                <w:kern w:val="1"/>
                <w:sz w:val="24"/>
                <w:szCs w:val="24"/>
                <w:highlight w:val="none"/>
              </w:rPr>
            </w:pPr>
          </w:p>
        </w:tc>
      </w:tr>
      <w:tr w14:paraId="5E34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tcMar>
              <w:top w:w="100" w:type="dxa"/>
              <w:right w:w="100" w:type="dxa"/>
            </w:tcMar>
            <w:vAlign w:val="center"/>
          </w:tcPr>
          <w:p w14:paraId="0DA0A963">
            <w:pPr>
              <w:widowControl/>
              <w:autoSpaceDE w:val="0"/>
              <w:autoSpaceDN w:val="0"/>
              <w:adjustRightInd w:val="0"/>
              <w:spacing w:before="120" w:after="120"/>
              <w:jc w:val="center"/>
              <w:rPr>
                <w:rStyle w:val="46"/>
                <w:color w:val="auto"/>
                <w:sz w:val="24"/>
                <w:szCs w:val="24"/>
                <w:highlight w:val="none"/>
              </w:rPr>
            </w:pPr>
            <w:r>
              <w:rPr>
                <w:rStyle w:val="46"/>
                <w:color w:val="auto"/>
                <w:sz w:val="24"/>
                <w:szCs w:val="24"/>
                <w:highlight w:val="none"/>
              </w:rPr>
              <w:t>3</w:t>
            </w:r>
          </w:p>
        </w:tc>
        <w:tc>
          <w:tcPr>
            <w:tcW w:w="3092" w:type="dxa"/>
            <w:noWrap w:val="0"/>
            <w:tcMar>
              <w:top w:w="100" w:type="dxa"/>
              <w:right w:w="100" w:type="dxa"/>
            </w:tcMar>
            <w:vAlign w:val="center"/>
          </w:tcPr>
          <w:p w14:paraId="696DCDD6">
            <w:pPr>
              <w:widowControl/>
              <w:autoSpaceDE w:val="0"/>
              <w:autoSpaceDN w:val="0"/>
              <w:adjustRightInd w:val="0"/>
              <w:spacing w:before="120" w:after="120"/>
              <w:rPr>
                <w:rFonts w:ascii="仿宋" w:hAnsi="仿宋" w:eastAsia="仿宋"/>
                <w:color w:val="auto"/>
                <w:kern w:val="1"/>
                <w:sz w:val="24"/>
                <w:szCs w:val="24"/>
                <w:highlight w:val="none"/>
              </w:rPr>
            </w:pPr>
          </w:p>
        </w:tc>
        <w:tc>
          <w:tcPr>
            <w:tcW w:w="2862" w:type="dxa"/>
            <w:noWrap w:val="0"/>
            <w:tcMar>
              <w:top w:w="100" w:type="dxa"/>
              <w:right w:w="100" w:type="dxa"/>
            </w:tcMar>
            <w:vAlign w:val="top"/>
          </w:tcPr>
          <w:p w14:paraId="6073454B">
            <w:pPr>
              <w:widowControl/>
              <w:autoSpaceDE w:val="0"/>
              <w:autoSpaceDN w:val="0"/>
              <w:adjustRightInd w:val="0"/>
              <w:spacing w:before="295" w:after="295"/>
              <w:rPr>
                <w:rFonts w:ascii="仿宋" w:hAnsi="仿宋" w:eastAsia="仿宋"/>
                <w:color w:val="auto"/>
                <w:kern w:val="1"/>
                <w:sz w:val="24"/>
                <w:szCs w:val="24"/>
                <w:highlight w:val="none"/>
              </w:rPr>
            </w:pPr>
          </w:p>
        </w:tc>
        <w:tc>
          <w:tcPr>
            <w:tcW w:w="2126" w:type="dxa"/>
            <w:noWrap w:val="0"/>
            <w:tcMar>
              <w:top w:w="100" w:type="dxa"/>
              <w:right w:w="100" w:type="dxa"/>
            </w:tcMar>
            <w:vAlign w:val="top"/>
          </w:tcPr>
          <w:p w14:paraId="549CD3C3">
            <w:pPr>
              <w:widowControl/>
              <w:autoSpaceDE w:val="0"/>
              <w:autoSpaceDN w:val="0"/>
              <w:adjustRightInd w:val="0"/>
              <w:spacing w:before="295" w:after="295"/>
              <w:rPr>
                <w:rFonts w:ascii="仿宋" w:hAnsi="仿宋" w:eastAsia="仿宋"/>
                <w:color w:val="auto"/>
                <w:kern w:val="1"/>
                <w:sz w:val="24"/>
                <w:szCs w:val="24"/>
                <w:highlight w:val="none"/>
              </w:rPr>
            </w:pPr>
          </w:p>
        </w:tc>
      </w:tr>
      <w:tr w14:paraId="7DF7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tcMar>
              <w:top w:w="100" w:type="dxa"/>
              <w:right w:w="100" w:type="dxa"/>
            </w:tcMar>
            <w:vAlign w:val="center"/>
          </w:tcPr>
          <w:p w14:paraId="6D7724D8">
            <w:pPr>
              <w:widowControl/>
              <w:autoSpaceDE w:val="0"/>
              <w:autoSpaceDN w:val="0"/>
              <w:adjustRightInd w:val="0"/>
              <w:spacing w:before="120" w:after="120"/>
              <w:jc w:val="center"/>
              <w:rPr>
                <w:rStyle w:val="46"/>
                <w:color w:val="auto"/>
                <w:sz w:val="24"/>
                <w:szCs w:val="24"/>
                <w:highlight w:val="none"/>
              </w:rPr>
            </w:pPr>
            <w:r>
              <w:rPr>
                <w:rStyle w:val="46"/>
                <w:color w:val="auto"/>
                <w:sz w:val="24"/>
                <w:szCs w:val="24"/>
                <w:highlight w:val="none"/>
              </w:rPr>
              <w:t>4</w:t>
            </w:r>
          </w:p>
        </w:tc>
        <w:tc>
          <w:tcPr>
            <w:tcW w:w="3092" w:type="dxa"/>
            <w:noWrap w:val="0"/>
            <w:tcMar>
              <w:top w:w="100" w:type="dxa"/>
              <w:right w:w="100" w:type="dxa"/>
            </w:tcMar>
            <w:vAlign w:val="center"/>
          </w:tcPr>
          <w:p w14:paraId="7F74D8D5">
            <w:pPr>
              <w:widowControl/>
              <w:autoSpaceDE w:val="0"/>
              <w:autoSpaceDN w:val="0"/>
              <w:adjustRightInd w:val="0"/>
              <w:spacing w:before="120" w:after="120"/>
              <w:rPr>
                <w:rFonts w:ascii="仿宋" w:hAnsi="仿宋" w:eastAsia="仿宋"/>
                <w:color w:val="auto"/>
                <w:kern w:val="1"/>
                <w:sz w:val="24"/>
                <w:szCs w:val="24"/>
                <w:highlight w:val="none"/>
              </w:rPr>
            </w:pPr>
          </w:p>
        </w:tc>
        <w:tc>
          <w:tcPr>
            <w:tcW w:w="2862" w:type="dxa"/>
            <w:noWrap w:val="0"/>
            <w:tcMar>
              <w:top w:w="100" w:type="dxa"/>
              <w:right w:w="100" w:type="dxa"/>
            </w:tcMar>
            <w:vAlign w:val="top"/>
          </w:tcPr>
          <w:p w14:paraId="05E791BF">
            <w:pPr>
              <w:widowControl/>
              <w:autoSpaceDE w:val="0"/>
              <w:autoSpaceDN w:val="0"/>
              <w:adjustRightInd w:val="0"/>
              <w:spacing w:before="295" w:after="295"/>
              <w:rPr>
                <w:rFonts w:ascii="仿宋" w:hAnsi="仿宋" w:eastAsia="仿宋"/>
                <w:color w:val="auto"/>
                <w:kern w:val="1"/>
                <w:sz w:val="24"/>
                <w:szCs w:val="24"/>
                <w:highlight w:val="none"/>
              </w:rPr>
            </w:pPr>
          </w:p>
        </w:tc>
        <w:tc>
          <w:tcPr>
            <w:tcW w:w="2126" w:type="dxa"/>
            <w:noWrap w:val="0"/>
            <w:tcMar>
              <w:top w:w="100" w:type="dxa"/>
              <w:right w:w="100" w:type="dxa"/>
            </w:tcMar>
            <w:vAlign w:val="top"/>
          </w:tcPr>
          <w:p w14:paraId="38A1A6CD">
            <w:pPr>
              <w:widowControl/>
              <w:autoSpaceDE w:val="0"/>
              <w:autoSpaceDN w:val="0"/>
              <w:adjustRightInd w:val="0"/>
              <w:spacing w:before="295" w:after="295"/>
              <w:rPr>
                <w:rFonts w:ascii="仿宋" w:hAnsi="仿宋" w:eastAsia="仿宋"/>
                <w:color w:val="auto"/>
                <w:kern w:val="1"/>
                <w:sz w:val="24"/>
                <w:szCs w:val="24"/>
                <w:highlight w:val="none"/>
              </w:rPr>
            </w:pPr>
          </w:p>
        </w:tc>
      </w:tr>
      <w:tr w14:paraId="3F99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tcMar>
              <w:top w:w="100" w:type="dxa"/>
              <w:right w:w="100" w:type="dxa"/>
            </w:tcMar>
            <w:vAlign w:val="center"/>
          </w:tcPr>
          <w:p w14:paraId="7BBC2CF6">
            <w:pPr>
              <w:widowControl/>
              <w:autoSpaceDE w:val="0"/>
              <w:autoSpaceDN w:val="0"/>
              <w:adjustRightInd w:val="0"/>
              <w:spacing w:before="120" w:after="120"/>
              <w:jc w:val="center"/>
              <w:rPr>
                <w:rStyle w:val="46"/>
                <w:color w:val="auto"/>
                <w:sz w:val="24"/>
                <w:szCs w:val="24"/>
                <w:highlight w:val="none"/>
              </w:rPr>
            </w:pPr>
            <w:r>
              <w:rPr>
                <w:rStyle w:val="46"/>
                <w:color w:val="auto"/>
                <w:sz w:val="24"/>
                <w:szCs w:val="24"/>
                <w:highlight w:val="none"/>
              </w:rPr>
              <w:t>5</w:t>
            </w:r>
          </w:p>
        </w:tc>
        <w:tc>
          <w:tcPr>
            <w:tcW w:w="3092" w:type="dxa"/>
            <w:noWrap w:val="0"/>
            <w:tcMar>
              <w:top w:w="100" w:type="dxa"/>
              <w:right w:w="100" w:type="dxa"/>
            </w:tcMar>
            <w:vAlign w:val="center"/>
          </w:tcPr>
          <w:p w14:paraId="6FAED0AE">
            <w:pPr>
              <w:widowControl/>
              <w:autoSpaceDE w:val="0"/>
              <w:autoSpaceDN w:val="0"/>
              <w:adjustRightInd w:val="0"/>
              <w:spacing w:before="120" w:after="120"/>
              <w:rPr>
                <w:rFonts w:ascii="仿宋" w:hAnsi="仿宋" w:eastAsia="仿宋"/>
                <w:color w:val="auto"/>
                <w:kern w:val="1"/>
                <w:sz w:val="24"/>
                <w:szCs w:val="24"/>
                <w:highlight w:val="none"/>
              </w:rPr>
            </w:pPr>
          </w:p>
        </w:tc>
        <w:tc>
          <w:tcPr>
            <w:tcW w:w="2862" w:type="dxa"/>
            <w:noWrap w:val="0"/>
            <w:tcMar>
              <w:top w:w="100" w:type="dxa"/>
              <w:right w:w="100" w:type="dxa"/>
            </w:tcMar>
            <w:vAlign w:val="top"/>
          </w:tcPr>
          <w:p w14:paraId="098737D6">
            <w:pPr>
              <w:widowControl/>
              <w:autoSpaceDE w:val="0"/>
              <w:autoSpaceDN w:val="0"/>
              <w:adjustRightInd w:val="0"/>
              <w:spacing w:before="295" w:after="295"/>
              <w:rPr>
                <w:rFonts w:ascii="仿宋" w:hAnsi="仿宋" w:eastAsia="仿宋"/>
                <w:color w:val="auto"/>
                <w:kern w:val="1"/>
                <w:sz w:val="24"/>
                <w:szCs w:val="24"/>
                <w:highlight w:val="none"/>
              </w:rPr>
            </w:pPr>
          </w:p>
        </w:tc>
        <w:tc>
          <w:tcPr>
            <w:tcW w:w="2126" w:type="dxa"/>
            <w:noWrap w:val="0"/>
            <w:tcMar>
              <w:top w:w="100" w:type="dxa"/>
              <w:right w:w="100" w:type="dxa"/>
            </w:tcMar>
            <w:vAlign w:val="top"/>
          </w:tcPr>
          <w:p w14:paraId="6A0F7B76">
            <w:pPr>
              <w:widowControl/>
              <w:autoSpaceDE w:val="0"/>
              <w:autoSpaceDN w:val="0"/>
              <w:adjustRightInd w:val="0"/>
              <w:spacing w:before="295" w:after="295"/>
              <w:rPr>
                <w:rFonts w:ascii="仿宋" w:hAnsi="仿宋" w:eastAsia="仿宋"/>
                <w:color w:val="auto"/>
                <w:kern w:val="1"/>
                <w:sz w:val="24"/>
                <w:szCs w:val="24"/>
                <w:highlight w:val="none"/>
              </w:rPr>
            </w:pPr>
          </w:p>
        </w:tc>
      </w:tr>
      <w:tr w14:paraId="6FD8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tcMar>
              <w:top w:w="100" w:type="dxa"/>
              <w:right w:w="100" w:type="dxa"/>
            </w:tcMar>
            <w:vAlign w:val="center"/>
          </w:tcPr>
          <w:p w14:paraId="0ABB0FD8">
            <w:pPr>
              <w:widowControl/>
              <w:autoSpaceDE w:val="0"/>
              <w:autoSpaceDN w:val="0"/>
              <w:adjustRightInd w:val="0"/>
              <w:spacing w:before="120" w:after="120"/>
              <w:jc w:val="center"/>
              <w:rPr>
                <w:rStyle w:val="46"/>
                <w:color w:val="auto"/>
                <w:sz w:val="24"/>
                <w:szCs w:val="24"/>
                <w:highlight w:val="none"/>
              </w:rPr>
            </w:pPr>
            <w:r>
              <w:rPr>
                <w:rStyle w:val="46"/>
                <w:color w:val="auto"/>
                <w:sz w:val="24"/>
                <w:szCs w:val="24"/>
                <w:highlight w:val="none"/>
              </w:rPr>
              <w:t>6</w:t>
            </w:r>
          </w:p>
        </w:tc>
        <w:tc>
          <w:tcPr>
            <w:tcW w:w="3092" w:type="dxa"/>
            <w:noWrap w:val="0"/>
            <w:tcMar>
              <w:top w:w="100" w:type="dxa"/>
              <w:right w:w="100" w:type="dxa"/>
            </w:tcMar>
            <w:vAlign w:val="center"/>
          </w:tcPr>
          <w:p w14:paraId="67A99EFC">
            <w:pPr>
              <w:widowControl/>
              <w:autoSpaceDE w:val="0"/>
              <w:autoSpaceDN w:val="0"/>
              <w:adjustRightInd w:val="0"/>
              <w:spacing w:before="120" w:after="120"/>
              <w:rPr>
                <w:rFonts w:ascii="仿宋" w:hAnsi="仿宋" w:eastAsia="仿宋"/>
                <w:color w:val="auto"/>
                <w:kern w:val="1"/>
                <w:sz w:val="24"/>
                <w:szCs w:val="24"/>
                <w:highlight w:val="none"/>
              </w:rPr>
            </w:pPr>
          </w:p>
        </w:tc>
        <w:tc>
          <w:tcPr>
            <w:tcW w:w="2862" w:type="dxa"/>
            <w:noWrap w:val="0"/>
            <w:tcMar>
              <w:top w:w="100" w:type="dxa"/>
              <w:right w:w="100" w:type="dxa"/>
            </w:tcMar>
            <w:vAlign w:val="top"/>
          </w:tcPr>
          <w:p w14:paraId="4F17CF34">
            <w:pPr>
              <w:widowControl/>
              <w:autoSpaceDE w:val="0"/>
              <w:autoSpaceDN w:val="0"/>
              <w:adjustRightInd w:val="0"/>
              <w:spacing w:before="295" w:after="295"/>
              <w:rPr>
                <w:rFonts w:ascii="仿宋" w:hAnsi="仿宋" w:eastAsia="仿宋"/>
                <w:color w:val="auto"/>
                <w:kern w:val="1"/>
                <w:sz w:val="24"/>
                <w:szCs w:val="24"/>
                <w:highlight w:val="none"/>
              </w:rPr>
            </w:pPr>
          </w:p>
        </w:tc>
        <w:tc>
          <w:tcPr>
            <w:tcW w:w="2126" w:type="dxa"/>
            <w:noWrap w:val="0"/>
            <w:tcMar>
              <w:top w:w="100" w:type="dxa"/>
              <w:right w:w="100" w:type="dxa"/>
            </w:tcMar>
            <w:vAlign w:val="top"/>
          </w:tcPr>
          <w:p w14:paraId="34621C2C">
            <w:pPr>
              <w:widowControl/>
              <w:autoSpaceDE w:val="0"/>
              <w:autoSpaceDN w:val="0"/>
              <w:adjustRightInd w:val="0"/>
              <w:spacing w:before="295" w:after="295"/>
              <w:rPr>
                <w:rFonts w:ascii="仿宋" w:hAnsi="仿宋" w:eastAsia="仿宋"/>
                <w:color w:val="auto"/>
                <w:kern w:val="1"/>
                <w:sz w:val="24"/>
                <w:szCs w:val="24"/>
                <w:highlight w:val="none"/>
              </w:rPr>
            </w:pPr>
          </w:p>
        </w:tc>
      </w:tr>
    </w:tbl>
    <w:p w14:paraId="1979F494">
      <w:pPr>
        <w:widowControl/>
        <w:autoSpaceDE w:val="0"/>
        <w:autoSpaceDN w:val="0"/>
        <w:adjustRightInd w:val="0"/>
        <w:ind w:right="-481"/>
        <w:rPr>
          <w:rFonts w:hint="eastAsia" w:ascii="仿宋" w:hAnsi="仿宋" w:eastAsia="仿宋" w:cs="仿宋"/>
          <w:b/>
          <w:color w:val="auto"/>
          <w:sz w:val="24"/>
          <w:szCs w:val="24"/>
          <w:highlight w:val="none"/>
          <w:lang w:val="zh-CN"/>
        </w:rPr>
      </w:pPr>
      <w:r>
        <w:rPr>
          <w:rFonts w:hint="eastAsia" w:ascii="仿宋" w:hAnsi="仿宋" w:eastAsia="仿宋" w:cs="仿宋"/>
          <w:b/>
          <w:color w:val="auto"/>
          <w:sz w:val="24"/>
          <w:szCs w:val="24"/>
          <w:highlight w:val="none"/>
          <w:lang w:val="zh-CN"/>
        </w:rPr>
        <w:t>注：</w:t>
      </w:r>
    </w:p>
    <w:p w14:paraId="4EA9690C">
      <w:pPr>
        <w:widowControl/>
        <w:autoSpaceDE w:val="0"/>
        <w:autoSpaceDN w:val="0"/>
        <w:adjustRightInd w:val="0"/>
        <w:spacing w:line="360" w:lineRule="auto"/>
        <w:ind w:right="-482" w:firstLine="482" w:firstLineChars="200"/>
        <w:rPr>
          <w:rFonts w:hint="eastAsia" w:ascii="仿宋" w:hAnsi="仿宋" w:eastAsia="仿宋" w:cs="仿宋"/>
          <w:b/>
          <w:color w:val="auto"/>
          <w:kern w:val="1"/>
          <w:sz w:val="24"/>
          <w:szCs w:val="24"/>
          <w:highlight w:val="none"/>
        </w:rPr>
      </w:pPr>
      <w:r>
        <w:rPr>
          <w:rFonts w:hint="eastAsia" w:ascii="仿宋" w:hAnsi="仿宋" w:eastAsia="仿宋" w:cs="仿宋"/>
          <w:b/>
          <w:color w:val="auto"/>
          <w:sz w:val="24"/>
          <w:szCs w:val="24"/>
          <w:highlight w:val="none"/>
          <w:lang w:val="zh-CN"/>
        </w:rPr>
        <w:t>1、投标人应根据投标</w:t>
      </w:r>
      <w:r>
        <w:rPr>
          <w:rFonts w:hint="eastAsia" w:ascii="仿宋" w:hAnsi="仿宋" w:eastAsia="仿宋" w:cs="仿宋"/>
          <w:b/>
          <w:color w:val="auto"/>
          <w:sz w:val="24"/>
          <w:szCs w:val="24"/>
          <w:highlight w:val="none"/>
        </w:rPr>
        <w:t>货物</w:t>
      </w:r>
      <w:r>
        <w:rPr>
          <w:rFonts w:hint="eastAsia" w:ascii="仿宋" w:hAnsi="仿宋" w:eastAsia="仿宋" w:cs="仿宋"/>
          <w:b/>
          <w:color w:val="auto"/>
          <w:sz w:val="24"/>
          <w:szCs w:val="24"/>
          <w:highlight w:val="none"/>
          <w:lang w:val="zh-CN"/>
        </w:rPr>
        <w:t>的性能指标、对照招标文件技术指标要求，如实逐条一一对应填写响应情况，如有未响应技术指标，评标委员会有权视其为负偏离；</w:t>
      </w:r>
    </w:p>
    <w:p w14:paraId="108724DE">
      <w:pPr>
        <w:widowControl/>
        <w:autoSpaceDE w:val="0"/>
        <w:autoSpaceDN w:val="0"/>
        <w:adjustRightInd w:val="0"/>
        <w:spacing w:before="50" w:after="50" w:line="360" w:lineRule="auto"/>
        <w:ind w:right="-482" w:firstLine="482" w:firstLineChars="200"/>
        <w:rPr>
          <w:rFonts w:hint="eastAsia" w:ascii="仿宋" w:hAnsi="仿宋" w:eastAsia="仿宋" w:cs="仿宋"/>
          <w:b/>
          <w:color w:val="auto"/>
          <w:kern w:val="1"/>
          <w:sz w:val="24"/>
          <w:szCs w:val="24"/>
          <w:highlight w:val="none"/>
        </w:rPr>
      </w:pPr>
      <w:r>
        <w:rPr>
          <w:rFonts w:hint="eastAsia" w:ascii="仿宋" w:hAnsi="仿宋" w:eastAsia="仿宋" w:cs="仿宋"/>
          <w:b/>
          <w:color w:val="auto"/>
          <w:kern w:val="1"/>
          <w:sz w:val="24"/>
          <w:szCs w:val="24"/>
          <w:highlight w:val="none"/>
        </w:rPr>
        <w:t>2、请投标人在“偏离情况”一栏详细描述存在正偏离或负偏离技术指标，并标明偏离情况；</w:t>
      </w:r>
    </w:p>
    <w:p w14:paraId="2BB1FD6C">
      <w:pPr>
        <w:widowControl/>
        <w:autoSpaceDE w:val="0"/>
        <w:autoSpaceDN w:val="0"/>
        <w:adjustRightInd w:val="0"/>
        <w:spacing w:before="50" w:after="50"/>
        <w:ind w:right="-481"/>
        <w:rPr>
          <w:rFonts w:ascii="仿宋" w:hAnsi="仿宋" w:eastAsia="仿宋"/>
          <w:color w:val="auto"/>
          <w:kern w:val="1"/>
          <w:sz w:val="24"/>
          <w:szCs w:val="24"/>
          <w:highlight w:val="none"/>
        </w:rPr>
      </w:pPr>
    </w:p>
    <w:p w14:paraId="538D77C2">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投标人名称（盖公章）：</w:t>
      </w:r>
    </w:p>
    <w:p w14:paraId="51B8F36C">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投标人法定代表人或者被授权代表（签字或盖章）：</w:t>
      </w:r>
    </w:p>
    <w:p w14:paraId="304F2E61">
      <w:pPr>
        <w:widowControl/>
        <w:autoSpaceDE w:val="0"/>
        <w:autoSpaceDN w:val="0"/>
        <w:adjustRightInd w:val="0"/>
        <w:spacing w:line="360" w:lineRule="auto"/>
        <w:ind w:right="-481"/>
        <w:rPr>
          <w:rFonts w:ascii="仿宋" w:hAnsi="仿宋" w:eastAsia="仿宋"/>
          <w:color w:val="auto"/>
          <w:kern w:val="1"/>
          <w:sz w:val="24"/>
          <w:szCs w:val="24"/>
          <w:highlight w:val="none"/>
        </w:rPr>
      </w:pPr>
      <w:r>
        <w:rPr>
          <w:rStyle w:val="46"/>
          <w:rFonts w:hint="eastAsia"/>
          <w:color w:val="auto"/>
          <w:sz w:val="24"/>
          <w:szCs w:val="24"/>
          <w:highlight w:val="none"/>
        </w:rPr>
        <w:t>时间：</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年</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r>
        <w:rPr>
          <w:rStyle w:val="46"/>
          <w:rFonts w:hint="eastAsia"/>
          <w:color w:val="auto"/>
          <w:sz w:val="24"/>
          <w:szCs w:val="24"/>
          <w:highlight w:val="none"/>
        </w:rPr>
        <w:t>月</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日</w:t>
      </w:r>
    </w:p>
    <w:p w14:paraId="6D6038FF">
      <w:pPr>
        <w:widowControl/>
        <w:autoSpaceDE w:val="0"/>
        <w:autoSpaceDN w:val="0"/>
        <w:adjustRightInd w:val="0"/>
        <w:spacing w:before="295" w:after="295"/>
        <w:ind w:right="-481"/>
        <w:rPr>
          <w:rStyle w:val="46"/>
          <w:color w:val="auto"/>
          <w:sz w:val="24"/>
          <w:szCs w:val="24"/>
          <w:highlight w:val="none"/>
        </w:rPr>
      </w:pPr>
      <w:r>
        <w:rPr>
          <w:rStyle w:val="46"/>
          <w:rFonts w:ascii="宋体" w:hAnsi="宋体" w:eastAsia="宋体"/>
          <w:color w:val="auto"/>
          <w:highlight w:val="none"/>
        </w:rPr>
        <w:br w:type="page"/>
      </w:r>
      <w:r>
        <w:rPr>
          <w:rStyle w:val="46"/>
          <w:rFonts w:hint="eastAsia"/>
          <w:color w:val="auto"/>
          <w:sz w:val="24"/>
          <w:szCs w:val="24"/>
          <w:highlight w:val="none"/>
        </w:rPr>
        <w:t>附件1</w:t>
      </w:r>
      <w:r>
        <w:rPr>
          <w:rStyle w:val="46"/>
          <w:rFonts w:hint="eastAsia" w:eastAsia="仿宋"/>
          <w:color w:val="auto"/>
          <w:sz w:val="24"/>
          <w:szCs w:val="24"/>
          <w:highlight w:val="none"/>
          <w:lang w:val="en-US" w:eastAsia="zh-CN"/>
        </w:rPr>
        <w:t>5</w:t>
      </w:r>
      <w:r>
        <w:rPr>
          <w:rStyle w:val="46"/>
          <w:rFonts w:hint="eastAsia"/>
          <w:color w:val="auto"/>
          <w:sz w:val="24"/>
          <w:szCs w:val="24"/>
          <w:highlight w:val="none"/>
        </w:rPr>
        <w:t>：</w:t>
      </w:r>
    </w:p>
    <w:p w14:paraId="744F6195">
      <w:pPr>
        <w:widowControl/>
        <w:autoSpaceDE w:val="0"/>
        <w:autoSpaceDN w:val="0"/>
        <w:adjustRightInd w:val="0"/>
        <w:spacing w:before="120" w:after="120" w:line="300" w:lineRule="auto"/>
        <w:ind w:right="-481"/>
        <w:jc w:val="center"/>
        <w:rPr>
          <w:rFonts w:ascii="仿宋" w:hAnsi="仿宋" w:eastAsia="仿宋"/>
          <w:color w:val="auto"/>
          <w:kern w:val="1"/>
          <w:sz w:val="28"/>
          <w:szCs w:val="28"/>
          <w:highlight w:val="none"/>
        </w:rPr>
      </w:pPr>
      <w:r>
        <w:rPr>
          <w:rFonts w:hint="eastAsia" w:ascii="仿宋" w:hAnsi="仿宋" w:eastAsia="仿宋" w:cs="宋体"/>
          <w:color w:val="auto"/>
          <w:kern w:val="1"/>
          <w:sz w:val="28"/>
          <w:szCs w:val="28"/>
          <w:highlight w:val="none"/>
        </w:rPr>
        <w:t>选配件、专用耗材、售后服务优惠表（若有）</w:t>
      </w:r>
    </w:p>
    <w:p w14:paraId="792E78CB">
      <w:pPr>
        <w:widowControl/>
        <w:autoSpaceDE w:val="0"/>
        <w:autoSpaceDN w:val="0"/>
        <w:adjustRightInd w:val="0"/>
        <w:spacing w:before="120" w:after="120" w:line="300" w:lineRule="auto"/>
        <w:ind w:right="-481" w:firstLine="630"/>
        <w:jc w:val="center"/>
        <w:rPr>
          <w:rFonts w:ascii="仿宋" w:hAnsi="仿宋" w:eastAsia="仿宋"/>
          <w:color w:val="auto"/>
          <w:kern w:val="1"/>
          <w:sz w:val="28"/>
          <w:szCs w:val="28"/>
          <w:highlight w:val="none"/>
        </w:rPr>
      </w:pPr>
    </w:p>
    <w:p w14:paraId="79888606">
      <w:pPr>
        <w:widowControl/>
        <w:autoSpaceDE w:val="0"/>
        <w:autoSpaceDN w:val="0"/>
        <w:adjustRightInd w:val="0"/>
        <w:spacing w:after="240"/>
        <w:ind w:right="-481"/>
        <w:rPr>
          <w:rFonts w:ascii="仿宋" w:hAnsi="仿宋" w:eastAsia="仿宋"/>
          <w:b/>
          <w:bCs/>
          <w:color w:val="auto"/>
          <w:kern w:val="1"/>
          <w:sz w:val="24"/>
          <w:szCs w:val="24"/>
          <w:highlight w:val="none"/>
        </w:rPr>
      </w:pPr>
      <w:r>
        <w:rPr>
          <w:rStyle w:val="46"/>
          <w:rFonts w:hint="eastAsia"/>
          <w:color w:val="auto"/>
          <w:sz w:val="24"/>
          <w:szCs w:val="24"/>
          <w:highlight w:val="none"/>
        </w:rPr>
        <w:t>投标包：第</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包</w:t>
      </w:r>
      <w:r>
        <w:rPr>
          <w:rStyle w:val="46"/>
          <w:color w:val="auto"/>
          <w:sz w:val="24"/>
          <w:szCs w:val="24"/>
          <w:highlight w:val="none"/>
        </w:rPr>
        <w:t xml:space="preserve">                             </w:t>
      </w:r>
      <w:r>
        <w:rPr>
          <w:rStyle w:val="46"/>
          <w:rFonts w:hint="eastAsia"/>
          <w:color w:val="auto"/>
          <w:sz w:val="24"/>
          <w:szCs w:val="24"/>
          <w:highlight w:val="none"/>
        </w:rPr>
        <w:t>包名称：</w:t>
      </w:r>
      <w:r>
        <w:rPr>
          <w:rFonts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u w:val="single"/>
        </w:rPr>
        <w:t xml:space="preserve">      </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2025"/>
        <w:gridCol w:w="1440"/>
        <w:gridCol w:w="1440"/>
        <w:gridCol w:w="2537"/>
      </w:tblGrid>
      <w:tr w14:paraId="70B3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noWrap w:val="0"/>
            <w:tcMar>
              <w:top w:w="100" w:type="dxa"/>
              <w:right w:w="100" w:type="dxa"/>
            </w:tcMar>
            <w:vAlign w:val="center"/>
          </w:tcPr>
          <w:p w14:paraId="27D0D60A">
            <w:pPr>
              <w:widowControl/>
              <w:autoSpaceDE w:val="0"/>
              <w:autoSpaceDN w:val="0"/>
              <w:adjustRightInd w:val="0"/>
              <w:spacing w:before="295" w:after="295"/>
              <w:jc w:val="center"/>
              <w:rPr>
                <w:rStyle w:val="46"/>
                <w:color w:val="auto"/>
                <w:sz w:val="24"/>
                <w:szCs w:val="24"/>
                <w:highlight w:val="none"/>
              </w:rPr>
            </w:pPr>
            <w:r>
              <w:rPr>
                <w:rStyle w:val="46"/>
                <w:rFonts w:hint="eastAsia"/>
                <w:color w:val="auto"/>
                <w:sz w:val="24"/>
                <w:szCs w:val="24"/>
                <w:highlight w:val="none"/>
              </w:rPr>
              <w:t>序号</w:t>
            </w:r>
          </w:p>
        </w:tc>
        <w:tc>
          <w:tcPr>
            <w:tcW w:w="2025" w:type="dxa"/>
            <w:noWrap w:val="0"/>
            <w:tcMar>
              <w:top w:w="100" w:type="dxa"/>
              <w:right w:w="100" w:type="dxa"/>
            </w:tcMar>
            <w:vAlign w:val="center"/>
          </w:tcPr>
          <w:p w14:paraId="5EF68648">
            <w:pPr>
              <w:widowControl/>
              <w:autoSpaceDE w:val="0"/>
              <w:autoSpaceDN w:val="0"/>
              <w:adjustRightInd w:val="0"/>
              <w:spacing w:before="295" w:after="295"/>
              <w:jc w:val="center"/>
              <w:rPr>
                <w:rStyle w:val="46"/>
                <w:color w:val="auto"/>
                <w:sz w:val="24"/>
                <w:szCs w:val="24"/>
                <w:highlight w:val="none"/>
              </w:rPr>
            </w:pPr>
            <w:r>
              <w:rPr>
                <w:rStyle w:val="46"/>
                <w:rFonts w:hint="eastAsia"/>
                <w:color w:val="auto"/>
                <w:sz w:val="24"/>
                <w:szCs w:val="24"/>
                <w:highlight w:val="none"/>
              </w:rPr>
              <w:t>优惠内容</w:t>
            </w:r>
          </w:p>
        </w:tc>
        <w:tc>
          <w:tcPr>
            <w:tcW w:w="1440" w:type="dxa"/>
            <w:noWrap w:val="0"/>
            <w:tcMar>
              <w:top w:w="100" w:type="dxa"/>
              <w:right w:w="100" w:type="dxa"/>
            </w:tcMar>
            <w:vAlign w:val="center"/>
          </w:tcPr>
          <w:p w14:paraId="3D680A66">
            <w:pPr>
              <w:widowControl/>
              <w:autoSpaceDE w:val="0"/>
              <w:autoSpaceDN w:val="0"/>
              <w:adjustRightInd w:val="0"/>
              <w:spacing w:before="295" w:after="295"/>
              <w:jc w:val="center"/>
              <w:rPr>
                <w:rStyle w:val="46"/>
                <w:color w:val="auto"/>
                <w:sz w:val="24"/>
                <w:szCs w:val="24"/>
                <w:highlight w:val="none"/>
              </w:rPr>
            </w:pPr>
            <w:r>
              <w:rPr>
                <w:rStyle w:val="46"/>
                <w:rFonts w:hint="eastAsia"/>
                <w:color w:val="auto"/>
                <w:sz w:val="24"/>
                <w:szCs w:val="24"/>
                <w:highlight w:val="none"/>
              </w:rPr>
              <w:t>适用机型</w:t>
            </w:r>
          </w:p>
        </w:tc>
        <w:tc>
          <w:tcPr>
            <w:tcW w:w="1440" w:type="dxa"/>
            <w:noWrap w:val="0"/>
            <w:tcMar>
              <w:top w:w="100" w:type="dxa"/>
              <w:right w:w="100" w:type="dxa"/>
            </w:tcMar>
            <w:vAlign w:val="center"/>
          </w:tcPr>
          <w:p w14:paraId="3161F2B8">
            <w:pPr>
              <w:widowControl/>
              <w:autoSpaceDE w:val="0"/>
              <w:autoSpaceDN w:val="0"/>
              <w:adjustRightInd w:val="0"/>
              <w:spacing w:before="295" w:after="295"/>
              <w:jc w:val="center"/>
              <w:rPr>
                <w:rStyle w:val="46"/>
                <w:color w:val="auto"/>
                <w:sz w:val="24"/>
                <w:szCs w:val="24"/>
                <w:highlight w:val="none"/>
              </w:rPr>
            </w:pPr>
            <w:r>
              <w:rPr>
                <w:rStyle w:val="46"/>
                <w:rFonts w:hint="eastAsia"/>
                <w:color w:val="auto"/>
                <w:sz w:val="24"/>
                <w:szCs w:val="24"/>
                <w:highlight w:val="none"/>
              </w:rPr>
              <w:t>单价</w:t>
            </w:r>
          </w:p>
        </w:tc>
        <w:tc>
          <w:tcPr>
            <w:tcW w:w="2537" w:type="dxa"/>
            <w:noWrap w:val="0"/>
            <w:tcMar>
              <w:top w:w="100" w:type="dxa"/>
              <w:right w:w="100" w:type="dxa"/>
            </w:tcMar>
            <w:vAlign w:val="center"/>
          </w:tcPr>
          <w:p w14:paraId="5A7F325F">
            <w:pPr>
              <w:widowControl/>
              <w:autoSpaceDE w:val="0"/>
              <w:autoSpaceDN w:val="0"/>
              <w:adjustRightInd w:val="0"/>
              <w:spacing w:before="295" w:after="295"/>
              <w:jc w:val="center"/>
              <w:rPr>
                <w:rStyle w:val="46"/>
                <w:color w:val="auto"/>
                <w:sz w:val="24"/>
                <w:szCs w:val="24"/>
                <w:highlight w:val="none"/>
              </w:rPr>
            </w:pPr>
            <w:r>
              <w:rPr>
                <w:rStyle w:val="46"/>
                <w:rFonts w:hint="eastAsia"/>
                <w:color w:val="auto"/>
                <w:sz w:val="24"/>
                <w:szCs w:val="24"/>
                <w:highlight w:val="none"/>
              </w:rPr>
              <w:t>备</w:t>
            </w:r>
            <w:r>
              <w:rPr>
                <w:rStyle w:val="46"/>
                <w:color w:val="auto"/>
                <w:sz w:val="24"/>
                <w:szCs w:val="24"/>
                <w:highlight w:val="none"/>
              </w:rPr>
              <w:t xml:space="preserve">     </w:t>
            </w:r>
            <w:r>
              <w:rPr>
                <w:rStyle w:val="46"/>
                <w:rFonts w:hint="eastAsia"/>
                <w:color w:val="auto"/>
                <w:sz w:val="24"/>
                <w:szCs w:val="24"/>
                <w:highlight w:val="none"/>
              </w:rPr>
              <w:t>注</w:t>
            </w:r>
          </w:p>
        </w:tc>
      </w:tr>
      <w:tr w14:paraId="689E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noWrap w:val="0"/>
            <w:tcMar>
              <w:top w:w="100" w:type="dxa"/>
              <w:right w:w="100" w:type="dxa"/>
            </w:tcMar>
            <w:vAlign w:val="center"/>
          </w:tcPr>
          <w:p w14:paraId="36DD1D91">
            <w:pPr>
              <w:widowControl/>
              <w:autoSpaceDE w:val="0"/>
              <w:autoSpaceDN w:val="0"/>
              <w:adjustRightInd w:val="0"/>
              <w:spacing w:before="295" w:after="295"/>
              <w:jc w:val="center"/>
              <w:rPr>
                <w:rFonts w:ascii="仿宋" w:hAnsi="仿宋" w:eastAsia="仿宋" w:cs="仿宋"/>
                <w:color w:val="auto"/>
                <w:kern w:val="1"/>
                <w:sz w:val="24"/>
                <w:szCs w:val="24"/>
                <w:highlight w:val="none"/>
              </w:rPr>
            </w:pPr>
            <w:r>
              <w:rPr>
                <w:rFonts w:ascii="仿宋" w:hAnsi="仿宋" w:eastAsia="仿宋" w:cs="仿宋"/>
                <w:color w:val="auto"/>
                <w:kern w:val="1"/>
                <w:sz w:val="24"/>
                <w:szCs w:val="24"/>
                <w:highlight w:val="none"/>
              </w:rPr>
              <w:t>1</w:t>
            </w:r>
          </w:p>
        </w:tc>
        <w:tc>
          <w:tcPr>
            <w:tcW w:w="2025" w:type="dxa"/>
            <w:noWrap w:val="0"/>
            <w:tcMar>
              <w:top w:w="100" w:type="dxa"/>
              <w:right w:w="100" w:type="dxa"/>
            </w:tcMar>
            <w:vAlign w:val="center"/>
          </w:tcPr>
          <w:p w14:paraId="2EA92888">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1968DD39">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7FBF1FC8">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2537" w:type="dxa"/>
            <w:noWrap w:val="0"/>
            <w:tcMar>
              <w:top w:w="100" w:type="dxa"/>
              <w:right w:w="100" w:type="dxa"/>
            </w:tcMar>
            <w:vAlign w:val="center"/>
          </w:tcPr>
          <w:p w14:paraId="78F2C225">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r>
      <w:tr w14:paraId="6C3C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noWrap w:val="0"/>
            <w:tcMar>
              <w:top w:w="100" w:type="dxa"/>
              <w:right w:w="100" w:type="dxa"/>
            </w:tcMar>
            <w:vAlign w:val="center"/>
          </w:tcPr>
          <w:p w14:paraId="6D296A1B">
            <w:pPr>
              <w:widowControl/>
              <w:autoSpaceDE w:val="0"/>
              <w:autoSpaceDN w:val="0"/>
              <w:adjustRightInd w:val="0"/>
              <w:spacing w:before="295" w:after="295"/>
              <w:jc w:val="center"/>
              <w:rPr>
                <w:rFonts w:ascii="仿宋" w:hAnsi="仿宋" w:eastAsia="仿宋" w:cs="仿宋"/>
                <w:color w:val="auto"/>
                <w:kern w:val="1"/>
                <w:sz w:val="24"/>
                <w:szCs w:val="24"/>
                <w:highlight w:val="none"/>
              </w:rPr>
            </w:pPr>
            <w:r>
              <w:rPr>
                <w:rFonts w:ascii="仿宋" w:hAnsi="仿宋" w:eastAsia="仿宋" w:cs="仿宋"/>
                <w:color w:val="auto"/>
                <w:kern w:val="1"/>
                <w:sz w:val="24"/>
                <w:szCs w:val="24"/>
                <w:highlight w:val="none"/>
              </w:rPr>
              <w:t>2</w:t>
            </w:r>
          </w:p>
        </w:tc>
        <w:tc>
          <w:tcPr>
            <w:tcW w:w="2025" w:type="dxa"/>
            <w:noWrap w:val="0"/>
            <w:tcMar>
              <w:top w:w="100" w:type="dxa"/>
              <w:right w:w="100" w:type="dxa"/>
            </w:tcMar>
            <w:vAlign w:val="center"/>
          </w:tcPr>
          <w:p w14:paraId="196FA3CB">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70A7012B">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204A7259">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2537" w:type="dxa"/>
            <w:noWrap w:val="0"/>
            <w:tcMar>
              <w:top w:w="100" w:type="dxa"/>
              <w:right w:w="100" w:type="dxa"/>
            </w:tcMar>
            <w:vAlign w:val="center"/>
          </w:tcPr>
          <w:p w14:paraId="30BA6BA8">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r>
      <w:tr w14:paraId="50EF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noWrap w:val="0"/>
            <w:tcMar>
              <w:top w:w="100" w:type="dxa"/>
              <w:right w:w="100" w:type="dxa"/>
            </w:tcMar>
            <w:vAlign w:val="center"/>
          </w:tcPr>
          <w:p w14:paraId="064BEFFD">
            <w:pPr>
              <w:widowControl/>
              <w:autoSpaceDE w:val="0"/>
              <w:autoSpaceDN w:val="0"/>
              <w:adjustRightInd w:val="0"/>
              <w:spacing w:before="295" w:after="295"/>
              <w:jc w:val="center"/>
              <w:rPr>
                <w:rFonts w:ascii="仿宋" w:hAnsi="仿宋" w:eastAsia="仿宋" w:cs="仿宋"/>
                <w:color w:val="auto"/>
                <w:kern w:val="1"/>
                <w:sz w:val="24"/>
                <w:szCs w:val="24"/>
                <w:highlight w:val="none"/>
              </w:rPr>
            </w:pPr>
            <w:r>
              <w:rPr>
                <w:rFonts w:ascii="仿宋" w:hAnsi="仿宋" w:eastAsia="仿宋" w:cs="仿宋"/>
                <w:color w:val="auto"/>
                <w:kern w:val="1"/>
                <w:sz w:val="24"/>
                <w:szCs w:val="24"/>
                <w:highlight w:val="none"/>
              </w:rPr>
              <w:t>3</w:t>
            </w:r>
          </w:p>
        </w:tc>
        <w:tc>
          <w:tcPr>
            <w:tcW w:w="2025" w:type="dxa"/>
            <w:noWrap w:val="0"/>
            <w:tcMar>
              <w:top w:w="100" w:type="dxa"/>
              <w:right w:w="100" w:type="dxa"/>
            </w:tcMar>
            <w:vAlign w:val="center"/>
          </w:tcPr>
          <w:p w14:paraId="3D93CDF6">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19FDF119">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01C2116B">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2537" w:type="dxa"/>
            <w:noWrap w:val="0"/>
            <w:tcMar>
              <w:top w:w="100" w:type="dxa"/>
              <w:right w:w="100" w:type="dxa"/>
            </w:tcMar>
            <w:vAlign w:val="center"/>
          </w:tcPr>
          <w:p w14:paraId="2C16BA25">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r>
      <w:tr w14:paraId="42FD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noWrap w:val="0"/>
            <w:tcMar>
              <w:top w:w="100" w:type="dxa"/>
              <w:right w:w="100" w:type="dxa"/>
            </w:tcMar>
            <w:vAlign w:val="center"/>
          </w:tcPr>
          <w:p w14:paraId="73046DC5">
            <w:pPr>
              <w:widowControl/>
              <w:autoSpaceDE w:val="0"/>
              <w:autoSpaceDN w:val="0"/>
              <w:adjustRightInd w:val="0"/>
              <w:spacing w:before="295" w:after="295"/>
              <w:jc w:val="center"/>
              <w:rPr>
                <w:rFonts w:ascii="仿宋" w:hAnsi="仿宋" w:eastAsia="仿宋" w:cs="仿宋"/>
                <w:color w:val="auto"/>
                <w:kern w:val="1"/>
                <w:sz w:val="24"/>
                <w:szCs w:val="24"/>
                <w:highlight w:val="none"/>
              </w:rPr>
            </w:pPr>
            <w:r>
              <w:rPr>
                <w:rFonts w:ascii="仿宋" w:hAnsi="仿宋" w:eastAsia="仿宋" w:cs="仿宋"/>
                <w:color w:val="auto"/>
                <w:kern w:val="1"/>
                <w:sz w:val="24"/>
                <w:szCs w:val="24"/>
                <w:highlight w:val="none"/>
              </w:rPr>
              <w:t>4</w:t>
            </w:r>
          </w:p>
        </w:tc>
        <w:tc>
          <w:tcPr>
            <w:tcW w:w="2025" w:type="dxa"/>
            <w:noWrap w:val="0"/>
            <w:tcMar>
              <w:top w:w="100" w:type="dxa"/>
              <w:right w:w="100" w:type="dxa"/>
            </w:tcMar>
            <w:vAlign w:val="center"/>
          </w:tcPr>
          <w:p w14:paraId="4F94F11E">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3953A4F4">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08A71D32">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2537" w:type="dxa"/>
            <w:noWrap w:val="0"/>
            <w:tcMar>
              <w:top w:w="100" w:type="dxa"/>
              <w:right w:w="100" w:type="dxa"/>
            </w:tcMar>
            <w:vAlign w:val="center"/>
          </w:tcPr>
          <w:p w14:paraId="19ACC737">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r>
      <w:tr w14:paraId="1CEE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noWrap w:val="0"/>
            <w:tcMar>
              <w:top w:w="100" w:type="dxa"/>
              <w:right w:w="100" w:type="dxa"/>
            </w:tcMar>
            <w:vAlign w:val="center"/>
          </w:tcPr>
          <w:p w14:paraId="1D617B5D">
            <w:pPr>
              <w:widowControl/>
              <w:autoSpaceDE w:val="0"/>
              <w:autoSpaceDN w:val="0"/>
              <w:adjustRightInd w:val="0"/>
              <w:spacing w:before="295" w:after="295"/>
              <w:jc w:val="center"/>
              <w:rPr>
                <w:rFonts w:ascii="仿宋" w:hAnsi="仿宋" w:eastAsia="仿宋" w:cs="仿宋"/>
                <w:color w:val="auto"/>
                <w:kern w:val="1"/>
                <w:sz w:val="24"/>
                <w:szCs w:val="24"/>
                <w:highlight w:val="none"/>
              </w:rPr>
            </w:pPr>
            <w:r>
              <w:rPr>
                <w:rFonts w:ascii="仿宋" w:hAnsi="仿宋" w:eastAsia="仿宋" w:cs="仿宋"/>
                <w:color w:val="auto"/>
                <w:kern w:val="1"/>
                <w:sz w:val="24"/>
                <w:szCs w:val="24"/>
                <w:highlight w:val="none"/>
              </w:rPr>
              <w:t>5</w:t>
            </w:r>
          </w:p>
        </w:tc>
        <w:tc>
          <w:tcPr>
            <w:tcW w:w="2025" w:type="dxa"/>
            <w:noWrap w:val="0"/>
            <w:tcMar>
              <w:top w:w="100" w:type="dxa"/>
              <w:right w:w="100" w:type="dxa"/>
            </w:tcMar>
            <w:vAlign w:val="center"/>
          </w:tcPr>
          <w:p w14:paraId="6E5394DD">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590EA15C">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24E9EFC0">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2537" w:type="dxa"/>
            <w:noWrap w:val="0"/>
            <w:tcMar>
              <w:top w:w="100" w:type="dxa"/>
              <w:right w:w="100" w:type="dxa"/>
            </w:tcMar>
            <w:vAlign w:val="center"/>
          </w:tcPr>
          <w:p w14:paraId="5EB8D8E6">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r>
      <w:tr w14:paraId="5CDA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noWrap w:val="0"/>
            <w:tcMar>
              <w:top w:w="100" w:type="dxa"/>
              <w:right w:w="100" w:type="dxa"/>
            </w:tcMar>
            <w:vAlign w:val="center"/>
          </w:tcPr>
          <w:p w14:paraId="6654A01B">
            <w:pPr>
              <w:widowControl/>
              <w:autoSpaceDE w:val="0"/>
              <w:autoSpaceDN w:val="0"/>
              <w:adjustRightInd w:val="0"/>
              <w:spacing w:before="295" w:after="295"/>
              <w:jc w:val="center"/>
              <w:rPr>
                <w:rFonts w:ascii="仿宋" w:hAnsi="仿宋" w:eastAsia="仿宋" w:cs="仿宋"/>
                <w:color w:val="auto"/>
                <w:kern w:val="1"/>
                <w:sz w:val="24"/>
                <w:szCs w:val="24"/>
                <w:highlight w:val="none"/>
              </w:rPr>
            </w:pPr>
            <w:r>
              <w:rPr>
                <w:rFonts w:ascii="仿宋" w:hAnsi="仿宋" w:eastAsia="仿宋" w:cs="仿宋"/>
                <w:color w:val="auto"/>
                <w:kern w:val="1"/>
                <w:sz w:val="24"/>
                <w:szCs w:val="24"/>
                <w:highlight w:val="none"/>
              </w:rPr>
              <w:t>6</w:t>
            </w:r>
          </w:p>
        </w:tc>
        <w:tc>
          <w:tcPr>
            <w:tcW w:w="2025" w:type="dxa"/>
            <w:noWrap w:val="0"/>
            <w:tcMar>
              <w:top w:w="100" w:type="dxa"/>
              <w:right w:w="100" w:type="dxa"/>
            </w:tcMar>
            <w:vAlign w:val="center"/>
          </w:tcPr>
          <w:p w14:paraId="053F8AE4">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22068EC3">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1440" w:type="dxa"/>
            <w:noWrap w:val="0"/>
            <w:tcMar>
              <w:top w:w="100" w:type="dxa"/>
              <w:right w:w="100" w:type="dxa"/>
            </w:tcMar>
            <w:vAlign w:val="center"/>
          </w:tcPr>
          <w:p w14:paraId="496AF936">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c>
          <w:tcPr>
            <w:tcW w:w="2537" w:type="dxa"/>
            <w:noWrap w:val="0"/>
            <w:tcMar>
              <w:top w:w="100" w:type="dxa"/>
              <w:right w:w="100" w:type="dxa"/>
            </w:tcMar>
            <w:vAlign w:val="center"/>
          </w:tcPr>
          <w:p w14:paraId="06FD5D85">
            <w:pPr>
              <w:widowControl/>
              <w:autoSpaceDE w:val="0"/>
              <w:autoSpaceDN w:val="0"/>
              <w:adjustRightInd w:val="0"/>
              <w:spacing w:before="295" w:after="295"/>
              <w:jc w:val="center"/>
              <w:rPr>
                <w:rFonts w:ascii="仿宋" w:hAnsi="仿宋" w:eastAsia="仿宋" w:cs="仿宋"/>
                <w:color w:val="auto"/>
                <w:kern w:val="1"/>
                <w:sz w:val="24"/>
                <w:szCs w:val="24"/>
                <w:highlight w:val="none"/>
              </w:rPr>
            </w:pPr>
          </w:p>
        </w:tc>
      </w:tr>
    </w:tbl>
    <w:p w14:paraId="777EDB7D">
      <w:pPr>
        <w:widowControl/>
        <w:autoSpaceDE w:val="0"/>
        <w:autoSpaceDN w:val="0"/>
        <w:adjustRightInd w:val="0"/>
        <w:spacing w:line="360" w:lineRule="auto"/>
        <w:ind w:right="-481"/>
        <w:rPr>
          <w:rFonts w:ascii="仿宋" w:hAnsi="仿宋" w:eastAsia="仿宋"/>
          <w:color w:val="auto"/>
          <w:kern w:val="1"/>
          <w:sz w:val="24"/>
          <w:szCs w:val="24"/>
          <w:highlight w:val="none"/>
        </w:rPr>
      </w:pPr>
    </w:p>
    <w:p w14:paraId="747274B3">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投标人名称（盖公章）：</w:t>
      </w:r>
    </w:p>
    <w:p w14:paraId="58F41AA0">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投标人法定代表人或者被授权代表（签字或盖章）：</w:t>
      </w:r>
    </w:p>
    <w:p w14:paraId="23BD0342">
      <w:pPr>
        <w:widowControl/>
        <w:autoSpaceDE w:val="0"/>
        <w:autoSpaceDN w:val="0"/>
        <w:adjustRightInd w:val="0"/>
        <w:spacing w:line="360" w:lineRule="auto"/>
        <w:ind w:right="-481"/>
        <w:rPr>
          <w:rFonts w:ascii="仿宋" w:hAnsi="仿宋" w:eastAsia="仿宋"/>
          <w:color w:val="auto"/>
          <w:kern w:val="1"/>
          <w:sz w:val="24"/>
          <w:szCs w:val="24"/>
          <w:highlight w:val="none"/>
        </w:rPr>
      </w:pPr>
      <w:r>
        <w:rPr>
          <w:rStyle w:val="46"/>
          <w:rFonts w:hint="eastAsia"/>
          <w:color w:val="auto"/>
          <w:sz w:val="24"/>
          <w:szCs w:val="24"/>
          <w:highlight w:val="none"/>
        </w:rPr>
        <w:t>时间：</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年</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r>
        <w:rPr>
          <w:rStyle w:val="46"/>
          <w:rFonts w:hint="eastAsia"/>
          <w:color w:val="auto"/>
          <w:sz w:val="24"/>
          <w:szCs w:val="24"/>
          <w:highlight w:val="none"/>
        </w:rPr>
        <w:t>月</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日</w:t>
      </w:r>
    </w:p>
    <w:p w14:paraId="0061AD67">
      <w:pPr>
        <w:widowControl/>
        <w:autoSpaceDE w:val="0"/>
        <w:autoSpaceDN w:val="0"/>
        <w:adjustRightInd w:val="0"/>
        <w:spacing w:line="360" w:lineRule="auto"/>
        <w:ind w:right="-481"/>
        <w:rPr>
          <w:rStyle w:val="46"/>
          <w:color w:val="auto"/>
          <w:sz w:val="24"/>
          <w:szCs w:val="24"/>
          <w:highlight w:val="none"/>
        </w:rPr>
      </w:pPr>
      <w:r>
        <w:rPr>
          <w:rFonts w:ascii="仿宋" w:hAnsi="仿宋" w:eastAsia="仿宋"/>
          <w:color w:val="auto"/>
          <w:kern w:val="1"/>
          <w:highlight w:val="none"/>
        </w:rPr>
        <w:br w:type="page"/>
      </w:r>
      <w:r>
        <w:rPr>
          <w:rStyle w:val="46"/>
          <w:rFonts w:hint="eastAsia"/>
          <w:color w:val="auto"/>
          <w:sz w:val="24"/>
          <w:szCs w:val="24"/>
          <w:highlight w:val="none"/>
        </w:rPr>
        <w:t>附件1</w:t>
      </w:r>
      <w:r>
        <w:rPr>
          <w:rStyle w:val="46"/>
          <w:rFonts w:hint="eastAsia" w:eastAsia="仿宋"/>
          <w:color w:val="auto"/>
          <w:sz w:val="24"/>
          <w:szCs w:val="24"/>
          <w:highlight w:val="none"/>
          <w:lang w:val="en-US" w:eastAsia="zh-CN"/>
        </w:rPr>
        <w:t>6</w:t>
      </w:r>
      <w:r>
        <w:rPr>
          <w:rStyle w:val="46"/>
          <w:rFonts w:hint="eastAsia"/>
          <w:color w:val="auto"/>
          <w:sz w:val="24"/>
          <w:szCs w:val="24"/>
          <w:highlight w:val="none"/>
        </w:rPr>
        <w:t>：</w:t>
      </w:r>
    </w:p>
    <w:p w14:paraId="56719217">
      <w:pPr>
        <w:widowControl/>
        <w:autoSpaceDE w:val="0"/>
        <w:autoSpaceDN w:val="0"/>
        <w:adjustRightInd w:val="0"/>
        <w:spacing w:before="120" w:after="120" w:line="300" w:lineRule="auto"/>
        <w:ind w:right="-481"/>
        <w:jc w:val="center"/>
        <w:rPr>
          <w:rFonts w:ascii="仿宋" w:hAnsi="仿宋" w:eastAsia="仿宋"/>
          <w:color w:val="auto"/>
          <w:kern w:val="1"/>
          <w:sz w:val="28"/>
          <w:szCs w:val="28"/>
          <w:highlight w:val="none"/>
        </w:rPr>
      </w:pPr>
      <w:r>
        <w:rPr>
          <w:rFonts w:hint="eastAsia" w:ascii="仿宋" w:hAnsi="仿宋" w:eastAsia="仿宋" w:cs="宋体"/>
          <w:color w:val="auto"/>
          <w:kern w:val="1"/>
          <w:sz w:val="28"/>
          <w:szCs w:val="28"/>
          <w:highlight w:val="none"/>
        </w:rPr>
        <w:t>项目实施人员（主要从业人员以及其技术资格）一览表</w:t>
      </w:r>
    </w:p>
    <w:p w14:paraId="621532B1">
      <w:pPr>
        <w:widowControl/>
        <w:autoSpaceDE w:val="0"/>
        <w:autoSpaceDN w:val="0"/>
        <w:adjustRightInd w:val="0"/>
        <w:spacing w:after="240"/>
        <w:ind w:right="-481"/>
        <w:rPr>
          <w:rFonts w:ascii="仿宋" w:hAnsi="仿宋" w:eastAsia="仿宋"/>
          <w:color w:val="auto"/>
          <w:kern w:val="1"/>
          <w:sz w:val="24"/>
          <w:szCs w:val="24"/>
          <w:highlight w:val="none"/>
        </w:rPr>
      </w:pPr>
    </w:p>
    <w:p w14:paraId="677CD29C">
      <w:pPr>
        <w:widowControl/>
        <w:autoSpaceDE w:val="0"/>
        <w:autoSpaceDN w:val="0"/>
        <w:adjustRightInd w:val="0"/>
        <w:spacing w:after="240"/>
        <w:ind w:right="-481"/>
        <w:rPr>
          <w:rFonts w:ascii="仿宋" w:hAnsi="仿宋" w:eastAsia="仿宋"/>
          <w:b/>
          <w:bCs/>
          <w:color w:val="auto"/>
          <w:kern w:val="1"/>
          <w:sz w:val="24"/>
          <w:szCs w:val="24"/>
          <w:highlight w:val="none"/>
        </w:rPr>
      </w:pPr>
      <w:r>
        <w:rPr>
          <w:rStyle w:val="46"/>
          <w:rFonts w:hint="eastAsia"/>
          <w:color w:val="auto"/>
          <w:sz w:val="24"/>
          <w:szCs w:val="24"/>
          <w:highlight w:val="none"/>
        </w:rPr>
        <w:t>投标包：第</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包</w:t>
      </w:r>
      <w:r>
        <w:rPr>
          <w:rStyle w:val="46"/>
          <w:color w:val="auto"/>
          <w:sz w:val="24"/>
          <w:szCs w:val="24"/>
          <w:highlight w:val="none"/>
        </w:rPr>
        <w:t xml:space="preserve">                             </w:t>
      </w:r>
      <w:r>
        <w:rPr>
          <w:rStyle w:val="46"/>
          <w:rFonts w:hint="eastAsia"/>
          <w:color w:val="auto"/>
          <w:sz w:val="24"/>
          <w:szCs w:val="24"/>
          <w:highlight w:val="none"/>
        </w:rPr>
        <w:t>包名称：</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407"/>
        <w:gridCol w:w="1260"/>
        <w:gridCol w:w="1260"/>
        <w:gridCol w:w="1800"/>
        <w:gridCol w:w="2133"/>
      </w:tblGrid>
      <w:tr w14:paraId="436A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noWrap w:val="0"/>
            <w:tcMar>
              <w:top w:w="100" w:type="dxa"/>
              <w:right w:w="100" w:type="dxa"/>
            </w:tcMar>
            <w:vAlign w:val="center"/>
          </w:tcPr>
          <w:p w14:paraId="3164A328">
            <w:pPr>
              <w:widowControl/>
              <w:autoSpaceDE w:val="0"/>
              <w:autoSpaceDN w:val="0"/>
              <w:adjustRightInd w:val="0"/>
              <w:spacing w:before="120" w:after="50" w:line="460" w:lineRule="exact"/>
              <w:jc w:val="center"/>
              <w:rPr>
                <w:rStyle w:val="46"/>
                <w:color w:val="auto"/>
                <w:sz w:val="24"/>
                <w:szCs w:val="24"/>
                <w:highlight w:val="none"/>
              </w:rPr>
            </w:pPr>
            <w:r>
              <w:rPr>
                <w:rStyle w:val="46"/>
                <w:rFonts w:hint="eastAsia"/>
                <w:color w:val="auto"/>
                <w:sz w:val="24"/>
                <w:szCs w:val="24"/>
                <w:highlight w:val="none"/>
              </w:rPr>
              <w:t>姓</w:t>
            </w:r>
            <w:r>
              <w:rPr>
                <w:rStyle w:val="46"/>
                <w:color w:val="auto"/>
                <w:sz w:val="24"/>
                <w:szCs w:val="24"/>
                <w:highlight w:val="none"/>
              </w:rPr>
              <w:t xml:space="preserve">  </w:t>
            </w:r>
            <w:r>
              <w:rPr>
                <w:rStyle w:val="46"/>
                <w:rFonts w:hint="eastAsia"/>
                <w:color w:val="auto"/>
                <w:sz w:val="24"/>
                <w:szCs w:val="24"/>
                <w:highlight w:val="none"/>
              </w:rPr>
              <w:t>名</w:t>
            </w:r>
          </w:p>
        </w:tc>
        <w:tc>
          <w:tcPr>
            <w:tcW w:w="1407" w:type="dxa"/>
            <w:noWrap w:val="0"/>
            <w:tcMar>
              <w:top w:w="100" w:type="dxa"/>
              <w:right w:w="100" w:type="dxa"/>
            </w:tcMar>
            <w:vAlign w:val="center"/>
          </w:tcPr>
          <w:p w14:paraId="50ECF2D7">
            <w:pPr>
              <w:widowControl/>
              <w:autoSpaceDE w:val="0"/>
              <w:autoSpaceDN w:val="0"/>
              <w:adjustRightInd w:val="0"/>
              <w:spacing w:before="120" w:after="50" w:line="460" w:lineRule="exact"/>
              <w:jc w:val="center"/>
              <w:rPr>
                <w:rStyle w:val="46"/>
                <w:color w:val="auto"/>
                <w:sz w:val="24"/>
                <w:szCs w:val="24"/>
                <w:highlight w:val="none"/>
              </w:rPr>
            </w:pPr>
            <w:r>
              <w:rPr>
                <w:rStyle w:val="46"/>
                <w:rFonts w:hint="eastAsia"/>
                <w:color w:val="auto"/>
                <w:sz w:val="24"/>
                <w:szCs w:val="24"/>
                <w:highlight w:val="none"/>
              </w:rPr>
              <w:t>职务</w:t>
            </w:r>
          </w:p>
        </w:tc>
        <w:tc>
          <w:tcPr>
            <w:tcW w:w="1260" w:type="dxa"/>
            <w:noWrap w:val="0"/>
            <w:tcMar>
              <w:top w:w="100" w:type="dxa"/>
              <w:right w:w="100" w:type="dxa"/>
            </w:tcMar>
            <w:vAlign w:val="center"/>
          </w:tcPr>
          <w:p w14:paraId="61CC1894">
            <w:pPr>
              <w:widowControl/>
              <w:autoSpaceDE w:val="0"/>
              <w:autoSpaceDN w:val="0"/>
              <w:adjustRightInd w:val="0"/>
              <w:spacing w:before="120" w:after="50" w:line="460" w:lineRule="exact"/>
              <w:jc w:val="center"/>
              <w:rPr>
                <w:rStyle w:val="46"/>
                <w:color w:val="auto"/>
                <w:sz w:val="24"/>
                <w:szCs w:val="24"/>
                <w:highlight w:val="none"/>
              </w:rPr>
            </w:pPr>
            <w:r>
              <w:rPr>
                <w:rStyle w:val="46"/>
                <w:rFonts w:hint="eastAsia"/>
                <w:color w:val="auto"/>
                <w:sz w:val="24"/>
                <w:szCs w:val="24"/>
                <w:highlight w:val="none"/>
              </w:rPr>
              <w:t>专业技</w:t>
            </w:r>
          </w:p>
          <w:p w14:paraId="5C9C65EA">
            <w:pPr>
              <w:widowControl/>
              <w:autoSpaceDE w:val="0"/>
              <w:autoSpaceDN w:val="0"/>
              <w:adjustRightInd w:val="0"/>
              <w:spacing w:before="120" w:after="50" w:line="460" w:lineRule="exact"/>
              <w:jc w:val="center"/>
              <w:rPr>
                <w:rStyle w:val="46"/>
                <w:color w:val="auto"/>
                <w:sz w:val="24"/>
                <w:szCs w:val="24"/>
                <w:highlight w:val="none"/>
              </w:rPr>
            </w:pPr>
            <w:r>
              <w:rPr>
                <w:rStyle w:val="46"/>
                <w:rFonts w:hint="eastAsia"/>
                <w:color w:val="auto"/>
                <w:sz w:val="24"/>
                <w:szCs w:val="24"/>
                <w:highlight w:val="none"/>
              </w:rPr>
              <w:t>术资格</w:t>
            </w:r>
          </w:p>
        </w:tc>
        <w:tc>
          <w:tcPr>
            <w:tcW w:w="1260" w:type="dxa"/>
            <w:noWrap w:val="0"/>
            <w:tcMar>
              <w:top w:w="100" w:type="dxa"/>
              <w:right w:w="100" w:type="dxa"/>
            </w:tcMar>
            <w:vAlign w:val="center"/>
          </w:tcPr>
          <w:p w14:paraId="4E3D6C09">
            <w:pPr>
              <w:widowControl/>
              <w:autoSpaceDE w:val="0"/>
              <w:autoSpaceDN w:val="0"/>
              <w:adjustRightInd w:val="0"/>
              <w:spacing w:before="120" w:after="50" w:line="460" w:lineRule="exact"/>
              <w:jc w:val="center"/>
              <w:rPr>
                <w:rStyle w:val="46"/>
                <w:color w:val="auto"/>
                <w:sz w:val="24"/>
                <w:szCs w:val="24"/>
                <w:highlight w:val="none"/>
              </w:rPr>
            </w:pPr>
            <w:r>
              <w:rPr>
                <w:rStyle w:val="46"/>
                <w:rFonts w:hint="eastAsia"/>
                <w:color w:val="auto"/>
                <w:sz w:val="24"/>
                <w:szCs w:val="24"/>
                <w:highlight w:val="none"/>
              </w:rPr>
              <w:t>证书</w:t>
            </w:r>
          </w:p>
          <w:p w14:paraId="520B0E0B">
            <w:pPr>
              <w:widowControl/>
              <w:autoSpaceDE w:val="0"/>
              <w:autoSpaceDN w:val="0"/>
              <w:adjustRightInd w:val="0"/>
              <w:spacing w:before="120" w:after="50" w:line="460" w:lineRule="exact"/>
              <w:jc w:val="center"/>
              <w:rPr>
                <w:rStyle w:val="46"/>
                <w:color w:val="auto"/>
                <w:sz w:val="24"/>
                <w:szCs w:val="24"/>
                <w:highlight w:val="none"/>
              </w:rPr>
            </w:pPr>
            <w:r>
              <w:rPr>
                <w:rStyle w:val="46"/>
                <w:rFonts w:hint="eastAsia"/>
                <w:color w:val="auto"/>
                <w:sz w:val="24"/>
                <w:szCs w:val="24"/>
                <w:highlight w:val="none"/>
              </w:rPr>
              <w:t>编号</w:t>
            </w:r>
          </w:p>
        </w:tc>
        <w:tc>
          <w:tcPr>
            <w:tcW w:w="1800" w:type="dxa"/>
            <w:noWrap w:val="0"/>
            <w:tcMar>
              <w:top w:w="100" w:type="dxa"/>
              <w:right w:w="100" w:type="dxa"/>
            </w:tcMar>
            <w:vAlign w:val="center"/>
          </w:tcPr>
          <w:p w14:paraId="464DBD21">
            <w:pPr>
              <w:widowControl/>
              <w:autoSpaceDE w:val="0"/>
              <w:autoSpaceDN w:val="0"/>
              <w:adjustRightInd w:val="0"/>
              <w:spacing w:before="120" w:after="50" w:line="460" w:lineRule="exact"/>
              <w:jc w:val="center"/>
              <w:rPr>
                <w:rStyle w:val="46"/>
                <w:color w:val="auto"/>
                <w:sz w:val="24"/>
                <w:szCs w:val="24"/>
                <w:highlight w:val="none"/>
              </w:rPr>
            </w:pPr>
            <w:r>
              <w:rPr>
                <w:rStyle w:val="46"/>
                <w:rFonts w:hint="eastAsia"/>
                <w:color w:val="auto"/>
                <w:sz w:val="24"/>
                <w:szCs w:val="24"/>
                <w:highlight w:val="none"/>
              </w:rPr>
              <w:t>参加本单位工作时间</w:t>
            </w:r>
          </w:p>
        </w:tc>
        <w:tc>
          <w:tcPr>
            <w:tcW w:w="2133" w:type="dxa"/>
            <w:noWrap w:val="0"/>
            <w:tcMar>
              <w:top w:w="100" w:type="dxa"/>
              <w:right w:w="100" w:type="dxa"/>
            </w:tcMar>
            <w:vAlign w:val="center"/>
          </w:tcPr>
          <w:p w14:paraId="058FD89B">
            <w:pPr>
              <w:widowControl/>
              <w:autoSpaceDE w:val="0"/>
              <w:autoSpaceDN w:val="0"/>
              <w:adjustRightInd w:val="0"/>
              <w:spacing w:before="120" w:after="50" w:line="460" w:lineRule="exact"/>
              <w:jc w:val="center"/>
              <w:rPr>
                <w:rStyle w:val="46"/>
                <w:color w:val="auto"/>
                <w:sz w:val="24"/>
                <w:szCs w:val="24"/>
                <w:highlight w:val="none"/>
              </w:rPr>
            </w:pPr>
            <w:r>
              <w:rPr>
                <w:rStyle w:val="46"/>
                <w:rFonts w:hint="eastAsia"/>
                <w:color w:val="auto"/>
                <w:sz w:val="24"/>
                <w:szCs w:val="24"/>
                <w:highlight w:val="none"/>
              </w:rPr>
              <w:t>劳动合</w:t>
            </w:r>
          </w:p>
          <w:p w14:paraId="216F661A">
            <w:pPr>
              <w:widowControl/>
              <w:autoSpaceDE w:val="0"/>
              <w:autoSpaceDN w:val="0"/>
              <w:adjustRightInd w:val="0"/>
              <w:spacing w:before="120" w:after="50" w:line="460" w:lineRule="exact"/>
              <w:jc w:val="center"/>
              <w:rPr>
                <w:rStyle w:val="46"/>
                <w:color w:val="auto"/>
                <w:sz w:val="24"/>
                <w:szCs w:val="24"/>
                <w:highlight w:val="none"/>
              </w:rPr>
            </w:pPr>
            <w:r>
              <w:rPr>
                <w:rStyle w:val="46"/>
                <w:rFonts w:hint="eastAsia"/>
                <w:color w:val="auto"/>
                <w:sz w:val="24"/>
                <w:szCs w:val="24"/>
                <w:highlight w:val="none"/>
              </w:rPr>
              <w:t>同编号</w:t>
            </w:r>
          </w:p>
        </w:tc>
      </w:tr>
      <w:tr w14:paraId="4476A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noWrap w:val="0"/>
            <w:tcMar>
              <w:top w:w="100" w:type="dxa"/>
              <w:right w:w="100" w:type="dxa"/>
            </w:tcMar>
            <w:vAlign w:val="top"/>
          </w:tcPr>
          <w:p w14:paraId="5170AB39">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407" w:type="dxa"/>
            <w:noWrap w:val="0"/>
            <w:tcMar>
              <w:top w:w="100" w:type="dxa"/>
              <w:right w:w="100" w:type="dxa"/>
            </w:tcMar>
            <w:vAlign w:val="top"/>
          </w:tcPr>
          <w:p w14:paraId="32E909BE">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1B470DBF">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49397D44">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800" w:type="dxa"/>
            <w:noWrap w:val="0"/>
            <w:tcMar>
              <w:top w:w="100" w:type="dxa"/>
              <w:right w:w="100" w:type="dxa"/>
            </w:tcMar>
            <w:vAlign w:val="top"/>
          </w:tcPr>
          <w:p w14:paraId="61A09675">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2133" w:type="dxa"/>
            <w:noWrap w:val="0"/>
            <w:tcMar>
              <w:top w:w="100" w:type="dxa"/>
              <w:right w:w="100" w:type="dxa"/>
            </w:tcMar>
            <w:vAlign w:val="top"/>
          </w:tcPr>
          <w:p w14:paraId="1677589A">
            <w:pPr>
              <w:widowControl/>
              <w:autoSpaceDE w:val="0"/>
              <w:autoSpaceDN w:val="0"/>
              <w:adjustRightInd w:val="0"/>
              <w:spacing w:before="120" w:after="50" w:line="460" w:lineRule="exact"/>
              <w:rPr>
                <w:rFonts w:ascii="仿宋" w:hAnsi="仿宋" w:eastAsia="仿宋"/>
                <w:color w:val="auto"/>
                <w:kern w:val="1"/>
                <w:sz w:val="24"/>
                <w:szCs w:val="24"/>
                <w:highlight w:val="none"/>
              </w:rPr>
            </w:pPr>
          </w:p>
        </w:tc>
      </w:tr>
      <w:tr w14:paraId="291F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noWrap w:val="0"/>
            <w:tcMar>
              <w:top w:w="100" w:type="dxa"/>
              <w:right w:w="100" w:type="dxa"/>
            </w:tcMar>
            <w:vAlign w:val="top"/>
          </w:tcPr>
          <w:p w14:paraId="314B4C6C">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407" w:type="dxa"/>
            <w:noWrap w:val="0"/>
            <w:tcMar>
              <w:top w:w="100" w:type="dxa"/>
              <w:right w:w="100" w:type="dxa"/>
            </w:tcMar>
            <w:vAlign w:val="top"/>
          </w:tcPr>
          <w:p w14:paraId="30CA3C9C">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79D3F68D">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7F86A304">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800" w:type="dxa"/>
            <w:noWrap w:val="0"/>
            <w:tcMar>
              <w:top w:w="100" w:type="dxa"/>
              <w:right w:w="100" w:type="dxa"/>
            </w:tcMar>
            <w:vAlign w:val="top"/>
          </w:tcPr>
          <w:p w14:paraId="4EEE6F70">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2133" w:type="dxa"/>
            <w:noWrap w:val="0"/>
            <w:tcMar>
              <w:top w:w="100" w:type="dxa"/>
              <w:right w:w="100" w:type="dxa"/>
            </w:tcMar>
            <w:vAlign w:val="top"/>
          </w:tcPr>
          <w:p w14:paraId="3781BFFF">
            <w:pPr>
              <w:widowControl/>
              <w:autoSpaceDE w:val="0"/>
              <w:autoSpaceDN w:val="0"/>
              <w:adjustRightInd w:val="0"/>
              <w:spacing w:before="120" w:after="50" w:line="460" w:lineRule="exact"/>
              <w:rPr>
                <w:rFonts w:ascii="仿宋" w:hAnsi="仿宋" w:eastAsia="仿宋"/>
                <w:color w:val="auto"/>
                <w:kern w:val="1"/>
                <w:sz w:val="24"/>
                <w:szCs w:val="24"/>
                <w:highlight w:val="none"/>
              </w:rPr>
            </w:pPr>
          </w:p>
        </w:tc>
      </w:tr>
      <w:tr w14:paraId="624A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noWrap w:val="0"/>
            <w:tcMar>
              <w:top w:w="100" w:type="dxa"/>
              <w:right w:w="100" w:type="dxa"/>
            </w:tcMar>
            <w:vAlign w:val="top"/>
          </w:tcPr>
          <w:p w14:paraId="70558AAE">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407" w:type="dxa"/>
            <w:noWrap w:val="0"/>
            <w:tcMar>
              <w:top w:w="100" w:type="dxa"/>
              <w:right w:w="100" w:type="dxa"/>
            </w:tcMar>
            <w:vAlign w:val="top"/>
          </w:tcPr>
          <w:p w14:paraId="5CCB1C7C">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4137529C">
            <w:pPr>
              <w:widowControl/>
              <w:autoSpaceDE w:val="0"/>
              <w:autoSpaceDN w:val="0"/>
              <w:adjustRightInd w:val="0"/>
              <w:spacing w:before="120" w:after="50" w:line="460" w:lineRule="exact"/>
              <w:ind w:left="5250"/>
              <w:rPr>
                <w:rFonts w:ascii="仿宋" w:hAnsi="仿宋" w:eastAsia="仿宋"/>
                <w:b/>
                <w:bCs/>
                <w:color w:val="auto"/>
                <w:kern w:val="1"/>
                <w:sz w:val="24"/>
                <w:szCs w:val="24"/>
                <w:highlight w:val="none"/>
              </w:rPr>
            </w:pPr>
          </w:p>
        </w:tc>
        <w:tc>
          <w:tcPr>
            <w:tcW w:w="1260" w:type="dxa"/>
            <w:noWrap w:val="0"/>
            <w:tcMar>
              <w:top w:w="100" w:type="dxa"/>
              <w:right w:w="100" w:type="dxa"/>
            </w:tcMar>
            <w:vAlign w:val="top"/>
          </w:tcPr>
          <w:p w14:paraId="4518F06E">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800" w:type="dxa"/>
            <w:noWrap w:val="0"/>
            <w:tcMar>
              <w:top w:w="100" w:type="dxa"/>
              <w:right w:w="100" w:type="dxa"/>
            </w:tcMar>
            <w:vAlign w:val="top"/>
          </w:tcPr>
          <w:p w14:paraId="13310FA3">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2133" w:type="dxa"/>
            <w:noWrap w:val="0"/>
            <w:tcMar>
              <w:top w:w="100" w:type="dxa"/>
              <w:right w:w="100" w:type="dxa"/>
            </w:tcMar>
            <w:vAlign w:val="top"/>
          </w:tcPr>
          <w:p w14:paraId="66103A40">
            <w:pPr>
              <w:widowControl/>
              <w:autoSpaceDE w:val="0"/>
              <w:autoSpaceDN w:val="0"/>
              <w:adjustRightInd w:val="0"/>
              <w:spacing w:before="120" w:after="50" w:line="460" w:lineRule="exact"/>
              <w:rPr>
                <w:rFonts w:ascii="仿宋" w:hAnsi="仿宋" w:eastAsia="仿宋"/>
                <w:color w:val="auto"/>
                <w:kern w:val="1"/>
                <w:sz w:val="24"/>
                <w:szCs w:val="24"/>
                <w:highlight w:val="none"/>
              </w:rPr>
            </w:pPr>
          </w:p>
        </w:tc>
      </w:tr>
      <w:tr w14:paraId="08E8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noWrap w:val="0"/>
            <w:tcMar>
              <w:top w:w="100" w:type="dxa"/>
              <w:right w:w="100" w:type="dxa"/>
            </w:tcMar>
            <w:vAlign w:val="top"/>
          </w:tcPr>
          <w:p w14:paraId="72A5C9A7">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407" w:type="dxa"/>
            <w:noWrap w:val="0"/>
            <w:tcMar>
              <w:top w:w="100" w:type="dxa"/>
              <w:right w:w="100" w:type="dxa"/>
            </w:tcMar>
            <w:vAlign w:val="top"/>
          </w:tcPr>
          <w:p w14:paraId="089DF306">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6A78439B">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1C92B2B3">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800" w:type="dxa"/>
            <w:noWrap w:val="0"/>
            <w:tcMar>
              <w:top w:w="100" w:type="dxa"/>
              <w:right w:w="100" w:type="dxa"/>
            </w:tcMar>
            <w:vAlign w:val="top"/>
          </w:tcPr>
          <w:p w14:paraId="4E9E81DD">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2133" w:type="dxa"/>
            <w:noWrap w:val="0"/>
            <w:tcMar>
              <w:top w:w="100" w:type="dxa"/>
              <w:right w:w="100" w:type="dxa"/>
            </w:tcMar>
            <w:vAlign w:val="top"/>
          </w:tcPr>
          <w:p w14:paraId="78DDEDDB">
            <w:pPr>
              <w:widowControl/>
              <w:autoSpaceDE w:val="0"/>
              <w:autoSpaceDN w:val="0"/>
              <w:adjustRightInd w:val="0"/>
              <w:spacing w:before="120" w:after="50" w:line="460" w:lineRule="exact"/>
              <w:rPr>
                <w:rFonts w:ascii="仿宋" w:hAnsi="仿宋" w:eastAsia="仿宋"/>
                <w:color w:val="auto"/>
                <w:kern w:val="1"/>
                <w:sz w:val="24"/>
                <w:szCs w:val="24"/>
                <w:highlight w:val="none"/>
              </w:rPr>
            </w:pPr>
          </w:p>
        </w:tc>
      </w:tr>
      <w:tr w14:paraId="5017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noWrap w:val="0"/>
            <w:tcMar>
              <w:top w:w="100" w:type="dxa"/>
              <w:right w:w="100" w:type="dxa"/>
            </w:tcMar>
            <w:vAlign w:val="top"/>
          </w:tcPr>
          <w:p w14:paraId="1862EFA0">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407" w:type="dxa"/>
            <w:noWrap w:val="0"/>
            <w:tcMar>
              <w:top w:w="100" w:type="dxa"/>
              <w:right w:w="100" w:type="dxa"/>
            </w:tcMar>
            <w:vAlign w:val="top"/>
          </w:tcPr>
          <w:p w14:paraId="2307EC8C">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1344AA54">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0D913E4E">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800" w:type="dxa"/>
            <w:noWrap w:val="0"/>
            <w:tcMar>
              <w:top w:w="100" w:type="dxa"/>
              <w:right w:w="100" w:type="dxa"/>
            </w:tcMar>
            <w:vAlign w:val="top"/>
          </w:tcPr>
          <w:p w14:paraId="7CFF2989">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2133" w:type="dxa"/>
            <w:noWrap w:val="0"/>
            <w:tcMar>
              <w:top w:w="100" w:type="dxa"/>
              <w:right w:w="100" w:type="dxa"/>
            </w:tcMar>
            <w:vAlign w:val="top"/>
          </w:tcPr>
          <w:p w14:paraId="63FD3049">
            <w:pPr>
              <w:widowControl/>
              <w:autoSpaceDE w:val="0"/>
              <w:autoSpaceDN w:val="0"/>
              <w:adjustRightInd w:val="0"/>
              <w:spacing w:before="120" w:after="50" w:line="460" w:lineRule="exact"/>
              <w:rPr>
                <w:rFonts w:ascii="仿宋" w:hAnsi="仿宋" w:eastAsia="仿宋"/>
                <w:color w:val="auto"/>
                <w:kern w:val="1"/>
                <w:sz w:val="24"/>
                <w:szCs w:val="24"/>
                <w:highlight w:val="none"/>
              </w:rPr>
            </w:pPr>
          </w:p>
        </w:tc>
      </w:tr>
      <w:tr w14:paraId="2400F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noWrap w:val="0"/>
            <w:tcMar>
              <w:top w:w="100" w:type="dxa"/>
              <w:right w:w="100" w:type="dxa"/>
            </w:tcMar>
            <w:vAlign w:val="top"/>
          </w:tcPr>
          <w:p w14:paraId="5B4B5D0C">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407" w:type="dxa"/>
            <w:noWrap w:val="0"/>
            <w:tcMar>
              <w:top w:w="100" w:type="dxa"/>
              <w:right w:w="100" w:type="dxa"/>
            </w:tcMar>
            <w:vAlign w:val="top"/>
          </w:tcPr>
          <w:p w14:paraId="4B797B8D">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7F5E488F">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39FE2CEE">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800" w:type="dxa"/>
            <w:noWrap w:val="0"/>
            <w:tcMar>
              <w:top w:w="100" w:type="dxa"/>
              <w:right w:w="100" w:type="dxa"/>
            </w:tcMar>
            <w:vAlign w:val="top"/>
          </w:tcPr>
          <w:p w14:paraId="4AC842B2">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2133" w:type="dxa"/>
            <w:noWrap w:val="0"/>
            <w:tcMar>
              <w:top w:w="100" w:type="dxa"/>
              <w:right w:w="100" w:type="dxa"/>
            </w:tcMar>
            <w:vAlign w:val="top"/>
          </w:tcPr>
          <w:p w14:paraId="6FB5A98D">
            <w:pPr>
              <w:widowControl/>
              <w:autoSpaceDE w:val="0"/>
              <w:autoSpaceDN w:val="0"/>
              <w:adjustRightInd w:val="0"/>
              <w:spacing w:before="120" w:after="50" w:line="460" w:lineRule="exact"/>
              <w:rPr>
                <w:rFonts w:ascii="仿宋" w:hAnsi="仿宋" w:eastAsia="仿宋"/>
                <w:color w:val="auto"/>
                <w:kern w:val="1"/>
                <w:sz w:val="24"/>
                <w:szCs w:val="24"/>
                <w:highlight w:val="none"/>
              </w:rPr>
            </w:pPr>
          </w:p>
        </w:tc>
      </w:tr>
      <w:tr w14:paraId="3C16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noWrap w:val="0"/>
            <w:tcMar>
              <w:top w:w="100" w:type="dxa"/>
              <w:right w:w="100" w:type="dxa"/>
            </w:tcMar>
            <w:vAlign w:val="top"/>
          </w:tcPr>
          <w:p w14:paraId="19F37736">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407" w:type="dxa"/>
            <w:noWrap w:val="0"/>
            <w:tcMar>
              <w:top w:w="100" w:type="dxa"/>
              <w:right w:w="100" w:type="dxa"/>
            </w:tcMar>
            <w:vAlign w:val="top"/>
          </w:tcPr>
          <w:p w14:paraId="3E0F34F0">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6D52D0D0">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54084BEB">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800" w:type="dxa"/>
            <w:noWrap w:val="0"/>
            <w:tcMar>
              <w:top w:w="100" w:type="dxa"/>
              <w:right w:w="100" w:type="dxa"/>
            </w:tcMar>
            <w:vAlign w:val="top"/>
          </w:tcPr>
          <w:p w14:paraId="75FCFBEA">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2133" w:type="dxa"/>
            <w:noWrap w:val="0"/>
            <w:tcMar>
              <w:top w:w="100" w:type="dxa"/>
              <w:right w:w="100" w:type="dxa"/>
            </w:tcMar>
            <w:vAlign w:val="top"/>
          </w:tcPr>
          <w:p w14:paraId="2A0D7665">
            <w:pPr>
              <w:widowControl/>
              <w:autoSpaceDE w:val="0"/>
              <w:autoSpaceDN w:val="0"/>
              <w:adjustRightInd w:val="0"/>
              <w:spacing w:before="120" w:after="50" w:line="460" w:lineRule="exact"/>
              <w:rPr>
                <w:rFonts w:ascii="仿宋" w:hAnsi="仿宋" w:eastAsia="仿宋"/>
                <w:color w:val="auto"/>
                <w:kern w:val="1"/>
                <w:sz w:val="24"/>
                <w:szCs w:val="24"/>
                <w:highlight w:val="none"/>
              </w:rPr>
            </w:pPr>
          </w:p>
        </w:tc>
      </w:tr>
      <w:tr w14:paraId="77C0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noWrap w:val="0"/>
            <w:tcMar>
              <w:top w:w="100" w:type="dxa"/>
              <w:right w:w="100" w:type="dxa"/>
            </w:tcMar>
            <w:vAlign w:val="top"/>
          </w:tcPr>
          <w:p w14:paraId="558A8E48">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407" w:type="dxa"/>
            <w:noWrap w:val="0"/>
            <w:tcMar>
              <w:top w:w="100" w:type="dxa"/>
              <w:right w:w="100" w:type="dxa"/>
            </w:tcMar>
            <w:vAlign w:val="top"/>
          </w:tcPr>
          <w:p w14:paraId="79F7DD95">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0967FCDA">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28CEEFF4">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800" w:type="dxa"/>
            <w:noWrap w:val="0"/>
            <w:tcMar>
              <w:top w:w="100" w:type="dxa"/>
              <w:right w:w="100" w:type="dxa"/>
            </w:tcMar>
            <w:vAlign w:val="top"/>
          </w:tcPr>
          <w:p w14:paraId="54618E8A">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2133" w:type="dxa"/>
            <w:noWrap w:val="0"/>
            <w:tcMar>
              <w:top w:w="100" w:type="dxa"/>
              <w:right w:w="100" w:type="dxa"/>
            </w:tcMar>
            <w:vAlign w:val="top"/>
          </w:tcPr>
          <w:p w14:paraId="55193D0F">
            <w:pPr>
              <w:widowControl/>
              <w:autoSpaceDE w:val="0"/>
              <w:autoSpaceDN w:val="0"/>
              <w:adjustRightInd w:val="0"/>
              <w:spacing w:before="120" w:after="50" w:line="460" w:lineRule="exact"/>
              <w:rPr>
                <w:rFonts w:ascii="仿宋" w:hAnsi="仿宋" w:eastAsia="仿宋"/>
                <w:color w:val="auto"/>
                <w:kern w:val="1"/>
                <w:sz w:val="24"/>
                <w:szCs w:val="24"/>
                <w:highlight w:val="none"/>
              </w:rPr>
            </w:pPr>
          </w:p>
        </w:tc>
      </w:tr>
      <w:tr w14:paraId="67319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noWrap w:val="0"/>
            <w:tcMar>
              <w:top w:w="100" w:type="dxa"/>
              <w:right w:w="100" w:type="dxa"/>
            </w:tcMar>
            <w:vAlign w:val="top"/>
          </w:tcPr>
          <w:p w14:paraId="40308CDA">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407" w:type="dxa"/>
            <w:noWrap w:val="0"/>
            <w:tcMar>
              <w:top w:w="100" w:type="dxa"/>
              <w:right w:w="100" w:type="dxa"/>
            </w:tcMar>
            <w:vAlign w:val="top"/>
          </w:tcPr>
          <w:p w14:paraId="6152D16E">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0AAA7E57">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260" w:type="dxa"/>
            <w:noWrap w:val="0"/>
            <w:tcMar>
              <w:top w:w="100" w:type="dxa"/>
              <w:right w:w="100" w:type="dxa"/>
            </w:tcMar>
            <w:vAlign w:val="top"/>
          </w:tcPr>
          <w:p w14:paraId="55D69894">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1800" w:type="dxa"/>
            <w:noWrap w:val="0"/>
            <w:tcMar>
              <w:top w:w="100" w:type="dxa"/>
              <w:right w:w="100" w:type="dxa"/>
            </w:tcMar>
            <w:vAlign w:val="top"/>
          </w:tcPr>
          <w:p w14:paraId="24767D67">
            <w:pPr>
              <w:widowControl/>
              <w:autoSpaceDE w:val="0"/>
              <w:autoSpaceDN w:val="0"/>
              <w:adjustRightInd w:val="0"/>
              <w:spacing w:before="120" w:after="50" w:line="460" w:lineRule="exact"/>
              <w:rPr>
                <w:rFonts w:ascii="仿宋" w:hAnsi="仿宋" w:eastAsia="仿宋"/>
                <w:color w:val="auto"/>
                <w:kern w:val="1"/>
                <w:sz w:val="24"/>
                <w:szCs w:val="24"/>
                <w:highlight w:val="none"/>
              </w:rPr>
            </w:pPr>
          </w:p>
        </w:tc>
        <w:tc>
          <w:tcPr>
            <w:tcW w:w="2133" w:type="dxa"/>
            <w:noWrap w:val="0"/>
            <w:tcMar>
              <w:top w:w="100" w:type="dxa"/>
              <w:right w:w="100" w:type="dxa"/>
            </w:tcMar>
            <w:vAlign w:val="top"/>
          </w:tcPr>
          <w:p w14:paraId="2EF1B334">
            <w:pPr>
              <w:widowControl/>
              <w:autoSpaceDE w:val="0"/>
              <w:autoSpaceDN w:val="0"/>
              <w:adjustRightInd w:val="0"/>
              <w:spacing w:before="120" w:after="50" w:line="460" w:lineRule="exact"/>
              <w:rPr>
                <w:rFonts w:ascii="仿宋" w:hAnsi="仿宋" w:eastAsia="仿宋"/>
                <w:color w:val="auto"/>
                <w:kern w:val="1"/>
                <w:sz w:val="24"/>
                <w:szCs w:val="24"/>
                <w:highlight w:val="none"/>
              </w:rPr>
            </w:pPr>
          </w:p>
        </w:tc>
      </w:tr>
    </w:tbl>
    <w:p w14:paraId="5175ED36">
      <w:pPr>
        <w:widowControl/>
        <w:autoSpaceDE w:val="0"/>
        <w:autoSpaceDN w:val="0"/>
        <w:adjustRightInd w:val="0"/>
        <w:spacing w:before="50" w:after="120" w:line="460" w:lineRule="exact"/>
        <w:ind w:right="-481"/>
        <w:jc w:val="left"/>
        <w:rPr>
          <w:rFonts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注：在填写时，如本表格不适合投标单位的实际情况，可根据本表格式自行制表填写。</w:t>
      </w:r>
      <w:r>
        <w:rPr>
          <w:rFonts w:ascii="仿宋" w:hAnsi="仿宋" w:eastAsia="仿宋" w:cs="仿宋"/>
          <w:color w:val="auto"/>
          <w:kern w:val="1"/>
          <w:sz w:val="24"/>
          <w:szCs w:val="24"/>
          <w:highlight w:val="none"/>
        </w:rPr>
        <w:t xml:space="preserve"> </w:t>
      </w:r>
    </w:p>
    <w:p w14:paraId="432B2941">
      <w:pPr>
        <w:widowControl/>
        <w:autoSpaceDE w:val="0"/>
        <w:autoSpaceDN w:val="0"/>
        <w:adjustRightInd w:val="0"/>
        <w:spacing w:line="360" w:lineRule="auto"/>
        <w:ind w:right="-481"/>
        <w:rPr>
          <w:rFonts w:ascii="仿宋" w:hAnsi="仿宋" w:eastAsia="仿宋"/>
          <w:color w:val="auto"/>
          <w:kern w:val="1"/>
          <w:sz w:val="24"/>
          <w:szCs w:val="24"/>
          <w:highlight w:val="none"/>
        </w:rPr>
      </w:pPr>
    </w:p>
    <w:p w14:paraId="5A2220EE">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投标人名称（盖公章）：</w:t>
      </w:r>
    </w:p>
    <w:p w14:paraId="165356A3">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投标人法定代表人或者被授权代表（签字或盖章）：</w:t>
      </w:r>
    </w:p>
    <w:p w14:paraId="3CCE1A6B">
      <w:pPr>
        <w:widowControl/>
        <w:autoSpaceDE w:val="0"/>
        <w:autoSpaceDN w:val="0"/>
        <w:adjustRightInd w:val="0"/>
        <w:spacing w:line="640" w:lineRule="exact"/>
        <w:ind w:right="-481"/>
        <w:rPr>
          <w:rFonts w:hint="eastAsia" w:ascii="宋体" w:hAnsi="宋体" w:cs="宋体"/>
          <w:color w:val="auto"/>
          <w:kern w:val="1"/>
          <w:sz w:val="30"/>
          <w:szCs w:val="30"/>
          <w:highlight w:val="none"/>
        </w:rPr>
      </w:pPr>
      <w:r>
        <w:rPr>
          <w:rStyle w:val="46"/>
          <w:rFonts w:hint="eastAsia"/>
          <w:color w:val="auto"/>
          <w:sz w:val="24"/>
          <w:szCs w:val="24"/>
          <w:highlight w:val="none"/>
        </w:rPr>
        <w:t>时间：</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年</w:t>
      </w:r>
      <w:r>
        <w:rPr>
          <w:rFonts w:ascii="仿宋" w:hAnsi="仿宋" w:eastAsia="仿宋" w:cs="仿宋"/>
          <w:color w:val="auto"/>
          <w:kern w:val="1"/>
          <w:sz w:val="24"/>
          <w:szCs w:val="24"/>
          <w:highlight w:val="none"/>
          <w:u w:val="single"/>
        </w:rPr>
        <w:t xml:space="preserve">     </w:t>
      </w:r>
      <w:r>
        <w:rPr>
          <w:rStyle w:val="46"/>
          <w:color w:val="auto"/>
          <w:sz w:val="24"/>
          <w:szCs w:val="24"/>
          <w:highlight w:val="none"/>
        </w:rPr>
        <w:t xml:space="preserve"> </w:t>
      </w:r>
      <w:r>
        <w:rPr>
          <w:rStyle w:val="46"/>
          <w:rFonts w:hint="eastAsia"/>
          <w:color w:val="auto"/>
          <w:sz w:val="24"/>
          <w:szCs w:val="24"/>
          <w:highlight w:val="none"/>
        </w:rPr>
        <w:t>月</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日</w:t>
      </w:r>
    </w:p>
    <w:p w14:paraId="2D30D31C">
      <w:pPr>
        <w:widowControl/>
        <w:autoSpaceDE w:val="0"/>
        <w:autoSpaceDN w:val="0"/>
        <w:adjustRightInd w:val="0"/>
        <w:spacing w:line="640" w:lineRule="exact"/>
        <w:ind w:right="-481"/>
        <w:rPr>
          <w:rStyle w:val="46"/>
          <w:color w:val="auto"/>
          <w:sz w:val="24"/>
          <w:szCs w:val="24"/>
          <w:highlight w:val="none"/>
        </w:rPr>
      </w:pPr>
      <w:r>
        <w:rPr>
          <w:rFonts w:ascii="宋体" w:hAnsi="宋体" w:cs="宋体"/>
          <w:color w:val="auto"/>
          <w:kern w:val="1"/>
          <w:sz w:val="30"/>
          <w:szCs w:val="30"/>
          <w:highlight w:val="none"/>
        </w:rPr>
        <w:br w:type="page"/>
      </w:r>
      <w:r>
        <w:rPr>
          <w:rStyle w:val="46"/>
          <w:rFonts w:hint="eastAsia"/>
          <w:color w:val="auto"/>
          <w:sz w:val="24"/>
          <w:szCs w:val="24"/>
          <w:highlight w:val="none"/>
        </w:rPr>
        <w:t>附件</w:t>
      </w:r>
      <w:r>
        <w:rPr>
          <w:rStyle w:val="46"/>
          <w:color w:val="auto"/>
          <w:sz w:val="24"/>
          <w:szCs w:val="24"/>
          <w:highlight w:val="none"/>
        </w:rPr>
        <w:t>1</w:t>
      </w:r>
      <w:r>
        <w:rPr>
          <w:rStyle w:val="46"/>
          <w:rFonts w:hint="eastAsia" w:eastAsia="仿宋"/>
          <w:color w:val="auto"/>
          <w:sz w:val="24"/>
          <w:szCs w:val="24"/>
          <w:highlight w:val="none"/>
          <w:lang w:val="en-US" w:eastAsia="zh-CN"/>
        </w:rPr>
        <w:t>7</w:t>
      </w:r>
      <w:r>
        <w:rPr>
          <w:rStyle w:val="46"/>
          <w:rFonts w:hint="eastAsia"/>
          <w:color w:val="auto"/>
          <w:sz w:val="24"/>
          <w:szCs w:val="24"/>
          <w:highlight w:val="none"/>
        </w:rPr>
        <w:t>：</w:t>
      </w:r>
    </w:p>
    <w:p w14:paraId="19E3B48B">
      <w:pPr>
        <w:widowControl/>
        <w:autoSpaceDE w:val="0"/>
        <w:autoSpaceDN w:val="0"/>
        <w:adjustRightInd w:val="0"/>
        <w:spacing w:before="120" w:after="120" w:line="300" w:lineRule="auto"/>
        <w:ind w:right="-481" w:firstLine="630"/>
        <w:jc w:val="center"/>
        <w:rPr>
          <w:rFonts w:ascii="仿宋" w:hAnsi="仿宋" w:eastAsia="仿宋"/>
          <w:color w:val="auto"/>
          <w:kern w:val="1"/>
          <w:sz w:val="28"/>
          <w:szCs w:val="28"/>
          <w:highlight w:val="none"/>
        </w:rPr>
      </w:pPr>
      <w:r>
        <w:rPr>
          <w:rFonts w:hint="eastAsia" w:ascii="仿宋" w:hAnsi="仿宋" w:eastAsia="仿宋" w:cs="宋体"/>
          <w:color w:val="auto"/>
          <w:kern w:val="1"/>
          <w:sz w:val="28"/>
          <w:szCs w:val="28"/>
          <w:highlight w:val="none"/>
        </w:rPr>
        <w:t>投标文件包装袋密封件正面和封口格式</w:t>
      </w:r>
    </w:p>
    <w:p w14:paraId="3EC47913">
      <w:pPr>
        <w:widowControl/>
        <w:autoSpaceDE w:val="0"/>
        <w:autoSpaceDN w:val="0"/>
        <w:adjustRightInd w:val="0"/>
        <w:spacing w:before="100" w:after="100"/>
        <w:ind w:right="-481"/>
        <w:jc w:val="center"/>
        <w:rPr>
          <w:rStyle w:val="46"/>
          <w:color w:val="auto"/>
          <w:sz w:val="24"/>
          <w:szCs w:val="24"/>
          <w:highlight w:val="none"/>
        </w:rPr>
      </w:pPr>
      <w:r>
        <w:rPr>
          <w:rStyle w:val="46"/>
          <w:rFonts w:hint="eastAsia"/>
          <w:color w:val="auto"/>
          <w:sz w:val="24"/>
          <w:szCs w:val="24"/>
          <w:highlight w:val="none"/>
        </w:rPr>
        <w:t>投标文件包装袋密封件正面格式</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1428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noWrap w:val="0"/>
            <w:tcMar>
              <w:top w:w="100" w:type="dxa"/>
              <w:right w:w="100" w:type="dxa"/>
            </w:tcMar>
            <w:vAlign w:val="top"/>
          </w:tcPr>
          <w:p w14:paraId="1C50E6FE">
            <w:pPr>
              <w:widowControl/>
              <w:autoSpaceDE w:val="0"/>
              <w:autoSpaceDN w:val="0"/>
              <w:adjustRightInd w:val="0"/>
              <w:spacing w:line="360" w:lineRule="auto"/>
              <w:ind w:right="-481"/>
              <w:rPr>
                <w:rFonts w:ascii="仿宋" w:hAnsi="仿宋" w:eastAsia="仿宋"/>
                <w:color w:val="auto"/>
                <w:kern w:val="1"/>
                <w:sz w:val="24"/>
                <w:szCs w:val="24"/>
                <w:highlight w:val="none"/>
              </w:rPr>
            </w:pPr>
          </w:p>
          <w:p w14:paraId="6C43EA78">
            <w:pPr>
              <w:widowControl/>
              <w:autoSpaceDE w:val="0"/>
              <w:autoSpaceDN w:val="0"/>
              <w:adjustRightInd w:val="0"/>
              <w:spacing w:line="360" w:lineRule="auto"/>
              <w:ind w:right="-481"/>
              <w:rPr>
                <w:rFonts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收件人：</w:t>
            </w:r>
            <w:r>
              <w:rPr>
                <w:rFonts w:ascii="仿宋" w:hAnsi="仿宋" w:eastAsia="仿宋" w:cs="仿宋"/>
                <w:color w:val="auto"/>
                <w:kern w:val="1"/>
                <w:sz w:val="24"/>
                <w:szCs w:val="24"/>
                <w:highlight w:val="none"/>
              </w:rPr>
              <w:t xml:space="preserve">                                       </w:t>
            </w:r>
          </w:p>
          <w:p w14:paraId="591145F3">
            <w:pPr>
              <w:widowControl/>
              <w:autoSpaceDE w:val="0"/>
              <w:autoSpaceDN w:val="0"/>
              <w:adjustRightInd w:val="0"/>
              <w:spacing w:line="360" w:lineRule="auto"/>
              <w:ind w:right="-481"/>
              <w:rPr>
                <w:rFonts w:ascii="仿宋" w:hAnsi="仿宋" w:eastAsia="仿宋" w:cs="仿宋"/>
                <w:color w:val="auto"/>
                <w:kern w:val="1"/>
                <w:sz w:val="24"/>
                <w:szCs w:val="24"/>
                <w:highlight w:val="none"/>
              </w:rPr>
            </w:pPr>
          </w:p>
          <w:p w14:paraId="663F0DBE">
            <w:pPr>
              <w:widowControl/>
              <w:autoSpaceDE w:val="0"/>
              <w:autoSpaceDN w:val="0"/>
              <w:adjustRightInd w:val="0"/>
              <w:spacing w:line="360" w:lineRule="auto"/>
              <w:ind w:right="-481"/>
              <w:rPr>
                <w:rFonts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项目名称：</w:t>
            </w:r>
            <w:r>
              <w:rPr>
                <w:rFonts w:ascii="仿宋" w:hAnsi="仿宋" w:eastAsia="仿宋" w:cs="仿宋"/>
                <w:color w:val="auto"/>
                <w:kern w:val="1"/>
                <w:sz w:val="24"/>
                <w:szCs w:val="24"/>
                <w:highlight w:val="none"/>
              </w:rPr>
              <w:t xml:space="preserve"> </w:t>
            </w:r>
          </w:p>
          <w:p w14:paraId="37BDC897">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项目编号：</w:t>
            </w:r>
          </w:p>
          <w:p w14:paraId="47A018A2">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包：第</w:t>
            </w:r>
            <w:r>
              <w:rPr>
                <w:rStyle w:val="46"/>
                <w:color w:val="auto"/>
                <w:sz w:val="24"/>
                <w:szCs w:val="24"/>
                <w:highlight w:val="none"/>
              </w:rPr>
              <w:t xml:space="preserve">   </w:t>
            </w:r>
            <w:r>
              <w:rPr>
                <w:rStyle w:val="46"/>
                <w:rFonts w:hint="eastAsia"/>
                <w:color w:val="auto"/>
                <w:sz w:val="24"/>
                <w:szCs w:val="24"/>
                <w:highlight w:val="none"/>
              </w:rPr>
              <w:t>包</w:t>
            </w:r>
          </w:p>
          <w:p w14:paraId="2BDFAB6F">
            <w:pPr>
              <w:widowControl/>
              <w:autoSpaceDE w:val="0"/>
              <w:autoSpaceDN w:val="0"/>
              <w:adjustRightInd w:val="0"/>
              <w:spacing w:line="360" w:lineRule="auto"/>
              <w:ind w:right="-481"/>
              <w:rPr>
                <w:rFonts w:ascii="仿宋" w:hAnsi="仿宋" w:eastAsia="仿宋"/>
                <w:color w:val="auto"/>
                <w:kern w:val="1"/>
                <w:sz w:val="24"/>
                <w:szCs w:val="24"/>
                <w:highlight w:val="none"/>
              </w:rPr>
            </w:pPr>
          </w:p>
          <w:p w14:paraId="419824D7">
            <w:pPr>
              <w:widowControl/>
              <w:autoSpaceDE w:val="0"/>
              <w:autoSpaceDN w:val="0"/>
              <w:adjustRightInd w:val="0"/>
              <w:spacing w:line="360" w:lineRule="auto"/>
              <w:ind w:right="-481"/>
              <w:jc w:val="center"/>
              <w:rPr>
                <w:rFonts w:ascii="仿宋" w:hAnsi="仿宋" w:eastAsia="仿宋"/>
                <w:b/>
                <w:bCs/>
                <w:color w:val="auto"/>
                <w:kern w:val="1"/>
                <w:sz w:val="24"/>
                <w:szCs w:val="24"/>
                <w:highlight w:val="none"/>
              </w:rPr>
            </w:pPr>
            <w:r>
              <w:rPr>
                <w:rStyle w:val="46"/>
                <w:rFonts w:hint="eastAsia"/>
                <w:color w:val="auto"/>
                <w:sz w:val="24"/>
                <w:szCs w:val="24"/>
                <w:highlight w:val="none"/>
              </w:rPr>
              <w:t>投标文件</w:t>
            </w:r>
            <w:r>
              <w:rPr>
                <w:rFonts w:ascii="仿宋" w:hAnsi="仿宋" w:eastAsia="仿宋" w:cs="仿宋"/>
                <w:color w:val="auto"/>
                <w:kern w:val="1"/>
                <w:sz w:val="24"/>
                <w:szCs w:val="24"/>
                <w:highlight w:val="none"/>
                <w:u w:val="single"/>
              </w:rPr>
              <w:t xml:space="preserve">              </w:t>
            </w:r>
            <w:r>
              <w:rPr>
                <w:rStyle w:val="46"/>
                <w:rFonts w:hint="eastAsia"/>
                <w:color w:val="auto"/>
                <w:sz w:val="24"/>
                <w:szCs w:val="24"/>
                <w:highlight w:val="none"/>
              </w:rPr>
              <w:t>部分</w:t>
            </w:r>
          </w:p>
          <w:p w14:paraId="26C90719">
            <w:pPr>
              <w:widowControl/>
              <w:autoSpaceDE w:val="0"/>
              <w:autoSpaceDN w:val="0"/>
              <w:adjustRightInd w:val="0"/>
              <w:spacing w:line="360" w:lineRule="auto"/>
              <w:ind w:right="-481"/>
              <w:rPr>
                <w:rFonts w:ascii="仿宋" w:hAnsi="仿宋" w:eastAsia="仿宋"/>
                <w:b/>
                <w:bCs/>
                <w:color w:val="auto"/>
                <w:kern w:val="1"/>
                <w:sz w:val="24"/>
                <w:szCs w:val="24"/>
                <w:highlight w:val="none"/>
              </w:rPr>
            </w:pPr>
          </w:p>
          <w:p w14:paraId="1283BDCA">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投标人名称：</w:t>
            </w:r>
          </w:p>
          <w:p w14:paraId="1842D02C">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投标人地址：</w:t>
            </w:r>
          </w:p>
          <w:p w14:paraId="0368642E">
            <w:pPr>
              <w:widowControl/>
              <w:autoSpaceDE w:val="0"/>
              <w:autoSpaceDN w:val="0"/>
              <w:adjustRightInd w:val="0"/>
              <w:spacing w:line="360" w:lineRule="auto"/>
              <w:ind w:right="-481"/>
              <w:rPr>
                <w:rStyle w:val="46"/>
                <w:color w:val="auto"/>
                <w:sz w:val="24"/>
                <w:szCs w:val="24"/>
                <w:highlight w:val="none"/>
              </w:rPr>
            </w:pPr>
            <w:r>
              <w:rPr>
                <w:rStyle w:val="46"/>
                <w:rFonts w:hint="eastAsia"/>
                <w:color w:val="auto"/>
                <w:sz w:val="24"/>
                <w:szCs w:val="24"/>
                <w:highlight w:val="none"/>
              </w:rPr>
              <w:t>邮政编码：</w:t>
            </w:r>
          </w:p>
          <w:p w14:paraId="36754DF4">
            <w:pPr>
              <w:widowControl/>
              <w:autoSpaceDE w:val="0"/>
              <w:autoSpaceDN w:val="0"/>
              <w:adjustRightInd w:val="0"/>
              <w:ind w:right="-481"/>
              <w:rPr>
                <w:rStyle w:val="46"/>
                <w:color w:val="auto"/>
                <w:sz w:val="24"/>
                <w:szCs w:val="24"/>
                <w:highlight w:val="none"/>
              </w:rPr>
            </w:pPr>
            <w:r>
              <w:rPr>
                <w:rStyle w:val="46"/>
                <w:color w:val="auto"/>
                <w:sz w:val="24"/>
                <w:szCs w:val="24"/>
                <w:highlight w:val="none"/>
              </w:rPr>
              <w:t xml:space="preserve">20  </w:t>
            </w:r>
            <w:r>
              <w:rPr>
                <w:rStyle w:val="46"/>
                <w:rFonts w:hint="eastAsia"/>
                <w:color w:val="auto"/>
                <w:sz w:val="24"/>
                <w:szCs w:val="24"/>
                <w:highlight w:val="none"/>
              </w:rPr>
              <w:t>年</w:t>
            </w:r>
            <w:r>
              <w:rPr>
                <w:rStyle w:val="46"/>
                <w:color w:val="auto"/>
                <w:sz w:val="24"/>
                <w:szCs w:val="24"/>
                <w:highlight w:val="none"/>
              </w:rPr>
              <w:t xml:space="preserve">  </w:t>
            </w:r>
            <w:r>
              <w:rPr>
                <w:rStyle w:val="46"/>
                <w:rFonts w:hint="eastAsia"/>
                <w:color w:val="auto"/>
                <w:sz w:val="24"/>
                <w:szCs w:val="24"/>
                <w:highlight w:val="none"/>
              </w:rPr>
              <w:t>月</w:t>
            </w:r>
            <w:r>
              <w:rPr>
                <w:rStyle w:val="46"/>
                <w:color w:val="auto"/>
                <w:sz w:val="24"/>
                <w:szCs w:val="24"/>
                <w:highlight w:val="none"/>
              </w:rPr>
              <w:t xml:space="preserve">  </w:t>
            </w:r>
            <w:r>
              <w:rPr>
                <w:rStyle w:val="46"/>
                <w:rFonts w:hint="eastAsia"/>
                <w:color w:val="auto"/>
                <w:sz w:val="24"/>
                <w:szCs w:val="24"/>
                <w:highlight w:val="none"/>
              </w:rPr>
              <w:t>日</w:t>
            </w:r>
          </w:p>
          <w:p w14:paraId="44E9A730">
            <w:pPr>
              <w:widowControl/>
              <w:autoSpaceDE w:val="0"/>
              <w:autoSpaceDN w:val="0"/>
              <w:adjustRightInd w:val="0"/>
              <w:ind w:right="-481"/>
              <w:jc w:val="center"/>
              <w:rPr>
                <w:rFonts w:ascii="仿宋" w:hAnsi="仿宋" w:eastAsia="仿宋"/>
                <w:color w:val="auto"/>
                <w:kern w:val="1"/>
                <w:sz w:val="24"/>
                <w:szCs w:val="24"/>
                <w:highlight w:val="none"/>
              </w:rPr>
            </w:pPr>
          </w:p>
          <w:p w14:paraId="1C9E3E6B">
            <w:pPr>
              <w:widowControl/>
              <w:autoSpaceDE w:val="0"/>
              <w:autoSpaceDN w:val="0"/>
              <w:adjustRightInd w:val="0"/>
              <w:ind w:right="-481"/>
              <w:jc w:val="center"/>
              <w:rPr>
                <w:rFonts w:ascii="仿宋" w:hAnsi="仿宋" w:eastAsia="仿宋"/>
                <w:color w:val="auto"/>
                <w:kern w:val="1"/>
                <w:sz w:val="24"/>
                <w:szCs w:val="24"/>
                <w:highlight w:val="none"/>
              </w:rPr>
            </w:pPr>
          </w:p>
          <w:p w14:paraId="57DAE57A">
            <w:pPr>
              <w:widowControl/>
              <w:autoSpaceDE w:val="0"/>
              <w:autoSpaceDN w:val="0"/>
              <w:adjustRightInd w:val="0"/>
              <w:ind w:right="-481"/>
              <w:jc w:val="center"/>
              <w:rPr>
                <w:rStyle w:val="46"/>
                <w:color w:val="auto"/>
                <w:sz w:val="24"/>
                <w:szCs w:val="24"/>
                <w:highlight w:val="none"/>
              </w:rPr>
            </w:pPr>
            <w:r>
              <w:rPr>
                <w:rStyle w:val="46"/>
                <w:rFonts w:hint="eastAsia"/>
                <w:color w:val="auto"/>
                <w:sz w:val="24"/>
                <w:szCs w:val="24"/>
                <w:highlight w:val="none"/>
              </w:rPr>
              <w:t>加盖投标人公章（投标人法定代表人或者被授权代表签字或盖章）</w:t>
            </w:r>
          </w:p>
          <w:p w14:paraId="5914E65B">
            <w:pPr>
              <w:widowControl/>
              <w:autoSpaceDE w:val="0"/>
              <w:autoSpaceDN w:val="0"/>
              <w:adjustRightInd w:val="0"/>
              <w:ind w:right="-481"/>
              <w:jc w:val="center"/>
              <w:rPr>
                <w:rFonts w:ascii="仿宋" w:hAnsi="仿宋" w:eastAsia="仿宋"/>
                <w:color w:val="auto"/>
                <w:kern w:val="1"/>
                <w:sz w:val="24"/>
                <w:szCs w:val="24"/>
                <w:highlight w:val="none"/>
              </w:rPr>
            </w:pPr>
          </w:p>
        </w:tc>
      </w:tr>
    </w:tbl>
    <w:p w14:paraId="604A12BF">
      <w:pPr>
        <w:widowControl/>
        <w:autoSpaceDE w:val="0"/>
        <w:autoSpaceDN w:val="0"/>
        <w:adjustRightInd w:val="0"/>
        <w:spacing w:before="100" w:after="100"/>
        <w:ind w:right="-481"/>
        <w:jc w:val="center"/>
        <w:rPr>
          <w:rFonts w:ascii="仿宋" w:hAnsi="仿宋" w:eastAsia="仿宋"/>
          <w:color w:val="auto"/>
          <w:kern w:val="1"/>
          <w:sz w:val="24"/>
          <w:szCs w:val="24"/>
          <w:highlight w:val="none"/>
        </w:rPr>
      </w:pPr>
    </w:p>
    <w:p w14:paraId="00E69114">
      <w:pPr>
        <w:widowControl/>
        <w:autoSpaceDE w:val="0"/>
        <w:autoSpaceDN w:val="0"/>
        <w:adjustRightInd w:val="0"/>
        <w:spacing w:before="100" w:after="100"/>
        <w:ind w:right="-481"/>
        <w:jc w:val="center"/>
        <w:rPr>
          <w:rStyle w:val="46"/>
          <w:color w:val="auto"/>
          <w:sz w:val="24"/>
          <w:szCs w:val="24"/>
          <w:highlight w:val="none"/>
        </w:rPr>
      </w:pPr>
      <w:r>
        <w:rPr>
          <w:rStyle w:val="46"/>
          <w:rFonts w:hint="eastAsia"/>
          <w:color w:val="auto"/>
          <w:sz w:val="24"/>
          <w:szCs w:val="24"/>
          <w:highlight w:val="none"/>
        </w:rPr>
        <w:t>投标文件封口格式</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25D81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noWrap w:val="0"/>
            <w:tcMar>
              <w:top w:w="100" w:type="dxa"/>
              <w:right w:w="100" w:type="dxa"/>
            </w:tcMar>
            <w:vAlign w:val="top"/>
          </w:tcPr>
          <w:p w14:paraId="0F9DA630">
            <w:pPr>
              <w:widowControl/>
              <w:autoSpaceDE w:val="0"/>
              <w:autoSpaceDN w:val="0"/>
              <w:adjustRightInd w:val="0"/>
              <w:ind w:right="-481"/>
              <w:rPr>
                <w:rFonts w:ascii="仿宋" w:hAnsi="仿宋" w:eastAsia="仿宋"/>
                <w:color w:val="auto"/>
                <w:kern w:val="1"/>
                <w:sz w:val="24"/>
                <w:szCs w:val="24"/>
                <w:highlight w:val="none"/>
              </w:rPr>
            </w:pPr>
          </w:p>
          <w:p w14:paraId="1B8B2684">
            <w:pPr>
              <w:widowControl/>
              <w:autoSpaceDE w:val="0"/>
              <w:autoSpaceDN w:val="0"/>
              <w:adjustRightInd w:val="0"/>
              <w:ind w:right="-481"/>
              <w:jc w:val="center"/>
              <w:rPr>
                <w:rStyle w:val="46"/>
                <w:color w:val="auto"/>
                <w:sz w:val="24"/>
                <w:szCs w:val="24"/>
                <w:highlight w:val="none"/>
              </w:rPr>
            </w:pPr>
            <w:r>
              <w:rPr>
                <w:rStyle w:val="46"/>
                <w:rFonts w:hint="eastAsia"/>
                <w:color w:val="auto"/>
                <w:sz w:val="24"/>
                <w:szCs w:val="24"/>
                <w:highlight w:val="none"/>
              </w:rPr>
              <w:t>请勿在</w:t>
            </w:r>
            <w:r>
              <w:rPr>
                <w:rStyle w:val="46"/>
                <w:color w:val="auto"/>
                <w:sz w:val="24"/>
                <w:szCs w:val="24"/>
                <w:highlight w:val="none"/>
              </w:rPr>
              <w:t xml:space="preserve">20  </w:t>
            </w:r>
            <w:r>
              <w:rPr>
                <w:rStyle w:val="46"/>
                <w:rFonts w:hint="eastAsia"/>
                <w:color w:val="auto"/>
                <w:sz w:val="24"/>
                <w:szCs w:val="24"/>
                <w:highlight w:val="none"/>
              </w:rPr>
              <w:t>年</w:t>
            </w:r>
            <w:r>
              <w:rPr>
                <w:rStyle w:val="46"/>
                <w:color w:val="auto"/>
                <w:sz w:val="24"/>
                <w:szCs w:val="24"/>
                <w:highlight w:val="none"/>
              </w:rPr>
              <w:t xml:space="preserve">  </w:t>
            </w:r>
            <w:r>
              <w:rPr>
                <w:rStyle w:val="46"/>
                <w:rFonts w:hint="eastAsia"/>
                <w:color w:val="auto"/>
                <w:sz w:val="24"/>
                <w:szCs w:val="24"/>
                <w:highlight w:val="none"/>
              </w:rPr>
              <w:t>月</w:t>
            </w:r>
            <w:r>
              <w:rPr>
                <w:rStyle w:val="46"/>
                <w:color w:val="auto"/>
                <w:sz w:val="24"/>
                <w:szCs w:val="24"/>
                <w:highlight w:val="none"/>
              </w:rPr>
              <w:t xml:space="preserve">   </w:t>
            </w:r>
            <w:r>
              <w:rPr>
                <w:rStyle w:val="46"/>
                <w:rFonts w:hint="eastAsia"/>
                <w:color w:val="auto"/>
                <w:sz w:val="24"/>
                <w:szCs w:val="24"/>
                <w:highlight w:val="none"/>
              </w:rPr>
              <w:t>日</w:t>
            </w:r>
            <w:r>
              <w:rPr>
                <w:rStyle w:val="46"/>
                <w:color w:val="auto"/>
                <w:sz w:val="24"/>
                <w:szCs w:val="24"/>
                <w:highlight w:val="none"/>
              </w:rPr>
              <w:t xml:space="preserve">   </w:t>
            </w:r>
            <w:r>
              <w:rPr>
                <w:rStyle w:val="46"/>
                <w:rFonts w:hint="eastAsia"/>
                <w:color w:val="auto"/>
                <w:sz w:val="24"/>
                <w:szCs w:val="24"/>
                <w:highlight w:val="none"/>
              </w:rPr>
              <w:t>时之前启封</w:t>
            </w:r>
          </w:p>
          <w:p w14:paraId="7A265CD9">
            <w:pPr>
              <w:widowControl/>
              <w:autoSpaceDE w:val="0"/>
              <w:autoSpaceDN w:val="0"/>
              <w:adjustRightInd w:val="0"/>
              <w:spacing w:before="100" w:after="100"/>
              <w:ind w:right="-481"/>
              <w:jc w:val="left"/>
              <w:rPr>
                <w:rFonts w:ascii="仿宋" w:hAnsi="仿宋" w:eastAsia="仿宋"/>
                <w:color w:val="auto"/>
                <w:kern w:val="0"/>
                <w:sz w:val="24"/>
                <w:szCs w:val="24"/>
                <w:highlight w:val="none"/>
              </w:rPr>
            </w:pPr>
          </w:p>
          <w:p w14:paraId="06291BD5">
            <w:pPr>
              <w:widowControl/>
              <w:autoSpaceDE w:val="0"/>
              <w:autoSpaceDN w:val="0"/>
              <w:adjustRightInd w:val="0"/>
              <w:ind w:right="-481"/>
              <w:jc w:val="center"/>
              <w:rPr>
                <w:rStyle w:val="46"/>
                <w:color w:val="auto"/>
                <w:sz w:val="24"/>
                <w:szCs w:val="24"/>
                <w:highlight w:val="none"/>
              </w:rPr>
            </w:pPr>
            <w:r>
              <w:rPr>
                <w:rStyle w:val="46"/>
                <w:rFonts w:hint="eastAsia"/>
                <w:color w:val="auto"/>
                <w:sz w:val="24"/>
                <w:szCs w:val="24"/>
                <w:highlight w:val="none"/>
              </w:rPr>
              <w:t>加盖投标人公章（投标人法定代表人或者被授权代表签字或盖章）</w:t>
            </w:r>
          </w:p>
        </w:tc>
      </w:tr>
    </w:tbl>
    <w:p w14:paraId="728C4F2E">
      <w:pPr>
        <w:spacing w:line="360" w:lineRule="auto"/>
        <w:rPr>
          <w:rFonts w:ascii="宋体" w:hAnsi="宋体"/>
          <w:color w:val="auto"/>
          <w:sz w:val="24"/>
          <w:szCs w:val="24"/>
          <w:highlight w:val="none"/>
        </w:rPr>
      </w:pPr>
    </w:p>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A619734-625B-4B39-9242-8342F2F91F21}"/>
  </w:font>
  <w:font w:name="黑体">
    <w:panose1 w:val="02010609060101010101"/>
    <w:charset w:val="86"/>
    <w:family w:val="auto"/>
    <w:pitch w:val="default"/>
    <w:sig w:usb0="800002BF" w:usb1="38CF7CFA" w:usb2="00000016" w:usb3="00000000" w:csb0="00040001" w:csb1="00000000"/>
    <w:embedRegular r:id="rId2" w:fontKey="{F27A2CFB-2E5C-42FB-83AA-B8D93BC36F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7A2FEA0E-499F-405C-B0D3-D1E80600C023}"/>
  </w:font>
  <w:font w:name="楷体">
    <w:panose1 w:val="02010609060101010101"/>
    <w:charset w:val="86"/>
    <w:family w:val="modern"/>
    <w:pitch w:val="default"/>
    <w:sig w:usb0="800002BF" w:usb1="38CF7CFA" w:usb2="00000016" w:usb3="00000000" w:csb0="00040001" w:csb1="00000000"/>
    <w:embedRegular r:id="rId4" w:fontKey="{FB7B38B5-09E1-4AA4-AFDE-1C3E6D29A1F7}"/>
  </w:font>
  <w:font w:name="仿宋">
    <w:panose1 w:val="02010609060101010101"/>
    <w:charset w:val="86"/>
    <w:family w:val="auto"/>
    <w:pitch w:val="default"/>
    <w:sig w:usb0="800002BF" w:usb1="38CF7CFA" w:usb2="00000016" w:usb3="00000000" w:csb0="00040001" w:csb1="00000000"/>
    <w:embedRegular r:id="rId5" w:fontKey="{5B38CCE6-A634-4718-AD58-6DBD27DABAD7}"/>
  </w:font>
  <w:font w:name="方正小标宋简体">
    <w:panose1 w:val="02000000000000000000"/>
    <w:charset w:val="86"/>
    <w:family w:val="script"/>
    <w:pitch w:val="default"/>
    <w:sig w:usb0="00000001" w:usb1="08000000" w:usb2="00000000" w:usb3="00000000" w:csb0="00040000" w:csb1="00000000"/>
    <w:embedRegular r:id="rId6" w:fontKey="{27388482-173A-4653-9C0D-29122658FEF1}"/>
  </w:font>
  <w:font w:name="Wingdings 2">
    <w:panose1 w:val="05020102010507070707"/>
    <w:charset w:val="02"/>
    <w:family w:val="decorative"/>
    <w:pitch w:val="default"/>
    <w:sig w:usb0="00000000" w:usb1="00000000" w:usb2="00000000" w:usb3="00000000" w:csb0="80000000" w:csb1="00000000"/>
    <w:embedRegular r:id="rId7" w:fontKey="{CE96C57B-AD45-4349-BBFB-E2515E2F7663}"/>
  </w:font>
  <w:font w:name="Heiti SC Light">
    <w:altName w:val="yyb"/>
    <w:panose1 w:val="02000000000000000000"/>
    <w:charset w:val="80"/>
    <w:family w:val="auto"/>
    <w:pitch w:val="default"/>
    <w:sig w:usb0="00000000" w:usb1="00000000" w:usb2="00000010" w:usb3="00000000" w:csb0="003E0001" w:csb1="00000000"/>
    <w:embedRegular r:id="rId8" w:fontKey="{E491AC9A-E38B-4653-A72A-B265493A225D}"/>
  </w:font>
  <w:font w:name="yyb">
    <w:panose1 w:val="020B0200000000000000"/>
    <w:charset w:val="86"/>
    <w:family w:val="auto"/>
    <w:pitch w:val="default"/>
    <w:sig w:usb0="20000083" w:usb1="10000000" w:usb2="00000016" w:usb3="00000000" w:csb0="60060107"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5CA31">
    <w:pPr>
      <w:pStyle w:val="16"/>
      <w:jc w:val="center"/>
    </w:pPr>
    <w:r>
      <w:fldChar w:fldCharType="begin"/>
    </w:r>
    <w:r>
      <w:rPr>
        <w:rStyle w:val="26"/>
      </w:rPr>
      <w:instrText xml:space="preserve"> PAGE </w:instrText>
    </w:r>
    <w:r>
      <w:fldChar w:fldCharType="separate"/>
    </w:r>
    <w:r>
      <w:rPr>
        <w:rStyle w:val="26"/>
      </w:rPr>
      <w:t>- 45 -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EDF15">
    <w:pPr>
      <w:pStyle w:val="16"/>
      <w:jc w:val="center"/>
      <w:rPr>
        <w:rFonts w:hint="eastAsia" w:ascii="宋体" w:hAnsi="宋体"/>
      </w:rP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19</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BA43D">
    <w:pPr>
      <w:pStyle w:val="16"/>
      <w:jc w:val="center"/>
      <w:rPr>
        <w:rFonts w:hint="eastAsia" w:ascii="宋体" w:hAnsi="宋体"/>
      </w:rP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23</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B5152">
    <w:pPr>
      <w:pStyle w:val="16"/>
      <w:jc w:val="center"/>
      <w:rPr>
        <w:rFonts w:hint="eastAsia" w:ascii="宋体" w:hAnsi="宋体"/>
      </w:rPr>
    </w:pPr>
    <w:r>
      <w:rPr>
        <w:rFonts w:hint="eastAsia" w:ascii="宋体" w:hAnsi="宋体"/>
      </w:rPr>
      <w:fldChar w:fldCharType="begin"/>
    </w:r>
    <w:r>
      <w:rPr>
        <w:rStyle w:val="26"/>
        <w:rFonts w:hint="eastAsia" w:ascii="宋体" w:hAnsi="宋体"/>
      </w:rPr>
      <w:instrText xml:space="preserve"> PAGE </w:instrText>
    </w:r>
    <w:r>
      <w:rPr>
        <w:rFonts w:hint="eastAsia" w:ascii="宋体" w:hAnsi="宋体"/>
      </w:rPr>
      <w:fldChar w:fldCharType="separate"/>
    </w:r>
    <w:r>
      <w:rPr>
        <w:rStyle w:val="26"/>
        <w:rFonts w:ascii="宋体" w:hAnsi="宋体"/>
      </w:rPr>
      <w:t>71</w:t>
    </w:r>
    <w:r>
      <w:rPr>
        <w:rFonts w:hint="eastAsia" w:ascii="宋体" w:hAnsi="宋体"/>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58EDE">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0EF08">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EC41C4"/>
    <w:multiLevelType w:val="singleLevel"/>
    <w:tmpl w:val="83EC41C4"/>
    <w:lvl w:ilvl="0" w:tentative="0">
      <w:start w:val="1"/>
      <w:numFmt w:val="decimal"/>
      <w:suff w:val="space"/>
      <w:lvlText w:val="%1."/>
      <w:lvlJc w:val="left"/>
    </w:lvl>
  </w:abstractNum>
  <w:abstractNum w:abstractNumId="1">
    <w:nsid w:val="E254EC08"/>
    <w:multiLevelType w:val="singleLevel"/>
    <w:tmpl w:val="E254EC08"/>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5MTExNzNiNWE2NjhiN2Q0NTkwZWU2MTgwOGU5M2EifQ=="/>
  </w:docVars>
  <w:rsids>
    <w:rsidRoot w:val="00172A27"/>
    <w:rsid w:val="000006C9"/>
    <w:rsid w:val="00000DDF"/>
    <w:rsid w:val="000023CA"/>
    <w:rsid w:val="0000325A"/>
    <w:rsid w:val="00004F9E"/>
    <w:rsid w:val="00006556"/>
    <w:rsid w:val="00011E3B"/>
    <w:rsid w:val="00012CE1"/>
    <w:rsid w:val="0001667E"/>
    <w:rsid w:val="00017D32"/>
    <w:rsid w:val="00020EA7"/>
    <w:rsid w:val="00032614"/>
    <w:rsid w:val="000330A7"/>
    <w:rsid w:val="00035517"/>
    <w:rsid w:val="0003574A"/>
    <w:rsid w:val="000407B8"/>
    <w:rsid w:val="00044E68"/>
    <w:rsid w:val="00044F97"/>
    <w:rsid w:val="00047CB7"/>
    <w:rsid w:val="0005066B"/>
    <w:rsid w:val="000519B0"/>
    <w:rsid w:val="00052FCB"/>
    <w:rsid w:val="00057034"/>
    <w:rsid w:val="000577C6"/>
    <w:rsid w:val="00057D48"/>
    <w:rsid w:val="0006589B"/>
    <w:rsid w:val="000732B6"/>
    <w:rsid w:val="00077C7B"/>
    <w:rsid w:val="000801FA"/>
    <w:rsid w:val="000808A0"/>
    <w:rsid w:val="00080CE6"/>
    <w:rsid w:val="000821DF"/>
    <w:rsid w:val="000854E3"/>
    <w:rsid w:val="00087759"/>
    <w:rsid w:val="0009100E"/>
    <w:rsid w:val="00091FF1"/>
    <w:rsid w:val="0009531B"/>
    <w:rsid w:val="00096725"/>
    <w:rsid w:val="000A3198"/>
    <w:rsid w:val="000A4315"/>
    <w:rsid w:val="000A4E91"/>
    <w:rsid w:val="000A628C"/>
    <w:rsid w:val="000B21B5"/>
    <w:rsid w:val="000B4953"/>
    <w:rsid w:val="000B756B"/>
    <w:rsid w:val="000C13C4"/>
    <w:rsid w:val="000C6240"/>
    <w:rsid w:val="000D0373"/>
    <w:rsid w:val="000D069C"/>
    <w:rsid w:val="000D14AC"/>
    <w:rsid w:val="000D2D7B"/>
    <w:rsid w:val="000D3E6A"/>
    <w:rsid w:val="000D7342"/>
    <w:rsid w:val="000E1270"/>
    <w:rsid w:val="000E31FE"/>
    <w:rsid w:val="000E4FC9"/>
    <w:rsid w:val="000F00D8"/>
    <w:rsid w:val="000F11DE"/>
    <w:rsid w:val="000F411E"/>
    <w:rsid w:val="000F51A7"/>
    <w:rsid w:val="000F5A57"/>
    <w:rsid w:val="00100136"/>
    <w:rsid w:val="00101650"/>
    <w:rsid w:val="00101BB2"/>
    <w:rsid w:val="0010451D"/>
    <w:rsid w:val="00107A87"/>
    <w:rsid w:val="00110F15"/>
    <w:rsid w:val="00111EE3"/>
    <w:rsid w:val="00114E14"/>
    <w:rsid w:val="001150B2"/>
    <w:rsid w:val="00115C96"/>
    <w:rsid w:val="00122185"/>
    <w:rsid w:val="0012273B"/>
    <w:rsid w:val="001278EF"/>
    <w:rsid w:val="0013127B"/>
    <w:rsid w:val="0013280F"/>
    <w:rsid w:val="00133F33"/>
    <w:rsid w:val="0013575E"/>
    <w:rsid w:val="00140A30"/>
    <w:rsid w:val="0014511F"/>
    <w:rsid w:val="00145608"/>
    <w:rsid w:val="00146594"/>
    <w:rsid w:val="00146A94"/>
    <w:rsid w:val="00150D2A"/>
    <w:rsid w:val="00152DE9"/>
    <w:rsid w:val="00154F35"/>
    <w:rsid w:val="0016228A"/>
    <w:rsid w:val="001629EA"/>
    <w:rsid w:val="00163B10"/>
    <w:rsid w:val="001673AE"/>
    <w:rsid w:val="00167494"/>
    <w:rsid w:val="00176294"/>
    <w:rsid w:val="0017798E"/>
    <w:rsid w:val="00182575"/>
    <w:rsid w:val="001837F8"/>
    <w:rsid w:val="00185B6A"/>
    <w:rsid w:val="00192286"/>
    <w:rsid w:val="00193EFB"/>
    <w:rsid w:val="001947A6"/>
    <w:rsid w:val="001951F7"/>
    <w:rsid w:val="001A0960"/>
    <w:rsid w:val="001A26F6"/>
    <w:rsid w:val="001A4308"/>
    <w:rsid w:val="001A64A2"/>
    <w:rsid w:val="001A6EB6"/>
    <w:rsid w:val="001B0DB8"/>
    <w:rsid w:val="001B1383"/>
    <w:rsid w:val="001B1961"/>
    <w:rsid w:val="001B332E"/>
    <w:rsid w:val="001C175F"/>
    <w:rsid w:val="001C5663"/>
    <w:rsid w:val="001C6297"/>
    <w:rsid w:val="001D3121"/>
    <w:rsid w:val="001D3B13"/>
    <w:rsid w:val="001D5906"/>
    <w:rsid w:val="001D5D31"/>
    <w:rsid w:val="001D723C"/>
    <w:rsid w:val="001E7BFA"/>
    <w:rsid w:val="001F18B7"/>
    <w:rsid w:val="001F2EA1"/>
    <w:rsid w:val="001F306A"/>
    <w:rsid w:val="001F3550"/>
    <w:rsid w:val="001F6213"/>
    <w:rsid w:val="001F794C"/>
    <w:rsid w:val="002065ED"/>
    <w:rsid w:val="002071E2"/>
    <w:rsid w:val="00211D32"/>
    <w:rsid w:val="00214063"/>
    <w:rsid w:val="00215807"/>
    <w:rsid w:val="00220D19"/>
    <w:rsid w:val="00222C3D"/>
    <w:rsid w:val="0022552F"/>
    <w:rsid w:val="0023130B"/>
    <w:rsid w:val="0023230D"/>
    <w:rsid w:val="00232E92"/>
    <w:rsid w:val="00236A88"/>
    <w:rsid w:val="00236B6C"/>
    <w:rsid w:val="00240ECE"/>
    <w:rsid w:val="002413DE"/>
    <w:rsid w:val="002413E6"/>
    <w:rsid w:val="00242488"/>
    <w:rsid w:val="00242DEB"/>
    <w:rsid w:val="0024576D"/>
    <w:rsid w:val="00247F6B"/>
    <w:rsid w:val="002509E0"/>
    <w:rsid w:val="002511C9"/>
    <w:rsid w:val="00251F84"/>
    <w:rsid w:val="00252186"/>
    <w:rsid w:val="00254F84"/>
    <w:rsid w:val="002561CA"/>
    <w:rsid w:val="002573C4"/>
    <w:rsid w:val="002577F9"/>
    <w:rsid w:val="00257992"/>
    <w:rsid w:val="00262952"/>
    <w:rsid w:val="002638C0"/>
    <w:rsid w:val="002658E0"/>
    <w:rsid w:val="002671C5"/>
    <w:rsid w:val="0026772C"/>
    <w:rsid w:val="00271658"/>
    <w:rsid w:val="00271D3E"/>
    <w:rsid w:val="002742C7"/>
    <w:rsid w:val="00274636"/>
    <w:rsid w:val="00274E8A"/>
    <w:rsid w:val="00275D5B"/>
    <w:rsid w:val="00276D09"/>
    <w:rsid w:val="002772F9"/>
    <w:rsid w:val="00277825"/>
    <w:rsid w:val="0028345B"/>
    <w:rsid w:val="00283C4D"/>
    <w:rsid w:val="00287F4F"/>
    <w:rsid w:val="00290AF4"/>
    <w:rsid w:val="00291C37"/>
    <w:rsid w:val="00291CE1"/>
    <w:rsid w:val="002A5560"/>
    <w:rsid w:val="002B1CC5"/>
    <w:rsid w:val="002B200F"/>
    <w:rsid w:val="002B21A7"/>
    <w:rsid w:val="002B3385"/>
    <w:rsid w:val="002B3FBB"/>
    <w:rsid w:val="002B52D9"/>
    <w:rsid w:val="002B74E2"/>
    <w:rsid w:val="002C14A0"/>
    <w:rsid w:val="002C2451"/>
    <w:rsid w:val="002C290E"/>
    <w:rsid w:val="002C2E8C"/>
    <w:rsid w:val="002C4E73"/>
    <w:rsid w:val="002D1A2F"/>
    <w:rsid w:val="002D4220"/>
    <w:rsid w:val="002D529E"/>
    <w:rsid w:val="002D609D"/>
    <w:rsid w:val="002E13F8"/>
    <w:rsid w:val="002E29D3"/>
    <w:rsid w:val="002E44BD"/>
    <w:rsid w:val="002E530C"/>
    <w:rsid w:val="002F34F6"/>
    <w:rsid w:val="002F3773"/>
    <w:rsid w:val="002F5FCD"/>
    <w:rsid w:val="003002C3"/>
    <w:rsid w:val="00302999"/>
    <w:rsid w:val="003037CA"/>
    <w:rsid w:val="00303A17"/>
    <w:rsid w:val="00304475"/>
    <w:rsid w:val="00306CB0"/>
    <w:rsid w:val="00320D41"/>
    <w:rsid w:val="00322960"/>
    <w:rsid w:val="0032593C"/>
    <w:rsid w:val="00326008"/>
    <w:rsid w:val="0032660B"/>
    <w:rsid w:val="00326D04"/>
    <w:rsid w:val="003277FA"/>
    <w:rsid w:val="0033007D"/>
    <w:rsid w:val="00331AEF"/>
    <w:rsid w:val="0033237C"/>
    <w:rsid w:val="00335D8D"/>
    <w:rsid w:val="00335F7B"/>
    <w:rsid w:val="00340F80"/>
    <w:rsid w:val="0034121A"/>
    <w:rsid w:val="00342438"/>
    <w:rsid w:val="00342844"/>
    <w:rsid w:val="00343691"/>
    <w:rsid w:val="00343E60"/>
    <w:rsid w:val="00343EFB"/>
    <w:rsid w:val="00344309"/>
    <w:rsid w:val="00345065"/>
    <w:rsid w:val="0035259C"/>
    <w:rsid w:val="0035390B"/>
    <w:rsid w:val="003559D3"/>
    <w:rsid w:val="0035618D"/>
    <w:rsid w:val="003566B9"/>
    <w:rsid w:val="00356917"/>
    <w:rsid w:val="00361650"/>
    <w:rsid w:val="00364A15"/>
    <w:rsid w:val="00371398"/>
    <w:rsid w:val="00371D69"/>
    <w:rsid w:val="003738BF"/>
    <w:rsid w:val="00373ABC"/>
    <w:rsid w:val="003757DB"/>
    <w:rsid w:val="00376B86"/>
    <w:rsid w:val="00376FA5"/>
    <w:rsid w:val="003802CA"/>
    <w:rsid w:val="00382C48"/>
    <w:rsid w:val="00383C7B"/>
    <w:rsid w:val="00391BC6"/>
    <w:rsid w:val="00392E16"/>
    <w:rsid w:val="0039304F"/>
    <w:rsid w:val="003931E1"/>
    <w:rsid w:val="00393850"/>
    <w:rsid w:val="00393B48"/>
    <w:rsid w:val="00394CA0"/>
    <w:rsid w:val="00396235"/>
    <w:rsid w:val="00397264"/>
    <w:rsid w:val="003A13E3"/>
    <w:rsid w:val="003A226A"/>
    <w:rsid w:val="003A2E4A"/>
    <w:rsid w:val="003A3EF3"/>
    <w:rsid w:val="003A4A2C"/>
    <w:rsid w:val="003A6D2B"/>
    <w:rsid w:val="003A6F65"/>
    <w:rsid w:val="003B1CB4"/>
    <w:rsid w:val="003C22B5"/>
    <w:rsid w:val="003C2A1B"/>
    <w:rsid w:val="003C2D86"/>
    <w:rsid w:val="003C33F9"/>
    <w:rsid w:val="003C4B53"/>
    <w:rsid w:val="003C7C0E"/>
    <w:rsid w:val="003D198B"/>
    <w:rsid w:val="003D19B1"/>
    <w:rsid w:val="003D20E0"/>
    <w:rsid w:val="003D4F03"/>
    <w:rsid w:val="003D561F"/>
    <w:rsid w:val="003E0011"/>
    <w:rsid w:val="003E180C"/>
    <w:rsid w:val="003E270F"/>
    <w:rsid w:val="003E65A0"/>
    <w:rsid w:val="003E72C7"/>
    <w:rsid w:val="003F46BB"/>
    <w:rsid w:val="003F4E35"/>
    <w:rsid w:val="003F57CE"/>
    <w:rsid w:val="003F63BF"/>
    <w:rsid w:val="00400F7C"/>
    <w:rsid w:val="0040206B"/>
    <w:rsid w:val="004024C2"/>
    <w:rsid w:val="00402522"/>
    <w:rsid w:val="0040322D"/>
    <w:rsid w:val="00403C49"/>
    <w:rsid w:val="00406575"/>
    <w:rsid w:val="00406882"/>
    <w:rsid w:val="00407CB2"/>
    <w:rsid w:val="00413082"/>
    <w:rsid w:val="0041343E"/>
    <w:rsid w:val="004173C5"/>
    <w:rsid w:val="00422127"/>
    <w:rsid w:val="00422BB7"/>
    <w:rsid w:val="00423DFB"/>
    <w:rsid w:val="004249D7"/>
    <w:rsid w:val="00426F26"/>
    <w:rsid w:val="00427AB0"/>
    <w:rsid w:val="00427B65"/>
    <w:rsid w:val="00427FAC"/>
    <w:rsid w:val="00434CEC"/>
    <w:rsid w:val="0043519B"/>
    <w:rsid w:val="00435637"/>
    <w:rsid w:val="0043649A"/>
    <w:rsid w:val="00436E62"/>
    <w:rsid w:val="004401FC"/>
    <w:rsid w:val="00447B18"/>
    <w:rsid w:val="00450D4C"/>
    <w:rsid w:val="00452D85"/>
    <w:rsid w:val="004558F2"/>
    <w:rsid w:val="004570CF"/>
    <w:rsid w:val="00457A80"/>
    <w:rsid w:val="0046347C"/>
    <w:rsid w:val="004643B5"/>
    <w:rsid w:val="00464530"/>
    <w:rsid w:val="00464BA4"/>
    <w:rsid w:val="0046638E"/>
    <w:rsid w:val="00466815"/>
    <w:rsid w:val="00466EE0"/>
    <w:rsid w:val="004706F6"/>
    <w:rsid w:val="004713DE"/>
    <w:rsid w:val="00473059"/>
    <w:rsid w:val="00475051"/>
    <w:rsid w:val="004756F2"/>
    <w:rsid w:val="00476F8B"/>
    <w:rsid w:val="00477E75"/>
    <w:rsid w:val="0048076C"/>
    <w:rsid w:val="00481C13"/>
    <w:rsid w:val="00481ED5"/>
    <w:rsid w:val="00484C14"/>
    <w:rsid w:val="00494905"/>
    <w:rsid w:val="00494F24"/>
    <w:rsid w:val="0049502B"/>
    <w:rsid w:val="004A1FFA"/>
    <w:rsid w:val="004A2258"/>
    <w:rsid w:val="004A5CE9"/>
    <w:rsid w:val="004A618E"/>
    <w:rsid w:val="004B1473"/>
    <w:rsid w:val="004B24B8"/>
    <w:rsid w:val="004B29C4"/>
    <w:rsid w:val="004B64FB"/>
    <w:rsid w:val="004B76BB"/>
    <w:rsid w:val="004B792B"/>
    <w:rsid w:val="004C00CC"/>
    <w:rsid w:val="004C04BE"/>
    <w:rsid w:val="004C0D45"/>
    <w:rsid w:val="004C1F41"/>
    <w:rsid w:val="004C26EC"/>
    <w:rsid w:val="004C3433"/>
    <w:rsid w:val="004C3743"/>
    <w:rsid w:val="004C5D57"/>
    <w:rsid w:val="004D0F64"/>
    <w:rsid w:val="004D1D2A"/>
    <w:rsid w:val="004D33A5"/>
    <w:rsid w:val="004D3DC5"/>
    <w:rsid w:val="004D67BF"/>
    <w:rsid w:val="004E3720"/>
    <w:rsid w:val="004E5AEB"/>
    <w:rsid w:val="004E74AE"/>
    <w:rsid w:val="004F26AE"/>
    <w:rsid w:val="004F444B"/>
    <w:rsid w:val="005034AD"/>
    <w:rsid w:val="005045E8"/>
    <w:rsid w:val="00506E56"/>
    <w:rsid w:val="005106A3"/>
    <w:rsid w:val="005148E6"/>
    <w:rsid w:val="00520F98"/>
    <w:rsid w:val="0052277E"/>
    <w:rsid w:val="005247AC"/>
    <w:rsid w:val="00524E7F"/>
    <w:rsid w:val="0052769E"/>
    <w:rsid w:val="00530C71"/>
    <w:rsid w:val="005319CF"/>
    <w:rsid w:val="00533A86"/>
    <w:rsid w:val="00534746"/>
    <w:rsid w:val="00534837"/>
    <w:rsid w:val="005372D4"/>
    <w:rsid w:val="005403CF"/>
    <w:rsid w:val="005405F4"/>
    <w:rsid w:val="00541A96"/>
    <w:rsid w:val="00541D83"/>
    <w:rsid w:val="00544D72"/>
    <w:rsid w:val="0054618D"/>
    <w:rsid w:val="005466E2"/>
    <w:rsid w:val="00546A8A"/>
    <w:rsid w:val="005510C4"/>
    <w:rsid w:val="005518FF"/>
    <w:rsid w:val="0055473F"/>
    <w:rsid w:val="00560656"/>
    <w:rsid w:val="00560A22"/>
    <w:rsid w:val="00564025"/>
    <w:rsid w:val="005701A5"/>
    <w:rsid w:val="0057149C"/>
    <w:rsid w:val="005748C6"/>
    <w:rsid w:val="00576783"/>
    <w:rsid w:val="00580FB7"/>
    <w:rsid w:val="00583B0E"/>
    <w:rsid w:val="00583D52"/>
    <w:rsid w:val="00587753"/>
    <w:rsid w:val="00590583"/>
    <w:rsid w:val="005945DF"/>
    <w:rsid w:val="00595F79"/>
    <w:rsid w:val="00597AD8"/>
    <w:rsid w:val="005A063B"/>
    <w:rsid w:val="005A21F9"/>
    <w:rsid w:val="005A2720"/>
    <w:rsid w:val="005A2DCB"/>
    <w:rsid w:val="005A352F"/>
    <w:rsid w:val="005A421A"/>
    <w:rsid w:val="005A5F27"/>
    <w:rsid w:val="005B0688"/>
    <w:rsid w:val="005B14DE"/>
    <w:rsid w:val="005B3C75"/>
    <w:rsid w:val="005B4D13"/>
    <w:rsid w:val="005C414F"/>
    <w:rsid w:val="005C4D25"/>
    <w:rsid w:val="005C5230"/>
    <w:rsid w:val="005C6A68"/>
    <w:rsid w:val="005D2B01"/>
    <w:rsid w:val="005D4F5D"/>
    <w:rsid w:val="005D66D7"/>
    <w:rsid w:val="005E0669"/>
    <w:rsid w:val="005E0B41"/>
    <w:rsid w:val="005E785A"/>
    <w:rsid w:val="005E7D96"/>
    <w:rsid w:val="005F4225"/>
    <w:rsid w:val="005F7393"/>
    <w:rsid w:val="00600579"/>
    <w:rsid w:val="006013F2"/>
    <w:rsid w:val="00602266"/>
    <w:rsid w:val="00603030"/>
    <w:rsid w:val="00603CC3"/>
    <w:rsid w:val="006047EE"/>
    <w:rsid w:val="006058A2"/>
    <w:rsid w:val="00605FB4"/>
    <w:rsid w:val="00606B98"/>
    <w:rsid w:val="00613613"/>
    <w:rsid w:val="00613665"/>
    <w:rsid w:val="00617601"/>
    <w:rsid w:val="006179E3"/>
    <w:rsid w:val="006208D2"/>
    <w:rsid w:val="00621A79"/>
    <w:rsid w:val="00622FC9"/>
    <w:rsid w:val="00623B9C"/>
    <w:rsid w:val="00623D8F"/>
    <w:rsid w:val="00625F28"/>
    <w:rsid w:val="006308D2"/>
    <w:rsid w:val="00632D49"/>
    <w:rsid w:val="006332E1"/>
    <w:rsid w:val="00635C3B"/>
    <w:rsid w:val="0063617B"/>
    <w:rsid w:val="00636305"/>
    <w:rsid w:val="0064149C"/>
    <w:rsid w:val="0064316D"/>
    <w:rsid w:val="00644259"/>
    <w:rsid w:val="006449F6"/>
    <w:rsid w:val="006527DA"/>
    <w:rsid w:val="00652E8B"/>
    <w:rsid w:val="00656BE6"/>
    <w:rsid w:val="00656DF0"/>
    <w:rsid w:val="00657DC0"/>
    <w:rsid w:val="0066053F"/>
    <w:rsid w:val="0066074A"/>
    <w:rsid w:val="00661901"/>
    <w:rsid w:val="006638FC"/>
    <w:rsid w:val="00664AF8"/>
    <w:rsid w:val="00664F74"/>
    <w:rsid w:val="006652B9"/>
    <w:rsid w:val="006755C2"/>
    <w:rsid w:val="00676319"/>
    <w:rsid w:val="00682872"/>
    <w:rsid w:val="00684366"/>
    <w:rsid w:val="00684BBD"/>
    <w:rsid w:val="00686203"/>
    <w:rsid w:val="006866B4"/>
    <w:rsid w:val="006871E3"/>
    <w:rsid w:val="00690F39"/>
    <w:rsid w:val="006933A5"/>
    <w:rsid w:val="0069363E"/>
    <w:rsid w:val="00693D47"/>
    <w:rsid w:val="00697ACB"/>
    <w:rsid w:val="00697BAD"/>
    <w:rsid w:val="006A02FA"/>
    <w:rsid w:val="006A1773"/>
    <w:rsid w:val="006A2EF8"/>
    <w:rsid w:val="006A3026"/>
    <w:rsid w:val="006A5523"/>
    <w:rsid w:val="006B18A6"/>
    <w:rsid w:val="006B226B"/>
    <w:rsid w:val="006B34EB"/>
    <w:rsid w:val="006B4728"/>
    <w:rsid w:val="006B489A"/>
    <w:rsid w:val="006C02FD"/>
    <w:rsid w:val="006C05BC"/>
    <w:rsid w:val="006C3982"/>
    <w:rsid w:val="006C603F"/>
    <w:rsid w:val="006C6E9A"/>
    <w:rsid w:val="006D05BD"/>
    <w:rsid w:val="006D21FC"/>
    <w:rsid w:val="006D3A03"/>
    <w:rsid w:val="006D430E"/>
    <w:rsid w:val="006D6917"/>
    <w:rsid w:val="006D69B3"/>
    <w:rsid w:val="006D728E"/>
    <w:rsid w:val="006E0759"/>
    <w:rsid w:val="006E107A"/>
    <w:rsid w:val="006E1139"/>
    <w:rsid w:val="006E2053"/>
    <w:rsid w:val="006E242E"/>
    <w:rsid w:val="006E300A"/>
    <w:rsid w:val="006E4942"/>
    <w:rsid w:val="006E703B"/>
    <w:rsid w:val="006E7EA7"/>
    <w:rsid w:val="006F529D"/>
    <w:rsid w:val="006F583B"/>
    <w:rsid w:val="007034C2"/>
    <w:rsid w:val="00703A34"/>
    <w:rsid w:val="00705960"/>
    <w:rsid w:val="0070620F"/>
    <w:rsid w:val="0070738D"/>
    <w:rsid w:val="00711C4B"/>
    <w:rsid w:val="00712802"/>
    <w:rsid w:val="00713430"/>
    <w:rsid w:val="00713F84"/>
    <w:rsid w:val="007146A4"/>
    <w:rsid w:val="00715711"/>
    <w:rsid w:val="007173E4"/>
    <w:rsid w:val="0072034E"/>
    <w:rsid w:val="0072223E"/>
    <w:rsid w:val="00723B95"/>
    <w:rsid w:val="00724693"/>
    <w:rsid w:val="00724706"/>
    <w:rsid w:val="007279AC"/>
    <w:rsid w:val="00730F20"/>
    <w:rsid w:val="007314E9"/>
    <w:rsid w:val="00732788"/>
    <w:rsid w:val="00732C2E"/>
    <w:rsid w:val="007334D8"/>
    <w:rsid w:val="00734183"/>
    <w:rsid w:val="00736115"/>
    <w:rsid w:val="00736C1D"/>
    <w:rsid w:val="007373AA"/>
    <w:rsid w:val="00737828"/>
    <w:rsid w:val="00737877"/>
    <w:rsid w:val="00740437"/>
    <w:rsid w:val="0074239D"/>
    <w:rsid w:val="00756243"/>
    <w:rsid w:val="0075724F"/>
    <w:rsid w:val="00757306"/>
    <w:rsid w:val="00763FE6"/>
    <w:rsid w:val="0076406B"/>
    <w:rsid w:val="0076409B"/>
    <w:rsid w:val="00766BBA"/>
    <w:rsid w:val="00770845"/>
    <w:rsid w:val="00771FA3"/>
    <w:rsid w:val="007740F8"/>
    <w:rsid w:val="00774A28"/>
    <w:rsid w:val="007755C9"/>
    <w:rsid w:val="00780998"/>
    <w:rsid w:val="00781EF4"/>
    <w:rsid w:val="00784104"/>
    <w:rsid w:val="00785044"/>
    <w:rsid w:val="0078708B"/>
    <w:rsid w:val="007876A9"/>
    <w:rsid w:val="00790404"/>
    <w:rsid w:val="0079166C"/>
    <w:rsid w:val="00792EED"/>
    <w:rsid w:val="0079385F"/>
    <w:rsid w:val="00795F52"/>
    <w:rsid w:val="00797129"/>
    <w:rsid w:val="007A1574"/>
    <w:rsid w:val="007A2FF1"/>
    <w:rsid w:val="007B2EF5"/>
    <w:rsid w:val="007B323A"/>
    <w:rsid w:val="007B3CD8"/>
    <w:rsid w:val="007C13E9"/>
    <w:rsid w:val="007C17EA"/>
    <w:rsid w:val="007C3396"/>
    <w:rsid w:val="007C344F"/>
    <w:rsid w:val="007C4E91"/>
    <w:rsid w:val="007D05BD"/>
    <w:rsid w:val="007D50D1"/>
    <w:rsid w:val="007E0CB1"/>
    <w:rsid w:val="007E2FC4"/>
    <w:rsid w:val="007E5D60"/>
    <w:rsid w:val="007E5FAA"/>
    <w:rsid w:val="007E6E9E"/>
    <w:rsid w:val="007E782F"/>
    <w:rsid w:val="007E7D2B"/>
    <w:rsid w:val="007F08CF"/>
    <w:rsid w:val="007F2926"/>
    <w:rsid w:val="007F32E2"/>
    <w:rsid w:val="007F333E"/>
    <w:rsid w:val="007F3A51"/>
    <w:rsid w:val="007F5575"/>
    <w:rsid w:val="00803172"/>
    <w:rsid w:val="008042DE"/>
    <w:rsid w:val="00806CBE"/>
    <w:rsid w:val="00807332"/>
    <w:rsid w:val="0080743D"/>
    <w:rsid w:val="00810809"/>
    <w:rsid w:val="00811FD1"/>
    <w:rsid w:val="008128AF"/>
    <w:rsid w:val="008138F5"/>
    <w:rsid w:val="008159A5"/>
    <w:rsid w:val="00817D3A"/>
    <w:rsid w:val="00820117"/>
    <w:rsid w:val="00822458"/>
    <w:rsid w:val="00823CF5"/>
    <w:rsid w:val="00825875"/>
    <w:rsid w:val="00826B5E"/>
    <w:rsid w:val="00826CB9"/>
    <w:rsid w:val="00827994"/>
    <w:rsid w:val="008303DF"/>
    <w:rsid w:val="00830410"/>
    <w:rsid w:val="00830CAA"/>
    <w:rsid w:val="0083163D"/>
    <w:rsid w:val="00836A74"/>
    <w:rsid w:val="00840D93"/>
    <w:rsid w:val="00842759"/>
    <w:rsid w:val="008433F1"/>
    <w:rsid w:val="00843442"/>
    <w:rsid w:val="00850890"/>
    <w:rsid w:val="00855CD5"/>
    <w:rsid w:val="008566BC"/>
    <w:rsid w:val="0085702D"/>
    <w:rsid w:val="00864F10"/>
    <w:rsid w:val="00866709"/>
    <w:rsid w:val="008673DC"/>
    <w:rsid w:val="00870A78"/>
    <w:rsid w:val="00876BF9"/>
    <w:rsid w:val="0088224B"/>
    <w:rsid w:val="00886021"/>
    <w:rsid w:val="00887659"/>
    <w:rsid w:val="0089390F"/>
    <w:rsid w:val="008A26EC"/>
    <w:rsid w:val="008A3E20"/>
    <w:rsid w:val="008A5BBF"/>
    <w:rsid w:val="008A61EC"/>
    <w:rsid w:val="008A6368"/>
    <w:rsid w:val="008A6BAD"/>
    <w:rsid w:val="008B2DBA"/>
    <w:rsid w:val="008B2E70"/>
    <w:rsid w:val="008B33A7"/>
    <w:rsid w:val="008B411F"/>
    <w:rsid w:val="008B7093"/>
    <w:rsid w:val="008C0F5D"/>
    <w:rsid w:val="008C179A"/>
    <w:rsid w:val="008C17FC"/>
    <w:rsid w:val="008C252C"/>
    <w:rsid w:val="008C3271"/>
    <w:rsid w:val="008C3F6A"/>
    <w:rsid w:val="008C4244"/>
    <w:rsid w:val="008C4A3F"/>
    <w:rsid w:val="008C4BCA"/>
    <w:rsid w:val="008C4C9A"/>
    <w:rsid w:val="008C5FB7"/>
    <w:rsid w:val="008D3866"/>
    <w:rsid w:val="008D4265"/>
    <w:rsid w:val="008D5079"/>
    <w:rsid w:val="008E39BE"/>
    <w:rsid w:val="008E39D3"/>
    <w:rsid w:val="008E4366"/>
    <w:rsid w:val="008E48FD"/>
    <w:rsid w:val="008E521B"/>
    <w:rsid w:val="008E61EA"/>
    <w:rsid w:val="008E6B05"/>
    <w:rsid w:val="008F100A"/>
    <w:rsid w:val="008F30D6"/>
    <w:rsid w:val="008F5BB7"/>
    <w:rsid w:val="008F6EB3"/>
    <w:rsid w:val="009008F1"/>
    <w:rsid w:val="00901DFB"/>
    <w:rsid w:val="0090291B"/>
    <w:rsid w:val="009059EB"/>
    <w:rsid w:val="00910592"/>
    <w:rsid w:val="00911AA7"/>
    <w:rsid w:val="00912099"/>
    <w:rsid w:val="00912131"/>
    <w:rsid w:val="00912F0F"/>
    <w:rsid w:val="00914039"/>
    <w:rsid w:val="00914C19"/>
    <w:rsid w:val="00915348"/>
    <w:rsid w:val="009177F0"/>
    <w:rsid w:val="00926DA4"/>
    <w:rsid w:val="0092779A"/>
    <w:rsid w:val="009304BA"/>
    <w:rsid w:val="0093265F"/>
    <w:rsid w:val="00932799"/>
    <w:rsid w:val="009336D4"/>
    <w:rsid w:val="00935882"/>
    <w:rsid w:val="00936B57"/>
    <w:rsid w:val="00936BAF"/>
    <w:rsid w:val="00937940"/>
    <w:rsid w:val="009415C6"/>
    <w:rsid w:val="009423BA"/>
    <w:rsid w:val="009426CD"/>
    <w:rsid w:val="009432D5"/>
    <w:rsid w:val="00943556"/>
    <w:rsid w:val="00951C18"/>
    <w:rsid w:val="00952B97"/>
    <w:rsid w:val="00953D8B"/>
    <w:rsid w:val="00953E76"/>
    <w:rsid w:val="00955CD6"/>
    <w:rsid w:val="00957998"/>
    <w:rsid w:val="0096106B"/>
    <w:rsid w:val="009626D7"/>
    <w:rsid w:val="009631AA"/>
    <w:rsid w:val="00965A75"/>
    <w:rsid w:val="0097020F"/>
    <w:rsid w:val="00971B13"/>
    <w:rsid w:val="00971C39"/>
    <w:rsid w:val="00972555"/>
    <w:rsid w:val="00975387"/>
    <w:rsid w:val="00982D29"/>
    <w:rsid w:val="00983052"/>
    <w:rsid w:val="00984B3B"/>
    <w:rsid w:val="00985E07"/>
    <w:rsid w:val="009864B9"/>
    <w:rsid w:val="0099251D"/>
    <w:rsid w:val="009957C9"/>
    <w:rsid w:val="009A549C"/>
    <w:rsid w:val="009A576F"/>
    <w:rsid w:val="009A5FC1"/>
    <w:rsid w:val="009A6CA3"/>
    <w:rsid w:val="009A71C0"/>
    <w:rsid w:val="009A767D"/>
    <w:rsid w:val="009B29F1"/>
    <w:rsid w:val="009B4292"/>
    <w:rsid w:val="009B5238"/>
    <w:rsid w:val="009B6729"/>
    <w:rsid w:val="009C0359"/>
    <w:rsid w:val="009C216A"/>
    <w:rsid w:val="009C217A"/>
    <w:rsid w:val="009C7E6B"/>
    <w:rsid w:val="009D311E"/>
    <w:rsid w:val="009E15BE"/>
    <w:rsid w:val="009E1F8F"/>
    <w:rsid w:val="009E2305"/>
    <w:rsid w:val="009E2B5B"/>
    <w:rsid w:val="009E376D"/>
    <w:rsid w:val="009E4005"/>
    <w:rsid w:val="009E4045"/>
    <w:rsid w:val="009E40F6"/>
    <w:rsid w:val="009E6D56"/>
    <w:rsid w:val="009E7816"/>
    <w:rsid w:val="009F0049"/>
    <w:rsid w:val="009F051B"/>
    <w:rsid w:val="009F0FE0"/>
    <w:rsid w:val="009F1863"/>
    <w:rsid w:val="009F1F61"/>
    <w:rsid w:val="009F4518"/>
    <w:rsid w:val="009F47F7"/>
    <w:rsid w:val="009F491D"/>
    <w:rsid w:val="009F5A2C"/>
    <w:rsid w:val="009F5B72"/>
    <w:rsid w:val="009F6A4D"/>
    <w:rsid w:val="00A010F0"/>
    <w:rsid w:val="00A01E21"/>
    <w:rsid w:val="00A03A4F"/>
    <w:rsid w:val="00A04853"/>
    <w:rsid w:val="00A04E85"/>
    <w:rsid w:val="00A05201"/>
    <w:rsid w:val="00A05A39"/>
    <w:rsid w:val="00A06899"/>
    <w:rsid w:val="00A07CE4"/>
    <w:rsid w:val="00A10737"/>
    <w:rsid w:val="00A10FA9"/>
    <w:rsid w:val="00A1382B"/>
    <w:rsid w:val="00A16063"/>
    <w:rsid w:val="00A16AC9"/>
    <w:rsid w:val="00A21279"/>
    <w:rsid w:val="00A21D4A"/>
    <w:rsid w:val="00A253E6"/>
    <w:rsid w:val="00A324D8"/>
    <w:rsid w:val="00A340A1"/>
    <w:rsid w:val="00A34215"/>
    <w:rsid w:val="00A343E7"/>
    <w:rsid w:val="00A354B9"/>
    <w:rsid w:val="00A4103D"/>
    <w:rsid w:val="00A4188C"/>
    <w:rsid w:val="00A44DE2"/>
    <w:rsid w:val="00A4510A"/>
    <w:rsid w:val="00A464E6"/>
    <w:rsid w:val="00A46A0C"/>
    <w:rsid w:val="00A476CA"/>
    <w:rsid w:val="00A47BC3"/>
    <w:rsid w:val="00A50886"/>
    <w:rsid w:val="00A50CD5"/>
    <w:rsid w:val="00A528AB"/>
    <w:rsid w:val="00A543A3"/>
    <w:rsid w:val="00A54AB0"/>
    <w:rsid w:val="00A57196"/>
    <w:rsid w:val="00A61526"/>
    <w:rsid w:val="00A62C9C"/>
    <w:rsid w:val="00A63B8E"/>
    <w:rsid w:val="00A649ED"/>
    <w:rsid w:val="00A66F46"/>
    <w:rsid w:val="00A703BC"/>
    <w:rsid w:val="00A71872"/>
    <w:rsid w:val="00A72635"/>
    <w:rsid w:val="00A72B60"/>
    <w:rsid w:val="00A76A4C"/>
    <w:rsid w:val="00A77717"/>
    <w:rsid w:val="00A801B7"/>
    <w:rsid w:val="00A807F7"/>
    <w:rsid w:val="00A82757"/>
    <w:rsid w:val="00A82A92"/>
    <w:rsid w:val="00A82C6F"/>
    <w:rsid w:val="00A844A3"/>
    <w:rsid w:val="00A85D1E"/>
    <w:rsid w:val="00A86533"/>
    <w:rsid w:val="00A865BD"/>
    <w:rsid w:val="00A969D9"/>
    <w:rsid w:val="00A97895"/>
    <w:rsid w:val="00A978AD"/>
    <w:rsid w:val="00AA0750"/>
    <w:rsid w:val="00AA2BCF"/>
    <w:rsid w:val="00AA42EB"/>
    <w:rsid w:val="00AA471F"/>
    <w:rsid w:val="00AA4CD6"/>
    <w:rsid w:val="00AA5F48"/>
    <w:rsid w:val="00AA6AA7"/>
    <w:rsid w:val="00AB15D0"/>
    <w:rsid w:val="00AB3F4D"/>
    <w:rsid w:val="00AB40FF"/>
    <w:rsid w:val="00AB5AA1"/>
    <w:rsid w:val="00AB7695"/>
    <w:rsid w:val="00AC08CB"/>
    <w:rsid w:val="00AC4D4B"/>
    <w:rsid w:val="00AC6318"/>
    <w:rsid w:val="00AC65D1"/>
    <w:rsid w:val="00AC72B2"/>
    <w:rsid w:val="00AD33B8"/>
    <w:rsid w:val="00AD3410"/>
    <w:rsid w:val="00AD5119"/>
    <w:rsid w:val="00AD696A"/>
    <w:rsid w:val="00AD7A54"/>
    <w:rsid w:val="00AE04DA"/>
    <w:rsid w:val="00AE113E"/>
    <w:rsid w:val="00AE157B"/>
    <w:rsid w:val="00AE2ABB"/>
    <w:rsid w:val="00AE3588"/>
    <w:rsid w:val="00AE406E"/>
    <w:rsid w:val="00AE4C07"/>
    <w:rsid w:val="00AE6473"/>
    <w:rsid w:val="00AE7E12"/>
    <w:rsid w:val="00AF35CD"/>
    <w:rsid w:val="00B01706"/>
    <w:rsid w:val="00B02AEB"/>
    <w:rsid w:val="00B02EB5"/>
    <w:rsid w:val="00B04463"/>
    <w:rsid w:val="00B045C4"/>
    <w:rsid w:val="00B11569"/>
    <w:rsid w:val="00B1391B"/>
    <w:rsid w:val="00B145AD"/>
    <w:rsid w:val="00B16537"/>
    <w:rsid w:val="00B20512"/>
    <w:rsid w:val="00B20768"/>
    <w:rsid w:val="00B2095D"/>
    <w:rsid w:val="00B2197B"/>
    <w:rsid w:val="00B244E7"/>
    <w:rsid w:val="00B31306"/>
    <w:rsid w:val="00B366C7"/>
    <w:rsid w:val="00B36A82"/>
    <w:rsid w:val="00B3761A"/>
    <w:rsid w:val="00B40DE3"/>
    <w:rsid w:val="00B41B44"/>
    <w:rsid w:val="00B41B93"/>
    <w:rsid w:val="00B43AC0"/>
    <w:rsid w:val="00B46A1B"/>
    <w:rsid w:val="00B47C52"/>
    <w:rsid w:val="00B5283F"/>
    <w:rsid w:val="00B536BB"/>
    <w:rsid w:val="00B54217"/>
    <w:rsid w:val="00B55F87"/>
    <w:rsid w:val="00B57598"/>
    <w:rsid w:val="00B62CB0"/>
    <w:rsid w:val="00B64744"/>
    <w:rsid w:val="00B66297"/>
    <w:rsid w:val="00B67E83"/>
    <w:rsid w:val="00B71514"/>
    <w:rsid w:val="00B72322"/>
    <w:rsid w:val="00B74E61"/>
    <w:rsid w:val="00B7539B"/>
    <w:rsid w:val="00B76131"/>
    <w:rsid w:val="00B80F67"/>
    <w:rsid w:val="00B86B9E"/>
    <w:rsid w:val="00B879C6"/>
    <w:rsid w:val="00B90B19"/>
    <w:rsid w:val="00B90F51"/>
    <w:rsid w:val="00B91E3C"/>
    <w:rsid w:val="00B9345D"/>
    <w:rsid w:val="00B93DB3"/>
    <w:rsid w:val="00B940BE"/>
    <w:rsid w:val="00B96624"/>
    <w:rsid w:val="00B96B94"/>
    <w:rsid w:val="00BA0E2B"/>
    <w:rsid w:val="00BA5428"/>
    <w:rsid w:val="00BA5789"/>
    <w:rsid w:val="00BA62B7"/>
    <w:rsid w:val="00BA66D6"/>
    <w:rsid w:val="00BB07AA"/>
    <w:rsid w:val="00BB2670"/>
    <w:rsid w:val="00BB272D"/>
    <w:rsid w:val="00BB4544"/>
    <w:rsid w:val="00BB505D"/>
    <w:rsid w:val="00BB551D"/>
    <w:rsid w:val="00BC129B"/>
    <w:rsid w:val="00BC1C55"/>
    <w:rsid w:val="00BC1F3C"/>
    <w:rsid w:val="00BC7429"/>
    <w:rsid w:val="00BD08CF"/>
    <w:rsid w:val="00BD1182"/>
    <w:rsid w:val="00BE2AF5"/>
    <w:rsid w:val="00BE590E"/>
    <w:rsid w:val="00BE6A92"/>
    <w:rsid w:val="00BF0DB6"/>
    <w:rsid w:val="00BF0F74"/>
    <w:rsid w:val="00BF101B"/>
    <w:rsid w:val="00BF33A9"/>
    <w:rsid w:val="00BF5430"/>
    <w:rsid w:val="00C02C21"/>
    <w:rsid w:val="00C04581"/>
    <w:rsid w:val="00C075FA"/>
    <w:rsid w:val="00C15E6D"/>
    <w:rsid w:val="00C164B0"/>
    <w:rsid w:val="00C16ECE"/>
    <w:rsid w:val="00C24CD3"/>
    <w:rsid w:val="00C24CEB"/>
    <w:rsid w:val="00C251B1"/>
    <w:rsid w:val="00C25DB5"/>
    <w:rsid w:val="00C27322"/>
    <w:rsid w:val="00C317F4"/>
    <w:rsid w:val="00C33799"/>
    <w:rsid w:val="00C341C8"/>
    <w:rsid w:val="00C35C80"/>
    <w:rsid w:val="00C37B9E"/>
    <w:rsid w:val="00C42660"/>
    <w:rsid w:val="00C42D4B"/>
    <w:rsid w:val="00C440C5"/>
    <w:rsid w:val="00C4538D"/>
    <w:rsid w:val="00C4660A"/>
    <w:rsid w:val="00C47C9D"/>
    <w:rsid w:val="00C500D4"/>
    <w:rsid w:val="00C50BF6"/>
    <w:rsid w:val="00C51984"/>
    <w:rsid w:val="00C530C5"/>
    <w:rsid w:val="00C56033"/>
    <w:rsid w:val="00C56503"/>
    <w:rsid w:val="00C60F13"/>
    <w:rsid w:val="00C612F6"/>
    <w:rsid w:val="00C61AE7"/>
    <w:rsid w:val="00C62936"/>
    <w:rsid w:val="00C64DD8"/>
    <w:rsid w:val="00C65F6D"/>
    <w:rsid w:val="00C67EEF"/>
    <w:rsid w:val="00C7006F"/>
    <w:rsid w:val="00C70D23"/>
    <w:rsid w:val="00C70F2C"/>
    <w:rsid w:val="00C7162C"/>
    <w:rsid w:val="00C771FB"/>
    <w:rsid w:val="00C82777"/>
    <w:rsid w:val="00C82C71"/>
    <w:rsid w:val="00C92C44"/>
    <w:rsid w:val="00C95AB5"/>
    <w:rsid w:val="00CA1EEF"/>
    <w:rsid w:val="00CA7BBE"/>
    <w:rsid w:val="00CB0750"/>
    <w:rsid w:val="00CB0C1A"/>
    <w:rsid w:val="00CB1406"/>
    <w:rsid w:val="00CB1682"/>
    <w:rsid w:val="00CB3731"/>
    <w:rsid w:val="00CB7CED"/>
    <w:rsid w:val="00CC03C6"/>
    <w:rsid w:val="00CD03E2"/>
    <w:rsid w:val="00CD22A8"/>
    <w:rsid w:val="00CD30C1"/>
    <w:rsid w:val="00CD33D3"/>
    <w:rsid w:val="00CD564F"/>
    <w:rsid w:val="00CD56B7"/>
    <w:rsid w:val="00CD576A"/>
    <w:rsid w:val="00CD5B92"/>
    <w:rsid w:val="00CD6D42"/>
    <w:rsid w:val="00CE5A27"/>
    <w:rsid w:val="00CF1131"/>
    <w:rsid w:val="00CF1862"/>
    <w:rsid w:val="00CF2BD8"/>
    <w:rsid w:val="00CF52F9"/>
    <w:rsid w:val="00CF61EA"/>
    <w:rsid w:val="00D004E9"/>
    <w:rsid w:val="00D036BD"/>
    <w:rsid w:val="00D03729"/>
    <w:rsid w:val="00D039CA"/>
    <w:rsid w:val="00D07C73"/>
    <w:rsid w:val="00D12808"/>
    <w:rsid w:val="00D13EF5"/>
    <w:rsid w:val="00D142C3"/>
    <w:rsid w:val="00D15D38"/>
    <w:rsid w:val="00D166A3"/>
    <w:rsid w:val="00D16BB0"/>
    <w:rsid w:val="00D21520"/>
    <w:rsid w:val="00D24C43"/>
    <w:rsid w:val="00D26C33"/>
    <w:rsid w:val="00D27B0C"/>
    <w:rsid w:val="00D316D8"/>
    <w:rsid w:val="00D37CB7"/>
    <w:rsid w:val="00D37CD4"/>
    <w:rsid w:val="00D42025"/>
    <w:rsid w:val="00D43207"/>
    <w:rsid w:val="00D44DCF"/>
    <w:rsid w:val="00D5197A"/>
    <w:rsid w:val="00D55D69"/>
    <w:rsid w:val="00D574BD"/>
    <w:rsid w:val="00D57DD9"/>
    <w:rsid w:val="00D66233"/>
    <w:rsid w:val="00D66C4C"/>
    <w:rsid w:val="00D70804"/>
    <w:rsid w:val="00D72FE1"/>
    <w:rsid w:val="00D77411"/>
    <w:rsid w:val="00D77FCE"/>
    <w:rsid w:val="00D80615"/>
    <w:rsid w:val="00D8121B"/>
    <w:rsid w:val="00D85071"/>
    <w:rsid w:val="00D86679"/>
    <w:rsid w:val="00D91927"/>
    <w:rsid w:val="00D93B5C"/>
    <w:rsid w:val="00D93C3B"/>
    <w:rsid w:val="00DA19D8"/>
    <w:rsid w:val="00DA4CB7"/>
    <w:rsid w:val="00DA6745"/>
    <w:rsid w:val="00DA6F9C"/>
    <w:rsid w:val="00DB0F0A"/>
    <w:rsid w:val="00DB1ECD"/>
    <w:rsid w:val="00DB237A"/>
    <w:rsid w:val="00DB429B"/>
    <w:rsid w:val="00DB552B"/>
    <w:rsid w:val="00DB5D22"/>
    <w:rsid w:val="00DC400A"/>
    <w:rsid w:val="00DC7E63"/>
    <w:rsid w:val="00DD026A"/>
    <w:rsid w:val="00DD5413"/>
    <w:rsid w:val="00DD6C0E"/>
    <w:rsid w:val="00DE0399"/>
    <w:rsid w:val="00DE0B92"/>
    <w:rsid w:val="00DE2842"/>
    <w:rsid w:val="00DE3651"/>
    <w:rsid w:val="00DE4E86"/>
    <w:rsid w:val="00DE62E8"/>
    <w:rsid w:val="00DE67AB"/>
    <w:rsid w:val="00DE74DB"/>
    <w:rsid w:val="00DE755E"/>
    <w:rsid w:val="00DE75DA"/>
    <w:rsid w:val="00DF313C"/>
    <w:rsid w:val="00DF3970"/>
    <w:rsid w:val="00DF3BD6"/>
    <w:rsid w:val="00DF6977"/>
    <w:rsid w:val="00DF702E"/>
    <w:rsid w:val="00E03BAD"/>
    <w:rsid w:val="00E0452D"/>
    <w:rsid w:val="00E05548"/>
    <w:rsid w:val="00E11538"/>
    <w:rsid w:val="00E1267B"/>
    <w:rsid w:val="00E138DA"/>
    <w:rsid w:val="00E15629"/>
    <w:rsid w:val="00E15A65"/>
    <w:rsid w:val="00E227EA"/>
    <w:rsid w:val="00E22E9D"/>
    <w:rsid w:val="00E262F1"/>
    <w:rsid w:val="00E26E27"/>
    <w:rsid w:val="00E329C1"/>
    <w:rsid w:val="00E406F4"/>
    <w:rsid w:val="00E40F9C"/>
    <w:rsid w:val="00E42A1E"/>
    <w:rsid w:val="00E42F09"/>
    <w:rsid w:val="00E43BBA"/>
    <w:rsid w:val="00E4421B"/>
    <w:rsid w:val="00E44708"/>
    <w:rsid w:val="00E4687B"/>
    <w:rsid w:val="00E47A0C"/>
    <w:rsid w:val="00E50246"/>
    <w:rsid w:val="00E5073D"/>
    <w:rsid w:val="00E558ED"/>
    <w:rsid w:val="00E62D4C"/>
    <w:rsid w:val="00E647FE"/>
    <w:rsid w:val="00E65B23"/>
    <w:rsid w:val="00E66B6E"/>
    <w:rsid w:val="00E67282"/>
    <w:rsid w:val="00E70DD7"/>
    <w:rsid w:val="00E716B5"/>
    <w:rsid w:val="00E72BA2"/>
    <w:rsid w:val="00E75A9E"/>
    <w:rsid w:val="00E76C13"/>
    <w:rsid w:val="00E803B7"/>
    <w:rsid w:val="00E82237"/>
    <w:rsid w:val="00E84307"/>
    <w:rsid w:val="00E84918"/>
    <w:rsid w:val="00E864B6"/>
    <w:rsid w:val="00E8694B"/>
    <w:rsid w:val="00E90875"/>
    <w:rsid w:val="00E9391C"/>
    <w:rsid w:val="00E95DA5"/>
    <w:rsid w:val="00E96061"/>
    <w:rsid w:val="00E96181"/>
    <w:rsid w:val="00E975E1"/>
    <w:rsid w:val="00EA266C"/>
    <w:rsid w:val="00EA390C"/>
    <w:rsid w:val="00EA580F"/>
    <w:rsid w:val="00EA7401"/>
    <w:rsid w:val="00EA7A2F"/>
    <w:rsid w:val="00EB3697"/>
    <w:rsid w:val="00EB425D"/>
    <w:rsid w:val="00EC0080"/>
    <w:rsid w:val="00EC0559"/>
    <w:rsid w:val="00EC2528"/>
    <w:rsid w:val="00EC51D4"/>
    <w:rsid w:val="00EC77B8"/>
    <w:rsid w:val="00ED21C2"/>
    <w:rsid w:val="00ED391D"/>
    <w:rsid w:val="00ED6DB8"/>
    <w:rsid w:val="00ED7FC2"/>
    <w:rsid w:val="00EE02E3"/>
    <w:rsid w:val="00EE0391"/>
    <w:rsid w:val="00EE103C"/>
    <w:rsid w:val="00EE3558"/>
    <w:rsid w:val="00EE5048"/>
    <w:rsid w:val="00F01801"/>
    <w:rsid w:val="00F04B96"/>
    <w:rsid w:val="00F05665"/>
    <w:rsid w:val="00F064DA"/>
    <w:rsid w:val="00F074CC"/>
    <w:rsid w:val="00F170DC"/>
    <w:rsid w:val="00F2166B"/>
    <w:rsid w:val="00F2228A"/>
    <w:rsid w:val="00F2303E"/>
    <w:rsid w:val="00F2360B"/>
    <w:rsid w:val="00F2572C"/>
    <w:rsid w:val="00F32A32"/>
    <w:rsid w:val="00F335E2"/>
    <w:rsid w:val="00F369C2"/>
    <w:rsid w:val="00F373BF"/>
    <w:rsid w:val="00F41CCF"/>
    <w:rsid w:val="00F46751"/>
    <w:rsid w:val="00F47205"/>
    <w:rsid w:val="00F50533"/>
    <w:rsid w:val="00F51C79"/>
    <w:rsid w:val="00F52A95"/>
    <w:rsid w:val="00F5417F"/>
    <w:rsid w:val="00F544FC"/>
    <w:rsid w:val="00F57742"/>
    <w:rsid w:val="00F61CD8"/>
    <w:rsid w:val="00F623A9"/>
    <w:rsid w:val="00F62F00"/>
    <w:rsid w:val="00F6496F"/>
    <w:rsid w:val="00F67ECE"/>
    <w:rsid w:val="00F70230"/>
    <w:rsid w:val="00F71E34"/>
    <w:rsid w:val="00F73D68"/>
    <w:rsid w:val="00F74665"/>
    <w:rsid w:val="00F8164E"/>
    <w:rsid w:val="00F8232B"/>
    <w:rsid w:val="00F82E73"/>
    <w:rsid w:val="00F861A0"/>
    <w:rsid w:val="00F877E0"/>
    <w:rsid w:val="00F879C1"/>
    <w:rsid w:val="00F90610"/>
    <w:rsid w:val="00F92767"/>
    <w:rsid w:val="00F93646"/>
    <w:rsid w:val="00F94C85"/>
    <w:rsid w:val="00FA0842"/>
    <w:rsid w:val="00FA13F8"/>
    <w:rsid w:val="00FA1ADA"/>
    <w:rsid w:val="00FA44DA"/>
    <w:rsid w:val="00FA6B4A"/>
    <w:rsid w:val="00FB4CAB"/>
    <w:rsid w:val="00FC0127"/>
    <w:rsid w:val="00FC0AF4"/>
    <w:rsid w:val="00FC1217"/>
    <w:rsid w:val="00FC1601"/>
    <w:rsid w:val="00FC20A1"/>
    <w:rsid w:val="00FC32B3"/>
    <w:rsid w:val="00FC35B3"/>
    <w:rsid w:val="00FC5D01"/>
    <w:rsid w:val="00FC6C4E"/>
    <w:rsid w:val="00FC73C0"/>
    <w:rsid w:val="00FC7B20"/>
    <w:rsid w:val="00FD1760"/>
    <w:rsid w:val="00FD59EA"/>
    <w:rsid w:val="00FD77DC"/>
    <w:rsid w:val="00FE1188"/>
    <w:rsid w:val="00FE22C0"/>
    <w:rsid w:val="00FE2412"/>
    <w:rsid w:val="00FE6A35"/>
    <w:rsid w:val="00FF0579"/>
    <w:rsid w:val="00FF0AD6"/>
    <w:rsid w:val="00FF0DDD"/>
    <w:rsid w:val="00FF0E75"/>
    <w:rsid w:val="00FF34A6"/>
    <w:rsid w:val="00FF3532"/>
    <w:rsid w:val="00FF4A46"/>
    <w:rsid w:val="00FF4A84"/>
    <w:rsid w:val="010A5249"/>
    <w:rsid w:val="010D7DA0"/>
    <w:rsid w:val="011959AD"/>
    <w:rsid w:val="01762110"/>
    <w:rsid w:val="01845CD4"/>
    <w:rsid w:val="018A2F2E"/>
    <w:rsid w:val="02606255"/>
    <w:rsid w:val="026E0CAB"/>
    <w:rsid w:val="02702D13"/>
    <w:rsid w:val="02734B12"/>
    <w:rsid w:val="02994BBD"/>
    <w:rsid w:val="029A7222"/>
    <w:rsid w:val="02BC7D06"/>
    <w:rsid w:val="02EC0DB1"/>
    <w:rsid w:val="03590F91"/>
    <w:rsid w:val="039B00AE"/>
    <w:rsid w:val="039E4D7D"/>
    <w:rsid w:val="03BC14E8"/>
    <w:rsid w:val="03DD2A31"/>
    <w:rsid w:val="042B1829"/>
    <w:rsid w:val="04506684"/>
    <w:rsid w:val="046C6912"/>
    <w:rsid w:val="04B72C4C"/>
    <w:rsid w:val="052330B2"/>
    <w:rsid w:val="05233761"/>
    <w:rsid w:val="05302652"/>
    <w:rsid w:val="054C5D08"/>
    <w:rsid w:val="05B04A51"/>
    <w:rsid w:val="05C76AE0"/>
    <w:rsid w:val="05E92336"/>
    <w:rsid w:val="06016069"/>
    <w:rsid w:val="06333EBC"/>
    <w:rsid w:val="06492DB9"/>
    <w:rsid w:val="068B0ECB"/>
    <w:rsid w:val="06DA6C51"/>
    <w:rsid w:val="0741632F"/>
    <w:rsid w:val="07632E46"/>
    <w:rsid w:val="076646E5"/>
    <w:rsid w:val="076E2A8D"/>
    <w:rsid w:val="07E95970"/>
    <w:rsid w:val="07FC4111"/>
    <w:rsid w:val="084635B7"/>
    <w:rsid w:val="08572A6D"/>
    <w:rsid w:val="08BD5622"/>
    <w:rsid w:val="08D2284E"/>
    <w:rsid w:val="091500E9"/>
    <w:rsid w:val="09645117"/>
    <w:rsid w:val="096A0A5F"/>
    <w:rsid w:val="099C02FE"/>
    <w:rsid w:val="09B81CC8"/>
    <w:rsid w:val="09C83435"/>
    <w:rsid w:val="0A3E646C"/>
    <w:rsid w:val="0A6A1A6E"/>
    <w:rsid w:val="0A842778"/>
    <w:rsid w:val="0A9E23B1"/>
    <w:rsid w:val="0AA43816"/>
    <w:rsid w:val="0AA56048"/>
    <w:rsid w:val="0AB359ED"/>
    <w:rsid w:val="0ABC29FF"/>
    <w:rsid w:val="0AC03BCB"/>
    <w:rsid w:val="0AC21C32"/>
    <w:rsid w:val="0AD6392F"/>
    <w:rsid w:val="0B564138"/>
    <w:rsid w:val="0B776EC0"/>
    <w:rsid w:val="0B9A0EA8"/>
    <w:rsid w:val="0BB16BFB"/>
    <w:rsid w:val="0BB55683"/>
    <w:rsid w:val="0C1B6228"/>
    <w:rsid w:val="0C302BA7"/>
    <w:rsid w:val="0C7C2459"/>
    <w:rsid w:val="0CE9680C"/>
    <w:rsid w:val="0CF62C57"/>
    <w:rsid w:val="0D1E33AE"/>
    <w:rsid w:val="0D49142F"/>
    <w:rsid w:val="0D544442"/>
    <w:rsid w:val="0D6C00C7"/>
    <w:rsid w:val="0D893257"/>
    <w:rsid w:val="0D970CDA"/>
    <w:rsid w:val="0DA51B30"/>
    <w:rsid w:val="0E7F5856"/>
    <w:rsid w:val="0EC535E6"/>
    <w:rsid w:val="0EFA4090"/>
    <w:rsid w:val="0F3954A5"/>
    <w:rsid w:val="0F3958A1"/>
    <w:rsid w:val="0F725CA6"/>
    <w:rsid w:val="100920B1"/>
    <w:rsid w:val="10231D2C"/>
    <w:rsid w:val="103545E2"/>
    <w:rsid w:val="10376222"/>
    <w:rsid w:val="106B1D7F"/>
    <w:rsid w:val="108B3D6B"/>
    <w:rsid w:val="112240D4"/>
    <w:rsid w:val="11BA5ACD"/>
    <w:rsid w:val="11FC093E"/>
    <w:rsid w:val="120654EC"/>
    <w:rsid w:val="122E7EA9"/>
    <w:rsid w:val="12472C6E"/>
    <w:rsid w:val="12647978"/>
    <w:rsid w:val="126C2288"/>
    <w:rsid w:val="127B14B4"/>
    <w:rsid w:val="127B232F"/>
    <w:rsid w:val="12E01EF2"/>
    <w:rsid w:val="12FA641A"/>
    <w:rsid w:val="13451652"/>
    <w:rsid w:val="139C21F7"/>
    <w:rsid w:val="13ED46E1"/>
    <w:rsid w:val="140C6797"/>
    <w:rsid w:val="142535F9"/>
    <w:rsid w:val="143467CE"/>
    <w:rsid w:val="148146EA"/>
    <w:rsid w:val="14BB370F"/>
    <w:rsid w:val="14DB5C22"/>
    <w:rsid w:val="1502276D"/>
    <w:rsid w:val="15053B74"/>
    <w:rsid w:val="150C6362"/>
    <w:rsid w:val="15437DF0"/>
    <w:rsid w:val="15C90D76"/>
    <w:rsid w:val="15CC5964"/>
    <w:rsid w:val="15F94F85"/>
    <w:rsid w:val="161F4713"/>
    <w:rsid w:val="166E0EC0"/>
    <w:rsid w:val="167A4226"/>
    <w:rsid w:val="168B2F7A"/>
    <w:rsid w:val="16956353"/>
    <w:rsid w:val="16FA7516"/>
    <w:rsid w:val="170D47B0"/>
    <w:rsid w:val="17375D88"/>
    <w:rsid w:val="17507CEA"/>
    <w:rsid w:val="1758444A"/>
    <w:rsid w:val="177F0E9D"/>
    <w:rsid w:val="17A26596"/>
    <w:rsid w:val="17E80AE8"/>
    <w:rsid w:val="17E8315A"/>
    <w:rsid w:val="18131585"/>
    <w:rsid w:val="18135456"/>
    <w:rsid w:val="188E08D4"/>
    <w:rsid w:val="188F1333"/>
    <w:rsid w:val="18CE2E1C"/>
    <w:rsid w:val="18D5122E"/>
    <w:rsid w:val="18D834E3"/>
    <w:rsid w:val="190934A9"/>
    <w:rsid w:val="19132658"/>
    <w:rsid w:val="19506826"/>
    <w:rsid w:val="19A67967"/>
    <w:rsid w:val="1A734C5F"/>
    <w:rsid w:val="1AA11020"/>
    <w:rsid w:val="1ACD283E"/>
    <w:rsid w:val="1AE23C2A"/>
    <w:rsid w:val="1AE9165D"/>
    <w:rsid w:val="1AE9320B"/>
    <w:rsid w:val="1B2220B3"/>
    <w:rsid w:val="1B847318"/>
    <w:rsid w:val="1B9D0FE4"/>
    <w:rsid w:val="1BE1270C"/>
    <w:rsid w:val="1BFC691D"/>
    <w:rsid w:val="1BFF68AC"/>
    <w:rsid w:val="1C8974E6"/>
    <w:rsid w:val="1CA6210E"/>
    <w:rsid w:val="1CC40314"/>
    <w:rsid w:val="1CEE7435"/>
    <w:rsid w:val="1D0D6EB8"/>
    <w:rsid w:val="1D24677C"/>
    <w:rsid w:val="1D667B8A"/>
    <w:rsid w:val="1DC47C5C"/>
    <w:rsid w:val="1E4F72F5"/>
    <w:rsid w:val="1E6B4793"/>
    <w:rsid w:val="1E7679C4"/>
    <w:rsid w:val="1EBD0860"/>
    <w:rsid w:val="1EC921DF"/>
    <w:rsid w:val="1ED46508"/>
    <w:rsid w:val="1EF90F69"/>
    <w:rsid w:val="1F4B7A76"/>
    <w:rsid w:val="20226B14"/>
    <w:rsid w:val="203B4460"/>
    <w:rsid w:val="20726084"/>
    <w:rsid w:val="208D1DB0"/>
    <w:rsid w:val="20C52245"/>
    <w:rsid w:val="20C8492F"/>
    <w:rsid w:val="212017E3"/>
    <w:rsid w:val="21221857"/>
    <w:rsid w:val="215F2E98"/>
    <w:rsid w:val="217066B1"/>
    <w:rsid w:val="219537A4"/>
    <w:rsid w:val="21BF4A87"/>
    <w:rsid w:val="21E90354"/>
    <w:rsid w:val="21FC0117"/>
    <w:rsid w:val="225949BC"/>
    <w:rsid w:val="226866C2"/>
    <w:rsid w:val="22852193"/>
    <w:rsid w:val="228864D2"/>
    <w:rsid w:val="22AF6740"/>
    <w:rsid w:val="22C22BA6"/>
    <w:rsid w:val="22CA7FD1"/>
    <w:rsid w:val="22D91BA9"/>
    <w:rsid w:val="23031EC1"/>
    <w:rsid w:val="231E5FCB"/>
    <w:rsid w:val="231F30B7"/>
    <w:rsid w:val="232C1F4A"/>
    <w:rsid w:val="238C341F"/>
    <w:rsid w:val="23CA20F8"/>
    <w:rsid w:val="23E4604A"/>
    <w:rsid w:val="24890464"/>
    <w:rsid w:val="252F09C2"/>
    <w:rsid w:val="25317086"/>
    <w:rsid w:val="253A6CD0"/>
    <w:rsid w:val="253E39D1"/>
    <w:rsid w:val="25640F95"/>
    <w:rsid w:val="257C2231"/>
    <w:rsid w:val="25B74B35"/>
    <w:rsid w:val="25F650EC"/>
    <w:rsid w:val="260F621B"/>
    <w:rsid w:val="26353EF8"/>
    <w:rsid w:val="265C74CA"/>
    <w:rsid w:val="26737106"/>
    <w:rsid w:val="269C3827"/>
    <w:rsid w:val="26CD2A02"/>
    <w:rsid w:val="26D66C18"/>
    <w:rsid w:val="26F07F32"/>
    <w:rsid w:val="271D78E3"/>
    <w:rsid w:val="272035F1"/>
    <w:rsid w:val="27301772"/>
    <w:rsid w:val="277A3172"/>
    <w:rsid w:val="279C1387"/>
    <w:rsid w:val="27E735FB"/>
    <w:rsid w:val="27F4289C"/>
    <w:rsid w:val="286C56C4"/>
    <w:rsid w:val="287B3A3A"/>
    <w:rsid w:val="288D023F"/>
    <w:rsid w:val="28D028DF"/>
    <w:rsid w:val="28DA5B0E"/>
    <w:rsid w:val="29051786"/>
    <w:rsid w:val="295D70A5"/>
    <w:rsid w:val="29AF3D04"/>
    <w:rsid w:val="29B635AC"/>
    <w:rsid w:val="29CF5B34"/>
    <w:rsid w:val="29DF0F9F"/>
    <w:rsid w:val="29EB114E"/>
    <w:rsid w:val="29F71670"/>
    <w:rsid w:val="2A146B9B"/>
    <w:rsid w:val="2A1C6E7D"/>
    <w:rsid w:val="2A362E4C"/>
    <w:rsid w:val="2A512762"/>
    <w:rsid w:val="2AA64C74"/>
    <w:rsid w:val="2AC30AB8"/>
    <w:rsid w:val="2AD72E80"/>
    <w:rsid w:val="2AE64350"/>
    <w:rsid w:val="2B0E44C8"/>
    <w:rsid w:val="2B607890"/>
    <w:rsid w:val="2BC37AC4"/>
    <w:rsid w:val="2C3A5674"/>
    <w:rsid w:val="2C467CC6"/>
    <w:rsid w:val="2C763BE2"/>
    <w:rsid w:val="2C767ADB"/>
    <w:rsid w:val="2CA13945"/>
    <w:rsid w:val="2CF42D1C"/>
    <w:rsid w:val="2D0A2B21"/>
    <w:rsid w:val="2D517119"/>
    <w:rsid w:val="2D687FBF"/>
    <w:rsid w:val="2D9D1723"/>
    <w:rsid w:val="2DCC1FBF"/>
    <w:rsid w:val="2E334DE6"/>
    <w:rsid w:val="2E4B34E3"/>
    <w:rsid w:val="2E6B3526"/>
    <w:rsid w:val="2E884229"/>
    <w:rsid w:val="2EAD468E"/>
    <w:rsid w:val="2EBF5E00"/>
    <w:rsid w:val="2EFE40B2"/>
    <w:rsid w:val="2F6D31E3"/>
    <w:rsid w:val="2FBC4567"/>
    <w:rsid w:val="2FD723AE"/>
    <w:rsid w:val="2FDD2FC9"/>
    <w:rsid w:val="2FDE790B"/>
    <w:rsid w:val="2FE17487"/>
    <w:rsid w:val="2FE83DF1"/>
    <w:rsid w:val="305F38FB"/>
    <w:rsid w:val="3085170C"/>
    <w:rsid w:val="30FC114A"/>
    <w:rsid w:val="31103B94"/>
    <w:rsid w:val="313B4368"/>
    <w:rsid w:val="317106A9"/>
    <w:rsid w:val="31C35EB2"/>
    <w:rsid w:val="31C90072"/>
    <w:rsid w:val="320A6915"/>
    <w:rsid w:val="32100B13"/>
    <w:rsid w:val="323B5D1C"/>
    <w:rsid w:val="32423EC7"/>
    <w:rsid w:val="326661B2"/>
    <w:rsid w:val="32933736"/>
    <w:rsid w:val="32957AA8"/>
    <w:rsid w:val="32F65EF0"/>
    <w:rsid w:val="32FA37B4"/>
    <w:rsid w:val="336E5436"/>
    <w:rsid w:val="33961589"/>
    <w:rsid w:val="33D55CD4"/>
    <w:rsid w:val="33F95E15"/>
    <w:rsid w:val="34165481"/>
    <w:rsid w:val="343E2D6E"/>
    <w:rsid w:val="34FD4E09"/>
    <w:rsid w:val="353042F6"/>
    <w:rsid w:val="355853A0"/>
    <w:rsid w:val="3560028A"/>
    <w:rsid w:val="3563019E"/>
    <w:rsid w:val="358705F6"/>
    <w:rsid w:val="362E42FA"/>
    <w:rsid w:val="367E20A7"/>
    <w:rsid w:val="36A22D18"/>
    <w:rsid w:val="36CF1CE9"/>
    <w:rsid w:val="36E57899"/>
    <w:rsid w:val="376A7DEE"/>
    <w:rsid w:val="378B5BAE"/>
    <w:rsid w:val="37B22EAA"/>
    <w:rsid w:val="38170F5F"/>
    <w:rsid w:val="383F27CB"/>
    <w:rsid w:val="38C53A27"/>
    <w:rsid w:val="38DD243E"/>
    <w:rsid w:val="3938162B"/>
    <w:rsid w:val="393949D7"/>
    <w:rsid w:val="39A0306A"/>
    <w:rsid w:val="39A72EC5"/>
    <w:rsid w:val="39B73E6E"/>
    <w:rsid w:val="39EB70A2"/>
    <w:rsid w:val="3A886145"/>
    <w:rsid w:val="3A9F0B2A"/>
    <w:rsid w:val="3AEE0A83"/>
    <w:rsid w:val="3AEF7E43"/>
    <w:rsid w:val="3B2925AC"/>
    <w:rsid w:val="3B382C45"/>
    <w:rsid w:val="3B645B19"/>
    <w:rsid w:val="3BAA22F8"/>
    <w:rsid w:val="3C0C4DD9"/>
    <w:rsid w:val="3C2210FA"/>
    <w:rsid w:val="3C2F4ACA"/>
    <w:rsid w:val="3C3B70E2"/>
    <w:rsid w:val="3C736DD6"/>
    <w:rsid w:val="3C9A4660"/>
    <w:rsid w:val="3CD975B2"/>
    <w:rsid w:val="3D2403B8"/>
    <w:rsid w:val="3D243C4B"/>
    <w:rsid w:val="3D471916"/>
    <w:rsid w:val="3D493D36"/>
    <w:rsid w:val="3DC86B1C"/>
    <w:rsid w:val="3DF05035"/>
    <w:rsid w:val="3E083824"/>
    <w:rsid w:val="3E0B583B"/>
    <w:rsid w:val="3E1E05FC"/>
    <w:rsid w:val="3E504C86"/>
    <w:rsid w:val="3EB72B0F"/>
    <w:rsid w:val="3EB90AB4"/>
    <w:rsid w:val="3F0E41BD"/>
    <w:rsid w:val="3F340C13"/>
    <w:rsid w:val="3F3A5154"/>
    <w:rsid w:val="3F6854D5"/>
    <w:rsid w:val="3F774D39"/>
    <w:rsid w:val="3F8A51F8"/>
    <w:rsid w:val="3FA16D1B"/>
    <w:rsid w:val="3FBF381C"/>
    <w:rsid w:val="3FEB2384"/>
    <w:rsid w:val="4000335B"/>
    <w:rsid w:val="400E0B20"/>
    <w:rsid w:val="403A0715"/>
    <w:rsid w:val="403A7211"/>
    <w:rsid w:val="405F7B69"/>
    <w:rsid w:val="40B26213"/>
    <w:rsid w:val="40C7375E"/>
    <w:rsid w:val="41340418"/>
    <w:rsid w:val="417A082B"/>
    <w:rsid w:val="4266450F"/>
    <w:rsid w:val="42763737"/>
    <w:rsid w:val="42944816"/>
    <w:rsid w:val="429B0972"/>
    <w:rsid w:val="42AB41F0"/>
    <w:rsid w:val="42FA6C7F"/>
    <w:rsid w:val="43175143"/>
    <w:rsid w:val="432A5FEB"/>
    <w:rsid w:val="43766E4F"/>
    <w:rsid w:val="437B3EEB"/>
    <w:rsid w:val="437D5B17"/>
    <w:rsid w:val="438242B0"/>
    <w:rsid w:val="438845C3"/>
    <w:rsid w:val="43CF66C9"/>
    <w:rsid w:val="44016367"/>
    <w:rsid w:val="440312A0"/>
    <w:rsid w:val="441B6C71"/>
    <w:rsid w:val="44446C38"/>
    <w:rsid w:val="448038B5"/>
    <w:rsid w:val="44AA7494"/>
    <w:rsid w:val="452F47AE"/>
    <w:rsid w:val="457263BF"/>
    <w:rsid w:val="45B1000A"/>
    <w:rsid w:val="45D853E4"/>
    <w:rsid w:val="461D02DB"/>
    <w:rsid w:val="463C2BCE"/>
    <w:rsid w:val="463D67CA"/>
    <w:rsid w:val="469E134C"/>
    <w:rsid w:val="47131BFB"/>
    <w:rsid w:val="47322C20"/>
    <w:rsid w:val="47325DE9"/>
    <w:rsid w:val="47505F8C"/>
    <w:rsid w:val="475637F7"/>
    <w:rsid w:val="47604C73"/>
    <w:rsid w:val="476539CE"/>
    <w:rsid w:val="477B4F44"/>
    <w:rsid w:val="479223B1"/>
    <w:rsid w:val="47CC2284"/>
    <w:rsid w:val="47D35E6D"/>
    <w:rsid w:val="47DF7A1E"/>
    <w:rsid w:val="47E11A22"/>
    <w:rsid w:val="481E196C"/>
    <w:rsid w:val="48385B02"/>
    <w:rsid w:val="48565E9D"/>
    <w:rsid w:val="488041CF"/>
    <w:rsid w:val="48CC36A0"/>
    <w:rsid w:val="495F063D"/>
    <w:rsid w:val="498F4DFA"/>
    <w:rsid w:val="49A41748"/>
    <w:rsid w:val="49FB74CF"/>
    <w:rsid w:val="49FE19DD"/>
    <w:rsid w:val="4A17318B"/>
    <w:rsid w:val="4A3142B1"/>
    <w:rsid w:val="4AB7659E"/>
    <w:rsid w:val="4AC870E9"/>
    <w:rsid w:val="4AD56E23"/>
    <w:rsid w:val="4B234B8B"/>
    <w:rsid w:val="4B322373"/>
    <w:rsid w:val="4B354E8A"/>
    <w:rsid w:val="4B36583D"/>
    <w:rsid w:val="4B481362"/>
    <w:rsid w:val="4B553FE7"/>
    <w:rsid w:val="4BBF3B63"/>
    <w:rsid w:val="4BD81F86"/>
    <w:rsid w:val="4BDD3520"/>
    <w:rsid w:val="4BEB1FC7"/>
    <w:rsid w:val="4BFF7EE4"/>
    <w:rsid w:val="4C184FCD"/>
    <w:rsid w:val="4C215AB1"/>
    <w:rsid w:val="4C652863"/>
    <w:rsid w:val="4C8159BE"/>
    <w:rsid w:val="4C850083"/>
    <w:rsid w:val="4C8E6CB5"/>
    <w:rsid w:val="4CA0634A"/>
    <w:rsid w:val="4CB86415"/>
    <w:rsid w:val="4CCF2552"/>
    <w:rsid w:val="4CE8258A"/>
    <w:rsid w:val="4CF50870"/>
    <w:rsid w:val="4D161CF7"/>
    <w:rsid w:val="4DA21ED8"/>
    <w:rsid w:val="4DB07206"/>
    <w:rsid w:val="4DE33701"/>
    <w:rsid w:val="4E1309E3"/>
    <w:rsid w:val="4E7542BA"/>
    <w:rsid w:val="4E8D5B36"/>
    <w:rsid w:val="4E921BF3"/>
    <w:rsid w:val="4EA7184D"/>
    <w:rsid w:val="4EC8137C"/>
    <w:rsid w:val="4ED65528"/>
    <w:rsid w:val="4F4B7719"/>
    <w:rsid w:val="4F63113B"/>
    <w:rsid w:val="4F6663EE"/>
    <w:rsid w:val="4FAD4A46"/>
    <w:rsid w:val="4FC155E1"/>
    <w:rsid w:val="4FC9093A"/>
    <w:rsid w:val="4FE23EE9"/>
    <w:rsid w:val="4FFE31BC"/>
    <w:rsid w:val="501E673E"/>
    <w:rsid w:val="503157FC"/>
    <w:rsid w:val="50636AB1"/>
    <w:rsid w:val="50C34717"/>
    <w:rsid w:val="510E7511"/>
    <w:rsid w:val="5139213C"/>
    <w:rsid w:val="518C7988"/>
    <w:rsid w:val="520A4A54"/>
    <w:rsid w:val="52360827"/>
    <w:rsid w:val="524E3F8A"/>
    <w:rsid w:val="5265792E"/>
    <w:rsid w:val="528B5257"/>
    <w:rsid w:val="52A25738"/>
    <w:rsid w:val="52AE13C1"/>
    <w:rsid w:val="52C268A2"/>
    <w:rsid w:val="53C127B1"/>
    <w:rsid w:val="54282AE6"/>
    <w:rsid w:val="54301FED"/>
    <w:rsid w:val="544B1E40"/>
    <w:rsid w:val="54A861F0"/>
    <w:rsid w:val="54F104B2"/>
    <w:rsid w:val="54FD598C"/>
    <w:rsid w:val="554306BE"/>
    <w:rsid w:val="55485305"/>
    <w:rsid w:val="55503DE3"/>
    <w:rsid w:val="55B1012A"/>
    <w:rsid w:val="55CE5F05"/>
    <w:rsid w:val="55E8637F"/>
    <w:rsid w:val="561E01EE"/>
    <w:rsid w:val="563E66AE"/>
    <w:rsid w:val="56423175"/>
    <w:rsid w:val="56574CD3"/>
    <w:rsid w:val="56617B1E"/>
    <w:rsid w:val="56AC6119"/>
    <w:rsid w:val="570447D9"/>
    <w:rsid w:val="573174F0"/>
    <w:rsid w:val="574F25E8"/>
    <w:rsid w:val="57753F33"/>
    <w:rsid w:val="578E4ECD"/>
    <w:rsid w:val="579D3E59"/>
    <w:rsid w:val="57AC185E"/>
    <w:rsid w:val="57AD7959"/>
    <w:rsid w:val="57BB1FD4"/>
    <w:rsid w:val="57BF2764"/>
    <w:rsid w:val="580C7FF6"/>
    <w:rsid w:val="5854122F"/>
    <w:rsid w:val="59092B87"/>
    <w:rsid w:val="593329AC"/>
    <w:rsid w:val="593B65D3"/>
    <w:rsid w:val="599C2E78"/>
    <w:rsid w:val="59CE2AEB"/>
    <w:rsid w:val="5A170B89"/>
    <w:rsid w:val="5A18415B"/>
    <w:rsid w:val="5A1F7999"/>
    <w:rsid w:val="5A7638A9"/>
    <w:rsid w:val="5A8706CF"/>
    <w:rsid w:val="5A8952A7"/>
    <w:rsid w:val="5A975B5B"/>
    <w:rsid w:val="5AFF16B3"/>
    <w:rsid w:val="5B2C01D0"/>
    <w:rsid w:val="5B6B5307"/>
    <w:rsid w:val="5B7860E0"/>
    <w:rsid w:val="5BC76333"/>
    <w:rsid w:val="5BD836E6"/>
    <w:rsid w:val="5BD95A79"/>
    <w:rsid w:val="5BEB2CBE"/>
    <w:rsid w:val="5BEC3160"/>
    <w:rsid w:val="5BF17A2A"/>
    <w:rsid w:val="5C407A82"/>
    <w:rsid w:val="5C7957E3"/>
    <w:rsid w:val="5C82259C"/>
    <w:rsid w:val="5CCD4A05"/>
    <w:rsid w:val="5CE11CC9"/>
    <w:rsid w:val="5D022035"/>
    <w:rsid w:val="5D0626E3"/>
    <w:rsid w:val="5D086181"/>
    <w:rsid w:val="5D5A1AEB"/>
    <w:rsid w:val="5D797D0B"/>
    <w:rsid w:val="5D895EBC"/>
    <w:rsid w:val="5D926A63"/>
    <w:rsid w:val="5DA93640"/>
    <w:rsid w:val="5DC1783E"/>
    <w:rsid w:val="5E7128C8"/>
    <w:rsid w:val="5E745E7F"/>
    <w:rsid w:val="5E9B3E6F"/>
    <w:rsid w:val="5EA41B2A"/>
    <w:rsid w:val="5EBF2686"/>
    <w:rsid w:val="5F27228C"/>
    <w:rsid w:val="5F3E77BE"/>
    <w:rsid w:val="5F531FCE"/>
    <w:rsid w:val="5F832E2E"/>
    <w:rsid w:val="5F9D5B56"/>
    <w:rsid w:val="5FA10F8B"/>
    <w:rsid w:val="603E2902"/>
    <w:rsid w:val="60995144"/>
    <w:rsid w:val="60F259FD"/>
    <w:rsid w:val="61037B7C"/>
    <w:rsid w:val="612324DE"/>
    <w:rsid w:val="61353F48"/>
    <w:rsid w:val="61932E37"/>
    <w:rsid w:val="61A36339"/>
    <w:rsid w:val="61AB3F66"/>
    <w:rsid w:val="61C947C9"/>
    <w:rsid w:val="61ED0B4D"/>
    <w:rsid w:val="620E6047"/>
    <w:rsid w:val="621B5856"/>
    <w:rsid w:val="626A0799"/>
    <w:rsid w:val="62D33FF8"/>
    <w:rsid w:val="62F00F47"/>
    <w:rsid w:val="6305730B"/>
    <w:rsid w:val="63186B49"/>
    <w:rsid w:val="63800A9C"/>
    <w:rsid w:val="63852BB6"/>
    <w:rsid w:val="63980F1D"/>
    <w:rsid w:val="63E95774"/>
    <w:rsid w:val="644F737B"/>
    <w:rsid w:val="6475124F"/>
    <w:rsid w:val="648C06C6"/>
    <w:rsid w:val="64B608CE"/>
    <w:rsid w:val="64BA0B51"/>
    <w:rsid w:val="64D10681"/>
    <w:rsid w:val="64EC1539"/>
    <w:rsid w:val="64EE1D56"/>
    <w:rsid w:val="651450B9"/>
    <w:rsid w:val="652541D1"/>
    <w:rsid w:val="65560ED3"/>
    <w:rsid w:val="655C18D9"/>
    <w:rsid w:val="65A36FA6"/>
    <w:rsid w:val="65FE7137"/>
    <w:rsid w:val="66965D2D"/>
    <w:rsid w:val="6719072E"/>
    <w:rsid w:val="67A4005C"/>
    <w:rsid w:val="68122912"/>
    <w:rsid w:val="686040F4"/>
    <w:rsid w:val="686C3925"/>
    <w:rsid w:val="68915D26"/>
    <w:rsid w:val="68D966A2"/>
    <w:rsid w:val="68DC56D4"/>
    <w:rsid w:val="695D475B"/>
    <w:rsid w:val="69674FF3"/>
    <w:rsid w:val="69904848"/>
    <w:rsid w:val="69986D17"/>
    <w:rsid w:val="69AE1871"/>
    <w:rsid w:val="69B10DA1"/>
    <w:rsid w:val="69C61D53"/>
    <w:rsid w:val="69CB0437"/>
    <w:rsid w:val="69DD3AC7"/>
    <w:rsid w:val="6A0C6BF6"/>
    <w:rsid w:val="6A132837"/>
    <w:rsid w:val="6A42236E"/>
    <w:rsid w:val="6A550D10"/>
    <w:rsid w:val="6A6D3CC0"/>
    <w:rsid w:val="6A731FE4"/>
    <w:rsid w:val="6AC108A7"/>
    <w:rsid w:val="6B39292D"/>
    <w:rsid w:val="6B4B6993"/>
    <w:rsid w:val="6B845E74"/>
    <w:rsid w:val="6BA23367"/>
    <w:rsid w:val="6BCE3108"/>
    <w:rsid w:val="6BE5278F"/>
    <w:rsid w:val="6BF02632"/>
    <w:rsid w:val="6C003240"/>
    <w:rsid w:val="6C1A2A93"/>
    <w:rsid w:val="6C4871C4"/>
    <w:rsid w:val="6C705F6D"/>
    <w:rsid w:val="6CB00619"/>
    <w:rsid w:val="6CC4450B"/>
    <w:rsid w:val="6CC95802"/>
    <w:rsid w:val="6CD37D99"/>
    <w:rsid w:val="6CDE7689"/>
    <w:rsid w:val="6D0C1617"/>
    <w:rsid w:val="6D281464"/>
    <w:rsid w:val="6D394EF9"/>
    <w:rsid w:val="6D706E3A"/>
    <w:rsid w:val="6D94739B"/>
    <w:rsid w:val="6DB85F91"/>
    <w:rsid w:val="6DC742B3"/>
    <w:rsid w:val="6DCD5113"/>
    <w:rsid w:val="6E1D5D61"/>
    <w:rsid w:val="6E5A29CB"/>
    <w:rsid w:val="6ECD6E48"/>
    <w:rsid w:val="6EDC7444"/>
    <w:rsid w:val="6F2C2ECD"/>
    <w:rsid w:val="6F32442D"/>
    <w:rsid w:val="6F407894"/>
    <w:rsid w:val="70427FA2"/>
    <w:rsid w:val="70611238"/>
    <w:rsid w:val="709B2B68"/>
    <w:rsid w:val="70BA2B7E"/>
    <w:rsid w:val="70D44FE8"/>
    <w:rsid w:val="70D95C2E"/>
    <w:rsid w:val="70E15341"/>
    <w:rsid w:val="70EF466C"/>
    <w:rsid w:val="7159076C"/>
    <w:rsid w:val="717B3E20"/>
    <w:rsid w:val="71D516CD"/>
    <w:rsid w:val="72102030"/>
    <w:rsid w:val="721100AE"/>
    <w:rsid w:val="72375749"/>
    <w:rsid w:val="72640AFC"/>
    <w:rsid w:val="727A7206"/>
    <w:rsid w:val="72C12FAC"/>
    <w:rsid w:val="7335782C"/>
    <w:rsid w:val="738940F8"/>
    <w:rsid w:val="73951E16"/>
    <w:rsid w:val="73B15653"/>
    <w:rsid w:val="73DD73F8"/>
    <w:rsid w:val="73E96B80"/>
    <w:rsid w:val="74144A94"/>
    <w:rsid w:val="74172AE1"/>
    <w:rsid w:val="74A83830"/>
    <w:rsid w:val="74B967CF"/>
    <w:rsid w:val="74C3528C"/>
    <w:rsid w:val="74E90C95"/>
    <w:rsid w:val="74F40B80"/>
    <w:rsid w:val="754B1530"/>
    <w:rsid w:val="75817829"/>
    <w:rsid w:val="75A176E4"/>
    <w:rsid w:val="75C62699"/>
    <w:rsid w:val="76107760"/>
    <w:rsid w:val="761958C7"/>
    <w:rsid w:val="761F55FC"/>
    <w:rsid w:val="766842D4"/>
    <w:rsid w:val="76933D5D"/>
    <w:rsid w:val="76B1265D"/>
    <w:rsid w:val="76CF1DA0"/>
    <w:rsid w:val="7739048F"/>
    <w:rsid w:val="773C7C52"/>
    <w:rsid w:val="775E38EF"/>
    <w:rsid w:val="777532DF"/>
    <w:rsid w:val="779942AE"/>
    <w:rsid w:val="779E60FA"/>
    <w:rsid w:val="77B17726"/>
    <w:rsid w:val="77CB50DA"/>
    <w:rsid w:val="77E93DC6"/>
    <w:rsid w:val="784813A8"/>
    <w:rsid w:val="787842C5"/>
    <w:rsid w:val="78846992"/>
    <w:rsid w:val="78B2776A"/>
    <w:rsid w:val="78BE201E"/>
    <w:rsid w:val="790C2B9E"/>
    <w:rsid w:val="792C3B64"/>
    <w:rsid w:val="792D656A"/>
    <w:rsid w:val="79347923"/>
    <w:rsid w:val="795B0672"/>
    <w:rsid w:val="79E40C45"/>
    <w:rsid w:val="7A0E2CE9"/>
    <w:rsid w:val="7A3A23D3"/>
    <w:rsid w:val="7A476178"/>
    <w:rsid w:val="7A483E74"/>
    <w:rsid w:val="7AB849F2"/>
    <w:rsid w:val="7AC20AFD"/>
    <w:rsid w:val="7B0C2CA6"/>
    <w:rsid w:val="7B111942"/>
    <w:rsid w:val="7B2671F9"/>
    <w:rsid w:val="7B3B6082"/>
    <w:rsid w:val="7BD81805"/>
    <w:rsid w:val="7BFA7EB7"/>
    <w:rsid w:val="7C0346E3"/>
    <w:rsid w:val="7C170C7D"/>
    <w:rsid w:val="7C277EF2"/>
    <w:rsid w:val="7C6B5E78"/>
    <w:rsid w:val="7C7541B0"/>
    <w:rsid w:val="7CB61F06"/>
    <w:rsid w:val="7CE6110D"/>
    <w:rsid w:val="7CFC6737"/>
    <w:rsid w:val="7D1667E7"/>
    <w:rsid w:val="7D4845A5"/>
    <w:rsid w:val="7D830E14"/>
    <w:rsid w:val="7D886E65"/>
    <w:rsid w:val="7D915533"/>
    <w:rsid w:val="7D967881"/>
    <w:rsid w:val="7DCB41F8"/>
    <w:rsid w:val="7DD82F61"/>
    <w:rsid w:val="7E005223"/>
    <w:rsid w:val="7E0A6344"/>
    <w:rsid w:val="7E1568F4"/>
    <w:rsid w:val="7E3C1F65"/>
    <w:rsid w:val="7E8142D0"/>
    <w:rsid w:val="7E826260"/>
    <w:rsid w:val="7E893174"/>
    <w:rsid w:val="7ED607F9"/>
    <w:rsid w:val="7EE56A6C"/>
    <w:rsid w:val="7F0A046A"/>
    <w:rsid w:val="7F196DCB"/>
    <w:rsid w:val="7F235953"/>
    <w:rsid w:val="7F5A6980"/>
    <w:rsid w:val="7F61123A"/>
    <w:rsid w:val="7F8C2491"/>
    <w:rsid w:val="7FAF6F68"/>
    <w:rsid w:val="7FC27D49"/>
    <w:rsid w:val="7FD268E7"/>
    <w:rsid w:val="7FD8234F"/>
    <w:rsid w:val="7FED6AB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4"/>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6"/>
    <w:qFormat/>
    <w:uiPriority w:val="0"/>
    <w:pPr>
      <w:keepNext/>
      <w:keepLines/>
      <w:spacing w:before="260" w:after="260" w:line="416" w:lineRule="auto"/>
      <w:jc w:val="center"/>
      <w:outlineLvl w:val="1"/>
    </w:pPr>
    <w:rPr>
      <w:rFonts w:ascii="Arial" w:hAnsi="Arial" w:eastAsia="黑体"/>
      <w:b/>
      <w:bCs/>
      <w:sz w:val="52"/>
      <w:szCs w:val="32"/>
    </w:rPr>
  </w:style>
  <w:style w:type="paragraph" w:styleId="7">
    <w:name w:val="heading 4"/>
    <w:basedOn w:val="1"/>
    <w:next w:val="1"/>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2">
    <w:name w:val="toc 1"/>
    <w:basedOn w:val="1"/>
    <w:next w:val="1"/>
    <w:autoRedefine/>
    <w:unhideWhenUsed/>
    <w:qFormat/>
    <w:uiPriority w:val="39"/>
    <w:pPr>
      <w:spacing w:line="380" w:lineRule="exact"/>
      <w:jc w:val="distribute"/>
    </w:pPr>
    <w:rPr>
      <w:rFonts w:eastAsia="黑体"/>
    </w:rPr>
  </w:style>
  <w:style w:type="paragraph" w:styleId="4">
    <w:name w:val="toa heading"/>
    <w:basedOn w:val="1"/>
    <w:next w:val="1"/>
    <w:semiHidden/>
    <w:qFormat/>
    <w:uiPriority w:val="0"/>
    <w:pPr>
      <w:spacing w:before="120"/>
    </w:pPr>
    <w:rPr>
      <w:rFonts w:ascii="Arial" w:hAnsi="Arial" w:cs="Arial"/>
      <w:sz w:val="24"/>
      <w:szCs w:val="24"/>
    </w:rPr>
  </w:style>
  <w:style w:type="paragraph" w:styleId="6">
    <w:name w:val="Normal Indent"/>
    <w:basedOn w:val="1"/>
    <w:qFormat/>
    <w:uiPriority w:val="99"/>
    <w:pPr>
      <w:spacing w:line="240" w:lineRule="auto"/>
      <w:ind w:firstLine="420"/>
    </w:pPr>
    <w:rPr>
      <w:rFonts w:eastAsia="宋体"/>
      <w:sz w:val="21"/>
    </w:rPr>
  </w:style>
  <w:style w:type="paragraph" w:styleId="8">
    <w:name w:val="Document Map"/>
    <w:basedOn w:val="1"/>
    <w:autoRedefine/>
    <w:qFormat/>
    <w:uiPriority w:val="0"/>
    <w:pPr>
      <w:shd w:val="clear" w:color="auto" w:fill="000080"/>
    </w:pPr>
    <w:rPr>
      <w:rFonts w:ascii="Cambria" w:hAnsi="Cambria"/>
      <w:sz w:val="24"/>
      <w:szCs w:val="24"/>
    </w:rPr>
  </w:style>
  <w:style w:type="paragraph" w:styleId="9">
    <w:name w:val="annotation text"/>
    <w:basedOn w:val="1"/>
    <w:link w:val="30"/>
    <w:autoRedefine/>
    <w:unhideWhenUsed/>
    <w:qFormat/>
    <w:uiPriority w:val="99"/>
    <w:pPr>
      <w:jc w:val="left"/>
    </w:pPr>
  </w:style>
  <w:style w:type="paragraph" w:styleId="10">
    <w:name w:val="Body Text"/>
    <w:basedOn w:val="1"/>
    <w:next w:val="1"/>
    <w:autoRedefine/>
    <w:qFormat/>
    <w:uiPriority w:val="0"/>
    <w:pPr>
      <w:spacing w:line="240" w:lineRule="auto"/>
      <w:jc w:val="center"/>
    </w:pPr>
    <w:rPr>
      <w:rFonts w:ascii="Times New Roman" w:hAnsi="Times New Roman" w:eastAsia="宋体" w:cs="Times New Roman"/>
      <w:sz w:val="28"/>
      <w:szCs w:val="20"/>
    </w:rPr>
  </w:style>
  <w:style w:type="paragraph" w:styleId="11">
    <w:name w:val="Body Text Indent"/>
    <w:basedOn w:val="1"/>
    <w:autoRedefine/>
    <w:qFormat/>
    <w:uiPriority w:val="0"/>
    <w:pPr>
      <w:spacing w:after="120"/>
      <w:ind w:left="420" w:leftChars="200"/>
    </w:pPr>
    <w:rPr>
      <w:rFonts w:ascii="Times New Roman" w:hAnsi="Times New Roman" w:eastAsia="Times New Roman"/>
      <w:kern w:val="0"/>
      <w:sz w:val="20"/>
      <w:szCs w:val="21"/>
    </w:rPr>
  </w:style>
  <w:style w:type="paragraph" w:styleId="12">
    <w:name w:val="toc 3"/>
    <w:basedOn w:val="1"/>
    <w:next w:val="1"/>
    <w:autoRedefine/>
    <w:unhideWhenUsed/>
    <w:qFormat/>
    <w:uiPriority w:val="39"/>
    <w:pPr>
      <w:spacing w:line="380" w:lineRule="exact"/>
      <w:ind w:left="400" w:leftChars="400"/>
      <w:jc w:val="distribute"/>
    </w:pPr>
  </w:style>
  <w:style w:type="paragraph" w:styleId="13">
    <w:name w:val="Plain Text"/>
    <w:basedOn w:val="1"/>
    <w:autoRedefine/>
    <w:qFormat/>
    <w:uiPriority w:val="0"/>
    <w:rPr>
      <w:rFonts w:ascii="宋体" w:hAnsi="Courier New"/>
      <w:szCs w:val="22"/>
    </w:rPr>
  </w:style>
  <w:style w:type="paragraph" w:styleId="14">
    <w:name w:val="Date"/>
    <w:basedOn w:val="1"/>
    <w:next w:val="1"/>
    <w:link w:val="31"/>
    <w:autoRedefine/>
    <w:unhideWhenUsed/>
    <w:qFormat/>
    <w:uiPriority w:val="99"/>
    <w:pPr>
      <w:ind w:left="100" w:leftChars="2500"/>
    </w:pPr>
  </w:style>
  <w:style w:type="paragraph" w:styleId="15">
    <w:name w:val="Balloon Text"/>
    <w:basedOn w:val="1"/>
    <w:link w:val="32"/>
    <w:autoRedefine/>
    <w:unhideWhenUsed/>
    <w:qFormat/>
    <w:uiPriority w:val="99"/>
    <w:rPr>
      <w:sz w:val="18"/>
      <w:szCs w:val="18"/>
    </w:rPr>
  </w:style>
  <w:style w:type="paragraph" w:styleId="16">
    <w:name w:val="footer"/>
    <w:basedOn w:val="1"/>
    <w:link w:val="33"/>
    <w:autoRedefine/>
    <w:unhideWhenUsed/>
    <w:qFormat/>
    <w:uiPriority w:val="99"/>
    <w:pPr>
      <w:tabs>
        <w:tab w:val="center" w:pos="4153"/>
        <w:tab w:val="right" w:pos="8306"/>
      </w:tabs>
      <w:snapToGrid w:val="0"/>
      <w:jc w:val="left"/>
    </w:pPr>
    <w:rPr>
      <w:sz w:val="18"/>
      <w:szCs w:val="18"/>
    </w:rPr>
  </w:style>
  <w:style w:type="paragraph" w:styleId="17">
    <w:name w:val="header"/>
    <w:basedOn w:val="1"/>
    <w:link w:val="3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2"/>
    <w:basedOn w:val="1"/>
    <w:next w:val="1"/>
    <w:autoRedefine/>
    <w:unhideWhenUsed/>
    <w:qFormat/>
    <w:uiPriority w:val="39"/>
    <w:pPr>
      <w:spacing w:line="380" w:lineRule="exact"/>
      <w:ind w:left="200" w:leftChars="200"/>
      <w:jc w:val="distribute"/>
    </w:pPr>
  </w:style>
  <w:style w:type="paragraph" w:styleId="19">
    <w:name w:val="Normal (Web)"/>
    <w:basedOn w:val="1"/>
    <w:autoRedefine/>
    <w:unhideWhenUsed/>
    <w:qFormat/>
    <w:uiPriority w:val="99"/>
    <w:pPr>
      <w:spacing w:beforeAutospacing="1" w:afterAutospacing="1" w:line="480" w:lineRule="exact"/>
      <w:jc w:val="left"/>
    </w:pPr>
    <w:rPr>
      <w:rFonts w:ascii="Times New Roman" w:hAnsi="Times New Roman" w:eastAsia="仿宋_GB2312" w:cs="Times New Roman"/>
      <w:kern w:val="0"/>
      <w:sz w:val="24"/>
      <w:szCs w:val="20"/>
    </w:rPr>
  </w:style>
  <w:style w:type="paragraph" w:styleId="20">
    <w:name w:val="annotation subject"/>
    <w:basedOn w:val="9"/>
    <w:next w:val="9"/>
    <w:link w:val="35"/>
    <w:autoRedefine/>
    <w:unhideWhenUsed/>
    <w:qFormat/>
    <w:uiPriority w:val="99"/>
    <w:rPr>
      <w:b/>
      <w:bCs/>
    </w:rPr>
  </w:style>
  <w:style w:type="paragraph" w:styleId="21">
    <w:name w:val="Body Text First Indent"/>
    <w:basedOn w:val="10"/>
    <w:autoRedefine/>
    <w:qFormat/>
    <w:uiPriority w:val="0"/>
    <w:pPr>
      <w:spacing w:after="120"/>
      <w:ind w:firstLine="420"/>
      <w:jc w:val="both"/>
    </w:pPr>
    <w:rPr>
      <w:sz w:val="21"/>
    </w:rPr>
  </w:style>
  <w:style w:type="paragraph" w:styleId="22">
    <w:name w:val="Body Text First Indent 2"/>
    <w:basedOn w:val="11"/>
    <w:qFormat/>
    <w:uiPriority w:val="0"/>
    <w:pPr>
      <w:ind w:firstLine="420" w:firstLineChars="200"/>
    </w:pPr>
  </w:style>
  <w:style w:type="table" w:styleId="24">
    <w:name w:val="Table Grid"/>
    <w:basedOn w:val="2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autoRedefine/>
    <w:unhideWhenUsed/>
    <w:qFormat/>
    <w:uiPriority w:val="0"/>
    <w:rPr>
      <w:rFonts w:cs="Times New Roman"/>
    </w:rPr>
  </w:style>
  <w:style w:type="character" w:styleId="27">
    <w:name w:val="FollowedHyperlink"/>
    <w:autoRedefine/>
    <w:qFormat/>
    <w:uiPriority w:val="0"/>
    <w:rPr>
      <w:color w:val="800080"/>
      <w:u w:val="single"/>
    </w:rPr>
  </w:style>
  <w:style w:type="character" w:styleId="28">
    <w:name w:val="Hyperlink"/>
    <w:autoRedefine/>
    <w:unhideWhenUsed/>
    <w:qFormat/>
    <w:uiPriority w:val="99"/>
    <w:rPr>
      <w:color w:val="0563C1"/>
      <w:u w:val="single"/>
    </w:rPr>
  </w:style>
  <w:style w:type="character" w:styleId="29">
    <w:name w:val="annotation reference"/>
    <w:autoRedefine/>
    <w:unhideWhenUsed/>
    <w:qFormat/>
    <w:uiPriority w:val="99"/>
    <w:rPr>
      <w:sz w:val="21"/>
      <w:szCs w:val="21"/>
    </w:rPr>
  </w:style>
  <w:style w:type="character" w:customStyle="1" w:styleId="30">
    <w:name w:val="批注文字 字符"/>
    <w:link w:val="9"/>
    <w:autoRedefine/>
    <w:qFormat/>
    <w:uiPriority w:val="99"/>
    <w:rPr>
      <w:kern w:val="2"/>
      <w:sz w:val="21"/>
      <w:szCs w:val="22"/>
    </w:rPr>
  </w:style>
  <w:style w:type="character" w:customStyle="1" w:styleId="31">
    <w:name w:val="日期 字符"/>
    <w:link w:val="14"/>
    <w:autoRedefine/>
    <w:semiHidden/>
    <w:qFormat/>
    <w:uiPriority w:val="99"/>
    <w:rPr>
      <w:kern w:val="2"/>
      <w:sz w:val="21"/>
      <w:szCs w:val="22"/>
    </w:rPr>
  </w:style>
  <w:style w:type="character" w:customStyle="1" w:styleId="32">
    <w:name w:val="批注框文本 字符"/>
    <w:link w:val="15"/>
    <w:autoRedefine/>
    <w:semiHidden/>
    <w:qFormat/>
    <w:uiPriority w:val="99"/>
    <w:rPr>
      <w:kern w:val="2"/>
      <w:sz w:val="18"/>
      <w:szCs w:val="18"/>
    </w:rPr>
  </w:style>
  <w:style w:type="character" w:customStyle="1" w:styleId="33">
    <w:name w:val="页脚 字符"/>
    <w:link w:val="16"/>
    <w:autoRedefine/>
    <w:qFormat/>
    <w:uiPriority w:val="99"/>
    <w:rPr>
      <w:kern w:val="2"/>
      <w:sz w:val="18"/>
      <w:szCs w:val="18"/>
    </w:rPr>
  </w:style>
  <w:style w:type="character" w:customStyle="1" w:styleId="34">
    <w:name w:val="页眉 字符"/>
    <w:link w:val="17"/>
    <w:autoRedefine/>
    <w:qFormat/>
    <w:uiPriority w:val="99"/>
    <w:rPr>
      <w:kern w:val="2"/>
      <w:sz w:val="18"/>
      <w:szCs w:val="18"/>
    </w:rPr>
  </w:style>
  <w:style w:type="character" w:customStyle="1" w:styleId="35">
    <w:name w:val="批注主题 字符"/>
    <w:link w:val="20"/>
    <w:autoRedefine/>
    <w:semiHidden/>
    <w:qFormat/>
    <w:uiPriority w:val="99"/>
    <w:rPr>
      <w:b/>
      <w:bCs/>
      <w:kern w:val="2"/>
      <w:sz w:val="21"/>
      <w:szCs w:val="22"/>
    </w:rPr>
  </w:style>
  <w:style w:type="paragraph" w:customStyle="1" w:styleId="36">
    <w:name w:val="列出段落1"/>
    <w:basedOn w:val="1"/>
    <w:qFormat/>
    <w:uiPriority w:val="0"/>
    <w:pPr>
      <w:autoSpaceDE w:val="0"/>
      <w:autoSpaceDN w:val="0"/>
      <w:adjustRightInd w:val="0"/>
      <w:snapToGrid w:val="0"/>
      <w:spacing w:line="360" w:lineRule="auto"/>
      <w:ind w:firstLine="420" w:firstLineChars="200"/>
      <w:jc w:val="left"/>
    </w:pPr>
    <w:rPr>
      <w:rFonts w:ascii="Times New Roman" w:eastAsia="宋体"/>
      <w:sz w:val="21"/>
      <w:szCs w:val="21"/>
    </w:rPr>
  </w:style>
  <w:style w:type="paragraph" w:customStyle="1" w:styleId="37">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8">
    <w:name w:val="楷体 (中文) 楷体"/>
    <w:autoRedefine/>
    <w:qFormat/>
    <w:uiPriority w:val="0"/>
    <w:rPr>
      <w:rFonts w:ascii="楷体" w:hAnsi="楷体" w:eastAsia="楷体"/>
      <w:kern w:val="1"/>
      <w:sz w:val="28"/>
    </w:rPr>
  </w:style>
  <w:style w:type="character" w:customStyle="1" w:styleId="39">
    <w:name w:val="font51"/>
    <w:autoRedefine/>
    <w:qFormat/>
    <w:uiPriority w:val="0"/>
    <w:rPr>
      <w:rFonts w:hint="eastAsia" w:ascii="宋体" w:hAnsi="宋体" w:eastAsia="宋体" w:cs="宋体"/>
      <w:color w:val="000000"/>
      <w:sz w:val="21"/>
      <w:szCs w:val="21"/>
      <w:u w:val="none"/>
    </w:rPr>
  </w:style>
  <w:style w:type="character" w:customStyle="1" w:styleId="40">
    <w:name w:val="font81"/>
    <w:autoRedefine/>
    <w:qFormat/>
    <w:uiPriority w:val="0"/>
    <w:rPr>
      <w:rFonts w:hint="eastAsia" w:ascii="仿宋" w:hAnsi="仿宋" w:eastAsia="仿宋" w:cs="仿宋"/>
      <w:color w:val="FF0000"/>
      <w:sz w:val="20"/>
      <w:szCs w:val="20"/>
      <w:u w:val="none"/>
    </w:rPr>
  </w:style>
  <w:style w:type="character" w:customStyle="1" w:styleId="41">
    <w:name w:val="font71"/>
    <w:autoRedefine/>
    <w:qFormat/>
    <w:uiPriority w:val="0"/>
    <w:rPr>
      <w:rFonts w:hint="eastAsia" w:ascii="仿宋" w:hAnsi="仿宋" w:eastAsia="仿宋" w:cs="仿宋"/>
      <w:color w:val="000000"/>
      <w:sz w:val="20"/>
      <w:szCs w:val="20"/>
      <w:u w:val="none"/>
    </w:rPr>
  </w:style>
  <w:style w:type="character" w:customStyle="1" w:styleId="42">
    <w:name w:val="l_span"/>
    <w:qFormat/>
    <w:uiPriority w:val="0"/>
  </w:style>
  <w:style w:type="character" w:customStyle="1" w:styleId="43">
    <w:name w:val="font11"/>
    <w:autoRedefine/>
    <w:qFormat/>
    <w:uiPriority w:val="0"/>
    <w:rPr>
      <w:rFonts w:hint="eastAsia" w:ascii="宋体" w:hAnsi="宋体" w:eastAsia="宋体" w:cs="宋体"/>
      <w:color w:val="000000"/>
      <w:sz w:val="20"/>
      <w:szCs w:val="20"/>
      <w:u w:val="none"/>
    </w:rPr>
  </w:style>
  <w:style w:type="character" w:customStyle="1" w:styleId="44">
    <w:name w:val="正文文本缩进 Char1"/>
    <w:autoRedefine/>
    <w:qFormat/>
    <w:uiPriority w:val="0"/>
    <w:rPr>
      <w:rFonts w:ascii="Cambria" w:hAnsi="Cambria"/>
      <w:kern w:val="2"/>
      <w:sz w:val="24"/>
      <w:szCs w:val="24"/>
    </w:rPr>
  </w:style>
  <w:style w:type="character" w:customStyle="1" w:styleId="45">
    <w:name w:val="font31"/>
    <w:autoRedefine/>
    <w:qFormat/>
    <w:uiPriority w:val="0"/>
    <w:rPr>
      <w:rFonts w:hint="eastAsia" w:ascii="仿宋" w:hAnsi="仿宋" w:eastAsia="仿宋" w:cs="仿宋"/>
      <w:color w:val="000000"/>
      <w:sz w:val="22"/>
      <w:szCs w:val="22"/>
      <w:u w:val="none"/>
    </w:rPr>
  </w:style>
  <w:style w:type="character" w:customStyle="1" w:styleId="46">
    <w:name w:val="样式 仿宋"/>
    <w:autoRedefine/>
    <w:qFormat/>
    <w:uiPriority w:val="0"/>
    <w:rPr>
      <w:rFonts w:ascii="仿宋" w:hAnsi="仿宋" w:eastAsia="仿宋"/>
      <w:kern w:val="1"/>
    </w:rPr>
  </w:style>
  <w:style w:type="character" w:customStyle="1" w:styleId="47">
    <w:name w:val="font41"/>
    <w:autoRedefine/>
    <w:qFormat/>
    <w:uiPriority w:val="0"/>
    <w:rPr>
      <w:rFonts w:hint="eastAsia" w:ascii="宋体" w:hAnsi="宋体" w:eastAsia="宋体" w:cs="宋体"/>
      <w:color w:val="000000"/>
      <w:sz w:val="22"/>
      <w:szCs w:val="22"/>
      <w:u w:val="none"/>
    </w:rPr>
  </w:style>
  <w:style w:type="character" w:customStyle="1" w:styleId="48">
    <w:name w:val="font131"/>
    <w:autoRedefine/>
    <w:qFormat/>
    <w:uiPriority w:val="0"/>
    <w:rPr>
      <w:rFonts w:hint="eastAsia" w:ascii="宋体" w:hAnsi="宋体" w:eastAsia="宋体" w:cs="宋体"/>
      <w:color w:val="000000"/>
      <w:sz w:val="20"/>
      <w:szCs w:val="20"/>
      <w:u w:val="none"/>
    </w:rPr>
  </w:style>
  <w:style w:type="character" w:customStyle="1" w:styleId="49">
    <w:name w:val="font181"/>
    <w:autoRedefine/>
    <w:qFormat/>
    <w:uiPriority w:val="0"/>
    <w:rPr>
      <w:rFonts w:hint="eastAsia" w:ascii="宋体" w:hAnsi="宋体" w:eastAsia="宋体" w:cs="宋体"/>
      <w:color w:val="000000"/>
      <w:sz w:val="20"/>
      <w:szCs w:val="20"/>
      <w:u w:val="none"/>
    </w:rPr>
  </w:style>
  <w:style w:type="character" w:customStyle="1" w:styleId="50">
    <w:name w:val="font91"/>
    <w:autoRedefine/>
    <w:qFormat/>
    <w:uiPriority w:val="0"/>
    <w:rPr>
      <w:rFonts w:hint="eastAsia" w:ascii="宋体" w:hAnsi="宋体" w:eastAsia="宋体" w:cs="宋体"/>
      <w:color w:val="000000"/>
      <w:sz w:val="22"/>
      <w:szCs w:val="22"/>
      <w:u w:val="none"/>
    </w:rPr>
  </w:style>
  <w:style w:type="paragraph" w:customStyle="1" w:styleId="51">
    <w:name w:val="样式１"/>
    <w:basedOn w:val="3"/>
    <w:autoRedefine/>
    <w:qFormat/>
    <w:uiPriority w:val="0"/>
    <w:pPr>
      <w:jc w:val="center"/>
    </w:pPr>
    <w:rPr>
      <w:kern w:val="1"/>
      <w:sz w:val="30"/>
    </w:rPr>
  </w:style>
  <w:style w:type="paragraph" w:customStyle="1" w:styleId="52">
    <w:name w:val="样式 宋体 四号 居中 行距: 1.5 倍行距"/>
    <w:basedOn w:val="1"/>
    <w:qFormat/>
    <w:uiPriority w:val="0"/>
    <w:pPr>
      <w:spacing w:line="360" w:lineRule="auto"/>
      <w:jc w:val="center"/>
    </w:pPr>
    <w:rPr>
      <w:rFonts w:ascii="宋体" w:hAnsi="Cambria" w:cs="宋体"/>
      <w:sz w:val="28"/>
      <w:szCs w:val="20"/>
    </w:rPr>
  </w:style>
  <w:style w:type="paragraph" w:customStyle="1" w:styleId="53">
    <w:name w:val="样式 标题 1 + (西文) 黑体 (中文) 黑体 小三 蓝色"/>
    <w:basedOn w:val="3"/>
    <w:qFormat/>
    <w:uiPriority w:val="0"/>
    <w:rPr>
      <w:rFonts w:ascii="黑体" w:hAnsi="黑体" w:eastAsia="黑体"/>
      <w:sz w:val="30"/>
      <w:u w:val="none" w:color="0000FF"/>
    </w:rPr>
  </w:style>
  <w:style w:type="paragraph" w:customStyle="1" w:styleId="54">
    <w:name w:val="样式 样式 标题 1 + (西文) 黑体 (中文) 黑体 小三 蓝色 + 非加粗 居中"/>
    <w:basedOn w:val="53"/>
    <w:autoRedefine/>
    <w:qFormat/>
    <w:uiPriority w:val="0"/>
    <w:pPr>
      <w:jc w:val="center"/>
    </w:pPr>
    <w:rPr>
      <w:rFonts w:cs="宋体"/>
      <w:b w:val="0"/>
      <w:bCs w:val="0"/>
      <w:szCs w:val="20"/>
    </w:rPr>
  </w:style>
  <w:style w:type="paragraph" w:customStyle="1" w:styleId="55">
    <w:name w:val="Table Paragraph"/>
    <w:basedOn w:val="1"/>
    <w:autoRedefine/>
    <w:qFormat/>
    <w:uiPriority w:val="1"/>
    <w:rPr>
      <w:rFonts w:ascii="仿宋" w:hAnsi="仿宋" w:eastAsia="仿宋" w:cs="仿宋"/>
    </w:rPr>
  </w:style>
  <w:style w:type="paragraph" w:customStyle="1" w:styleId="56">
    <w:name w:val=" Char Char Char Char Char Char Char"/>
    <w:basedOn w:val="1"/>
    <w:autoRedefine/>
    <w:qFormat/>
    <w:uiPriority w:val="0"/>
    <w:pPr>
      <w:spacing w:line="240" w:lineRule="atLeast"/>
      <w:ind w:left="420" w:firstLine="420"/>
    </w:pPr>
    <w:rPr>
      <w:rFonts w:ascii="Times New Roman" w:hAnsi="Times New Roman"/>
      <w:kern w:val="0"/>
      <w:szCs w:val="21"/>
    </w:rPr>
  </w:style>
  <w:style w:type="paragraph" w:customStyle="1" w:styleId="57">
    <w:name w:val="样式3"/>
    <w:basedOn w:val="3"/>
    <w:qFormat/>
    <w:uiPriority w:val="0"/>
    <w:rPr>
      <w:kern w:val="1"/>
      <w:sz w:val="30"/>
    </w:rPr>
  </w:style>
  <w:style w:type="paragraph" w:customStyle="1" w:styleId="58">
    <w:name w:val="样式2"/>
    <w:basedOn w:val="1"/>
    <w:autoRedefine/>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59">
    <w:name w:val="Char Char Char Char"/>
    <w:basedOn w:val="1"/>
    <w:autoRedefine/>
    <w:qFormat/>
    <w:uiPriority w:val="0"/>
    <w:rPr>
      <w:rFonts w:ascii="Times New Roman" w:hAnsi="Times New Roman"/>
      <w:szCs w:val="20"/>
    </w:rPr>
  </w:style>
  <w:style w:type="paragraph" w:customStyle="1" w:styleId="60">
    <w:name w:val="Char Char Char1 Char8"/>
    <w:basedOn w:val="1"/>
    <w:autoRedefine/>
    <w:semiHidden/>
    <w:qFormat/>
    <w:uiPriority w:val="0"/>
    <w:pPr>
      <w:spacing w:line="360" w:lineRule="auto"/>
      <w:ind w:firstLine="200" w:firstLineChars="200"/>
    </w:pPr>
    <w:rPr>
      <w:rFonts w:ascii="宋体" w:hAnsi="宋体" w:cs="宋体"/>
      <w:sz w:val="24"/>
      <w:szCs w:val="24"/>
    </w:rPr>
  </w:style>
  <w:style w:type="paragraph" w:customStyle="1" w:styleId="61">
    <w:name w:val="彩色列表1"/>
    <w:basedOn w:val="1"/>
    <w:autoRedefine/>
    <w:qFormat/>
    <w:uiPriority w:val="0"/>
    <w:pPr>
      <w:ind w:firstLine="420" w:firstLineChars="200"/>
    </w:pPr>
    <w:rPr>
      <w:rFonts w:ascii="Times New Roman" w:hAnsi="Times New Roman"/>
      <w:szCs w:val="21"/>
    </w:rPr>
  </w:style>
  <w:style w:type="paragraph" w:customStyle="1" w:styleId="62">
    <w:name w:val="表格文字"/>
    <w:next w:val="10"/>
    <w:autoRedefine/>
    <w:qFormat/>
    <w:uiPriority w:val="0"/>
    <w:pPr>
      <w:widowControl w:val="0"/>
      <w:spacing w:line="360" w:lineRule="auto"/>
      <w:jc w:val="both"/>
    </w:pPr>
    <w:rPr>
      <w:rFonts w:ascii="Calibri" w:hAnsi="Calibri" w:eastAsia="宋体" w:cs="Times New Roman"/>
      <w:bCs/>
      <w:spacing w:val="10"/>
      <w:kern w:val="2"/>
      <w:sz w:val="21"/>
      <w:lang w:val="en-US" w:eastAsia="zh-CN" w:bidi="ar-SA"/>
    </w:rPr>
  </w:style>
  <w:style w:type="paragraph" w:customStyle="1" w:styleId="63">
    <w:name w:val="样式1"/>
    <w:basedOn w:val="1"/>
    <w:autoRedefine/>
    <w:qFormat/>
    <w:uiPriority w:val="0"/>
    <w:pPr>
      <w:widowControl/>
      <w:autoSpaceDE w:val="0"/>
      <w:autoSpaceDN w:val="0"/>
      <w:adjustRightInd w:val="0"/>
      <w:spacing w:line="360" w:lineRule="auto"/>
      <w:jc w:val="center"/>
    </w:pPr>
    <w:rPr>
      <w:rFonts w:ascii="黑体" w:hAnsi="Times New Roman" w:eastAsia="黑体" w:cs="黑体"/>
      <w:kern w:val="0"/>
      <w:sz w:val="30"/>
      <w:szCs w:val="30"/>
      <w:u w:val="none" w:color="0000FF"/>
    </w:rPr>
  </w:style>
  <w:style w:type="paragraph" w:customStyle="1" w:styleId="64">
    <w:name w:val="样式 仿宋 行距: 1.5 倍行距"/>
    <w:basedOn w:val="1"/>
    <w:autoRedefine/>
    <w:qFormat/>
    <w:uiPriority w:val="0"/>
    <w:pPr>
      <w:spacing w:line="360" w:lineRule="auto"/>
    </w:pPr>
    <w:rPr>
      <w:rFonts w:ascii="仿宋" w:hAnsi="仿宋" w:eastAsia="仿宋" w:cs="宋体"/>
      <w:sz w:val="24"/>
      <w:szCs w:val="20"/>
    </w:rPr>
  </w:style>
  <w:style w:type="paragraph" w:customStyle="1" w:styleId="65">
    <w:name w:val="仿宋"/>
    <w:basedOn w:val="1"/>
    <w:autoRedefine/>
    <w:qFormat/>
    <w:uiPriority w:val="0"/>
    <w:pPr>
      <w:widowControl/>
      <w:autoSpaceDE w:val="0"/>
      <w:autoSpaceDN w:val="0"/>
      <w:adjustRightInd w:val="0"/>
      <w:spacing w:line="360" w:lineRule="auto"/>
      <w:ind w:firstLine="480"/>
      <w:outlineLvl w:val="0"/>
    </w:pPr>
    <w:rPr>
      <w:rFonts w:ascii="Cambria" w:hAnsi="Cambria"/>
      <w:sz w:val="24"/>
      <w:szCs w:val="24"/>
    </w:rPr>
  </w:style>
  <w:style w:type="table" w:customStyle="1" w:styleId="66">
    <w:name w:val="Table Normal"/>
    <w:autoRedefine/>
    <w:unhideWhenUsed/>
    <w:qFormat/>
    <w:uiPriority w:val="2"/>
    <w:pPr>
      <w:widowControl w:val="0"/>
      <w:autoSpaceDE w:val="0"/>
      <w:autoSpaceDN w:val="0"/>
    </w:pPr>
    <w:rPr>
      <w:sz w:val="22"/>
      <w:lang w:val="en-US" w:eastAsia="en-US" w:bidi="ar-SA"/>
    </w:rPr>
    <w:tblPr>
      <w:tblCellMar>
        <w:top w:w="0" w:type="dxa"/>
        <w:left w:w="0" w:type="dxa"/>
        <w:bottom w:w="0" w:type="dxa"/>
        <w:right w:w="0" w:type="dxa"/>
      </w:tblCellMar>
    </w:tblPr>
  </w:style>
  <w:style w:type="paragraph" w:customStyle="1" w:styleId="67">
    <w:name w:val="Normale6c3900e"/>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Normalf66dfb01"/>
    <w:next w:val="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Normal0e30e439"/>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85</Pages>
  <Words>4597</Words>
  <Characters>5142</Characters>
  <Lines>273</Lines>
  <Paragraphs>76</Paragraphs>
  <TotalTime>16</TotalTime>
  <ScaleCrop>false</ScaleCrop>
  <LinksUpToDate>false</LinksUpToDate>
  <CharactersWithSpaces>5310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2015-11-12T15:12:00Z</dcterms:created>
  <dc:creator>市政务服务办</dc:creator>
  <cp:lastModifiedBy>Admin</cp:lastModifiedBy>
  <cp:lastPrinted>2026-08-11T03:34:00Z</cp:lastPrinted>
  <dcterms:modified xsi:type="dcterms:W3CDTF">2026-09-15T10:49:15Z</dcterms:modified>
  <dc:subject>青岛市政府采购采购文件范本</dc:subject>
  <dc:title>青岛市政府采购采购文件范本</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C540B2E9F70E41A381A44F8874340EA7_13</vt:lpwstr>
  </property>
  <property fmtid="{D5CDD505-2E9C-101B-9397-08002B2CF9AE}" pid="4" name="KSOTemplateDocerSaveRecord">
    <vt:lpwstr>eyJoZGlkIjoiY2U3NDk2M2IzMGI0ZmFlZDUwZWU4Y2U3ZGE3OTQyZGIiLCJ1c2VySWQiOiIxNDg5NzkzOSJ9</vt:lpwstr>
  </property>
</Properties>
</file>